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AC0C1" w14:textId="3454C4E9" w:rsidR="003F5414" w:rsidRDefault="00CE672E" w:rsidP="001F2DFA">
      <w:pPr>
        <w:pStyle w:val="Heading1-continued"/>
        <w:rPr>
          <w:rFonts w:cs="Arial"/>
          <w:i/>
          <w:sz w:val="30"/>
          <w:szCs w:val="30"/>
        </w:rPr>
      </w:pPr>
      <w:r>
        <w:rPr>
          <w:noProof/>
          <w:lang w:val="en-GB" w:eastAsia="en-GB"/>
        </w:rPr>
        <w:drawing>
          <wp:anchor distT="0" distB="0" distL="114300" distR="114300" simplePos="0" relativeHeight="251711488" behindDoc="1" locked="0" layoutInCell="1" allowOverlap="1" wp14:anchorId="557EFD5E" wp14:editId="34DC4C26">
            <wp:simplePos x="0" y="0"/>
            <wp:positionH relativeFrom="column">
              <wp:posOffset>-1103207</wp:posOffset>
            </wp:positionH>
            <wp:positionV relativeFrom="paragraph">
              <wp:posOffset>-897466</wp:posOffset>
            </wp:positionV>
            <wp:extent cx="7552800" cy="10717200"/>
            <wp:effectExtent l="0" t="0" r="0" b="8255"/>
            <wp:wrapNone/>
            <wp:docPr id="5" name="Picture 5" descr="Decorativ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2800" cy="10717200"/>
                    </a:xfrm>
                    <a:prstGeom prst="rect">
                      <a:avLst/>
                    </a:prstGeom>
                    <a:noFill/>
                  </pic:spPr>
                </pic:pic>
              </a:graphicData>
            </a:graphic>
            <wp14:sizeRelH relativeFrom="margin">
              <wp14:pctWidth>0</wp14:pctWidth>
            </wp14:sizeRelH>
            <wp14:sizeRelV relativeFrom="margin">
              <wp14:pctHeight>0</wp14:pctHeight>
            </wp14:sizeRelV>
          </wp:anchor>
        </w:drawing>
      </w:r>
      <w:r w:rsidR="00821246" w:rsidRPr="00081039">
        <w:rPr>
          <w:noProof/>
          <w:lang w:val="en-GB" w:eastAsia="en-GB"/>
        </w:rPr>
        <mc:AlternateContent>
          <mc:Choice Requires="wps">
            <w:drawing>
              <wp:anchor distT="36576" distB="36576" distL="36576" distR="36576" simplePos="0" relativeHeight="251704320" behindDoc="0" locked="0" layoutInCell="1" allowOverlap="1" wp14:anchorId="2B66A729" wp14:editId="1818599E">
                <wp:simplePos x="0" y="0"/>
                <wp:positionH relativeFrom="column">
                  <wp:posOffset>1796415</wp:posOffset>
                </wp:positionH>
                <wp:positionV relativeFrom="paragraph">
                  <wp:posOffset>608330</wp:posOffset>
                </wp:positionV>
                <wp:extent cx="3070800" cy="558000"/>
                <wp:effectExtent l="0" t="0" r="0" b="0"/>
                <wp:wrapNone/>
                <wp:docPr id="20" name="Text Box 20"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00" cy="558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90947" w14:textId="77777777" w:rsidR="00BE415F" w:rsidRPr="005E65DC" w:rsidRDefault="00BE415F" w:rsidP="00821246">
                            <w:pPr>
                              <w:widowControl w:val="0"/>
                              <w:spacing w:line="240" w:lineRule="atLeast"/>
                              <w:rPr>
                                <w:rFonts w:cs="Arial"/>
                                <w:b/>
                                <w:bCs/>
                                <w:sz w:val="28"/>
                                <w:szCs w:val="28"/>
                              </w:rPr>
                            </w:pPr>
                            <w:r w:rsidRPr="005E65DC">
                              <w:rPr>
                                <w:rFonts w:cs="Arial"/>
                                <w:b/>
                                <w:bCs/>
                                <w:sz w:val="28"/>
                                <w:szCs w:val="28"/>
                              </w:rPr>
                              <w:t xml:space="preserve">Northern Territory </w:t>
                            </w:r>
                            <w:r w:rsidRPr="005E65DC">
                              <w:rPr>
                                <w:rFonts w:cs="Arial"/>
                                <w:b/>
                                <w:bCs/>
                                <w:sz w:val="28"/>
                                <w:szCs w:val="28"/>
                              </w:rPr>
                              <w:br/>
                              <w:t>Auditor-General’s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6A729" id="_x0000_t202" coordsize="21600,21600" o:spt="202" path="m,l,21600r21600,l21600,xe">
                <v:stroke joinstyle="miter"/>
                <v:path gradientshapeok="t" o:connecttype="rect"/>
              </v:shapetype>
              <v:shape id="Text Box 20" o:spid="_x0000_s1026" type="#_x0000_t202" alt="Auditor-General's Report to the Legislative Assembly" style="position:absolute;left:0;text-align:left;margin-left:141.45pt;margin-top:47.9pt;width:241.8pt;height:43.9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" filled="f" fillcolor="#5b9bd5" stroked="f" strokeweight="2pt">
                <v:textbox inset="2.88pt,2.88pt,2.88pt,2.88pt">
                  <w:txbxContent>
                    <w:p w14:paraId="1F090947" w14:textId="77777777" w:rsidR="00BE415F" w:rsidRPr="005E65DC" w:rsidRDefault="00BE415F" w:rsidP="00821246">
                      <w:pPr>
                        <w:widowControl w:val="0"/>
                        <w:spacing w:line="240" w:lineRule="atLeast"/>
                        <w:rPr>
                          <w:rFonts w:cs="Arial"/>
                          <w:b/>
                          <w:bCs/>
                          <w:sz w:val="28"/>
                          <w:szCs w:val="28"/>
                        </w:rPr>
                      </w:pPr>
                      <w:r w:rsidRPr="005E65DC">
                        <w:rPr>
                          <w:rFonts w:cs="Arial"/>
                          <w:b/>
                          <w:bCs/>
                          <w:sz w:val="28"/>
                          <w:szCs w:val="28"/>
                        </w:rPr>
                        <w:t xml:space="preserve">Northern Territory </w:t>
                      </w:r>
                      <w:r w:rsidRPr="005E65DC">
                        <w:rPr>
                          <w:rFonts w:cs="Arial"/>
                          <w:b/>
                          <w:bCs/>
                          <w:sz w:val="28"/>
                          <w:szCs w:val="28"/>
                        </w:rPr>
                        <w:br/>
                        <w:t>Auditor-General’s Office</w:t>
                      </w:r>
                    </w:p>
                  </w:txbxContent>
                </v:textbox>
              </v:shape>
            </w:pict>
          </mc:Fallback>
        </mc:AlternateContent>
      </w:r>
      <w:r w:rsidR="00821246" w:rsidRPr="00081039">
        <w:rPr>
          <w:noProof/>
          <w:lang w:val="en-GB" w:eastAsia="en-GB"/>
        </w:rPr>
        <mc:AlternateContent>
          <mc:Choice Requires="wps">
            <w:drawing>
              <wp:anchor distT="36576" distB="36576" distL="36576" distR="36576" simplePos="0" relativeHeight="251702272" behindDoc="0" locked="0" layoutInCell="1" allowOverlap="1" wp14:anchorId="5C67A71B" wp14:editId="5D080799">
                <wp:simplePos x="0" y="0"/>
                <wp:positionH relativeFrom="column">
                  <wp:posOffset>1796415</wp:posOffset>
                </wp:positionH>
                <wp:positionV relativeFrom="paragraph">
                  <wp:posOffset>1127125</wp:posOffset>
                </wp:positionV>
                <wp:extent cx="2995200" cy="277200"/>
                <wp:effectExtent l="0" t="0" r="0" b="8890"/>
                <wp:wrapNone/>
                <wp:docPr id="21" name="Text Box 21"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00" cy="277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40E052" w14:textId="77777777" w:rsidR="00BE415F" w:rsidRPr="005E65DC" w:rsidRDefault="00BE415F" w:rsidP="00821246">
                            <w:pPr>
                              <w:widowControl w:val="0"/>
                              <w:rPr>
                                <w:rFonts w:cs="Arial"/>
                                <w:sz w:val="20"/>
                                <w:szCs w:val="20"/>
                              </w:rPr>
                            </w:pPr>
                            <w:r w:rsidRPr="005E65DC">
                              <w:rPr>
                                <w:rFonts w:cs="Arial"/>
                                <w:b/>
                                <w:bCs/>
                                <w:color w:val="7F7F7F"/>
                                <w:sz w:val="20"/>
                                <w:szCs w:val="20"/>
                              </w:rPr>
                              <w:t>Auditing for Parliament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A71B" id="Text Box 21" o:spid="_x0000_s1027" type="#_x0000_t202" alt="Auditor-General's Report to the Legislative Assembly" style="position:absolute;left:0;text-align:left;margin-left:141.45pt;margin-top:88.75pt;width:235.85pt;height:21.8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" filled="f" fillcolor="#5b9bd5" stroked="f" strokeweight="2pt">
                <v:textbox inset="2.88pt,2.88pt,2.88pt,2.88pt">
                  <w:txbxContent>
                    <w:p w14:paraId="2340E052" w14:textId="77777777" w:rsidR="00BE415F" w:rsidRPr="005E65DC" w:rsidRDefault="00BE415F" w:rsidP="00821246">
                      <w:pPr>
                        <w:widowControl w:val="0"/>
                        <w:rPr>
                          <w:rFonts w:cs="Arial"/>
                          <w:sz w:val="20"/>
                          <w:szCs w:val="20"/>
                        </w:rPr>
                      </w:pPr>
                      <w:r w:rsidRPr="005E65DC">
                        <w:rPr>
                          <w:rFonts w:cs="Arial"/>
                          <w:b/>
                          <w:bCs/>
                          <w:color w:val="7F7F7F"/>
                          <w:sz w:val="20"/>
                          <w:szCs w:val="20"/>
                        </w:rPr>
                        <w:t>Auditing for Parliament</w:t>
                      </w:r>
                    </w:p>
                  </w:txbxContent>
                </v:textbox>
              </v:shape>
            </w:pict>
          </mc:Fallback>
        </mc:AlternateContent>
      </w:r>
      <w:r w:rsidR="00FD067A">
        <w:rPr>
          <w:noProof/>
          <w:w w:val="100"/>
          <w:lang w:val="en-GB" w:eastAsia="en-GB"/>
        </w:rPr>
        <mc:AlternateContent>
          <mc:Choice Requires="wps">
            <w:drawing>
              <wp:anchor distT="36576" distB="36576" distL="36576" distR="36576" simplePos="0" relativeHeight="251700224" behindDoc="0" locked="0" layoutInCell="1" allowOverlap="1" wp14:anchorId="52F3BDF0" wp14:editId="0A3CE3FA">
                <wp:simplePos x="0" y="0"/>
                <wp:positionH relativeFrom="column">
                  <wp:align>center</wp:align>
                </wp:positionH>
                <wp:positionV relativeFrom="paragraph">
                  <wp:posOffset>5303520</wp:posOffset>
                </wp:positionV>
                <wp:extent cx="2376000" cy="1324800"/>
                <wp:effectExtent l="0" t="0" r="5715" b="8890"/>
                <wp:wrapNone/>
                <wp:docPr id="194" name="Text Box 194" descr="Our Purpose – To assist Parliament in the oversight of the performance of the NT Government by providing independent analysis through the conduct of audits and review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000" cy="132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AE4DD4" w14:textId="0D18DA0A" w:rsidR="00BE415F" w:rsidRPr="00AA7C0A" w:rsidRDefault="00BE415F" w:rsidP="00FD067A">
                            <w:pPr>
                              <w:jc w:val="center"/>
                              <w:rPr>
                                <w:rFonts w:ascii="Georgia" w:hAnsi="Georgia"/>
                                <w:i/>
                                <w:color w:val="004949"/>
                                <w:sz w:val="26"/>
                                <w:szCs w:val="26"/>
                              </w:rPr>
                            </w:pPr>
                            <w:r w:rsidRPr="00AA7C0A">
                              <w:rPr>
                                <w:rFonts w:ascii="Georgia" w:hAnsi="Georgia"/>
                                <w:i/>
                                <w:color w:val="004949"/>
                                <w:sz w:val="26"/>
                                <w:szCs w:val="26"/>
                              </w:rPr>
                              <w:t>Our Purpose – To assist Parliament in the oversig</w:t>
                            </w:r>
                            <w:r>
                              <w:rPr>
                                <w:rFonts w:ascii="Georgia" w:hAnsi="Georgia"/>
                                <w:i/>
                                <w:color w:val="004949"/>
                                <w:sz w:val="26"/>
                                <w:szCs w:val="26"/>
                              </w:rPr>
                              <w:t>ht of the performance of the NT </w:t>
                            </w:r>
                            <w:r w:rsidRPr="00AA7C0A">
                              <w:rPr>
                                <w:rFonts w:ascii="Georgia" w:hAnsi="Georgia"/>
                                <w:i/>
                                <w:color w:val="004949"/>
                                <w:sz w:val="26"/>
                                <w:szCs w:val="26"/>
                              </w:rPr>
                              <w:t>Government by providing independent analysis through t</w:t>
                            </w:r>
                            <w:r w:rsidR="002E7B17">
                              <w:rPr>
                                <w:rFonts w:ascii="Georgia" w:hAnsi="Georgia"/>
                                <w:i/>
                                <w:color w:val="004949"/>
                                <w:sz w:val="26"/>
                                <w:szCs w:val="26"/>
                              </w:rPr>
                              <w:t>he conduct of audits and review.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3BDF0" id="_x0000_t202" coordsize="21600,21600" o:spt="202" path="m,l,21600r21600,l21600,xe">
                <v:stroke joinstyle="miter"/>
                <v:path gradientshapeok="t" o:connecttype="rect"/>
              </v:shapetype>
              <v:shape id="Text Box 194" o:spid="_x0000_s1028" type="#_x0000_t202" alt="Our Purpose – To assist Parliament in the oversight of the performance of the NT Government by providing independent analysis through the conduct of audits and reviews" style="position:absolute;left:0;text-align:left;margin-left:0;margin-top:417.6pt;width:187.1pt;height:104.3pt;z-index:251700224;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" filled="f" fillcolor="#5b9bd5" stroked="f" strokeweight="2pt">
                <v:textbox inset="2.88pt,2.88pt,2.88pt,2.88pt">
                  <w:txbxContent>
                    <w:p w14:paraId="63AE4DD4" w14:textId="0D18DA0A" w:rsidR="00BE415F" w:rsidRPr="00AA7C0A" w:rsidRDefault="00BE415F" w:rsidP="00FD067A">
                      <w:pPr>
                        <w:jc w:val="center"/>
                        <w:rPr>
                          <w:rFonts w:ascii="Georgia" w:hAnsi="Georgia"/>
                          <w:i/>
                          <w:color w:val="004949"/>
                          <w:sz w:val="26"/>
                          <w:szCs w:val="26"/>
                        </w:rPr>
                      </w:pPr>
                      <w:r w:rsidRPr="00AA7C0A">
                        <w:rPr>
                          <w:rFonts w:ascii="Georgia" w:hAnsi="Georgia"/>
                          <w:i/>
                          <w:color w:val="004949"/>
                          <w:sz w:val="26"/>
                          <w:szCs w:val="26"/>
                        </w:rPr>
                        <w:t>Our Purpose – To assist Parliament in the oversig</w:t>
                      </w:r>
                      <w:r>
                        <w:rPr>
                          <w:rFonts w:ascii="Georgia" w:hAnsi="Georgia"/>
                          <w:i/>
                          <w:color w:val="004949"/>
                          <w:sz w:val="26"/>
                          <w:szCs w:val="26"/>
                        </w:rPr>
                        <w:t>ht of the performance of the NT </w:t>
                      </w:r>
                      <w:r w:rsidRPr="00AA7C0A">
                        <w:rPr>
                          <w:rFonts w:ascii="Georgia" w:hAnsi="Georgia"/>
                          <w:i/>
                          <w:color w:val="004949"/>
                          <w:sz w:val="26"/>
                          <w:szCs w:val="26"/>
                        </w:rPr>
                        <w:t>Government by providing independent analysis through t</w:t>
                      </w:r>
                      <w:r w:rsidR="002E7B17">
                        <w:rPr>
                          <w:rFonts w:ascii="Georgia" w:hAnsi="Georgia"/>
                          <w:i/>
                          <w:color w:val="004949"/>
                          <w:sz w:val="26"/>
                          <w:szCs w:val="26"/>
                        </w:rPr>
                        <w:t>he conduct of audits and review.</w:t>
                      </w:r>
                    </w:p>
                  </w:txbxContent>
                </v:textbox>
              </v:shape>
            </w:pict>
          </mc:Fallback>
        </mc:AlternateContent>
      </w:r>
      <w:r w:rsidR="0029067E">
        <w:rPr>
          <w:noProof/>
          <w:w w:val="100"/>
          <w:lang w:val="en-GB" w:eastAsia="en-GB"/>
        </w:rPr>
        <mc:AlternateContent>
          <mc:Choice Requires="wps">
            <w:drawing>
              <wp:anchor distT="36576" distB="36576" distL="36576" distR="36576" simplePos="0" relativeHeight="251698176" behindDoc="0" locked="0" layoutInCell="1" allowOverlap="1" wp14:anchorId="50DADA2C" wp14:editId="515B83BB">
                <wp:simplePos x="0" y="0"/>
                <wp:positionH relativeFrom="column">
                  <wp:posOffset>561975</wp:posOffset>
                </wp:positionH>
                <wp:positionV relativeFrom="paragraph">
                  <wp:posOffset>2787650</wp:posOffset>
                </wp:positionV>
                <wp:extent cx="4302760" cy="662940"/>
                <wp:effectExtent l="0" t="0" r="0" b="0"/>
                <wp:wrapNone/>
                <wp:docPr id="30" name="Text Box 30" descr="August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6629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02688" w14:textId="77777777" w:rsidR="00BE415F" w:rsidRDefault="00BE415F" w:rsidP="0029067E">
                            <w:pPr>
                              <w:widowControl w:val="0"/>
                              <w:spacing w:line="240" w:lineRule="auto"/>
                              <w:jc w:val="center"/>
                              <w:rPr>
                                <w:rFonts w:cs="Arial"/>
                                <w:b/>
                                <w:bCs/>
                                <w:color w:val="004949"/>
                                <w:sz w:val="72"/>
                                <w:szCs w:val="72"/>
                              </w:rPr>
                            </w:pPr>
                            <w:r>
                              <w:rPr>
                                <w:rFonts w:cs="Arial"/>
                                <w:b/>
                                <w:bCs/>
                                <w:color w:val="004949"/>
                                <w:sz w:val="72"/>
                                <w:szCs w:val="72"/>
                              </w:rPr>
                              <w:t>August 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ADA2C" id="Text Box 30" o:spid="_x0000_s1029" type="#_x0000_t202" alt="August 2021" style="position:absolute;left:0;text-align:left;margin-left:44.25pt;margin-top:219.5pt;width:338.8pt;height:52.2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" filled="f" fillcolor="#5b9bd5" stroked="f" strokeweight="2pt">
                <v:textbox inset="2.88pt,2.88pt,2.88pt,2.88pt">
                  <w:txbxContent>
                    <w:p w14:paraId="0AE02688" w14:textId="77777777" w:rsidR="00BE415F" w:rsidRDefault="00BE415F" w:rsidP="0029067E">
                      <w:pPr>
                        <w:widowControl w:val="0"/>
                        <w:spacing w:line="240" w:lineRule="auto"/>
                        <w:jc w:val="center"/>
                        <w:rPr>
                          <w:rFonts w:cs="Arial"/>
                          <w:b/>
                          <w:bCs/>
                          <w:color w:val="004949"/>
                          <w:sz w:val="72"/>
                          <w:szCs w:val="72"/>
                        </w:rPr>
                      </w:pPr>
                      <w:r>
                        <w:rPr>
                          <w:rFonts w:cs="Arial"/>
                          <w:b/>
                          <w:bCs/>
                          <w:color w:val="004949"/>
                          <w:sz w:val="72"/>
                          <w:szCs w:val="72"/>
                        </w:rPr>
                        <w:t>August 2021</w:t>
                      </w:r>
                    </w:p>
                  </w:txbxContent>
                </v:textbox>
              </v:shape>
            </w:pict>
          </mc:Fallback>
        </mc:AlternateContent>
      </w:r>
      <w:r w:rsidR="0029067E">
        <w:rPr>
          <w:noProof/>
          <w:w w:val="100"/>
          <w:lang w:val="en-GB" w:eastAsia="en-GB"/>
        </w:rPr>
        <w:drawing>
          <wp:anchor distT="36576" distB="36576" distL="36576" distR="36576" simplePos="0" relativeHeight="251691008" behindDoc="0" locked="0" layoutInCell="1" allowOverlap="1" wp14:anchorId="5C0E2838" wp14:editId="24E50343">
            <wp:simplePos x="0" y="0"/>
            <wp:positionH relativeFrom="column">
              <wp:posOffset>631825</wp:posOffset>
            </wp:positionH>
            <wp:positionV relativeFrom="paragraph">
              <wp:posOffset>628015</wp:posOffset>
            </wp:positionV>
            <wp:extent cx="909320" cy="723900"/>
            <wp:effectExtent l="0" t="0" r="5080" b="0"/>
            <wp:wrapNone/>
            <wp:docPr id="16" name="Picture 16" descr="NT Crest" titl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ditor-General's Report to the Legislative Assemb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32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9067E">
        <w:rPr>
          <w:noProof/>
          <w:w w:val="100"/>
          <w:lang w:val="en-GB" w:eastAsia="en-GB"/>
        </w:rPr>
        <w:drawing>
          <wp:anchor distT="36576" distB="36576" distL="36576" distR="36576" simplePos="0" relativeHeight="251692032" behindDoc="0" locked="0" layoutInCell="1" allowOverlap="1" wp14:anchorId="2EFD6435" wp14:editId="00BAF770">
            <wp:simplePos x="0" y="0"/>
            <wp:positionH relativeFrom="column">
              <wp:posOffset>1597025</wp:posOffset>
            </wp:positionH>
            <wp:positionV relativeFrom="paragraph">
              <wp:posOffset>638175</wp:posOffset>
            </wp:positionV>
            <wp:extent cx="27940" cy="723900"/>
            <wp:effectExtent l="0" t="0" r="0" b="0"/>
            <wp:wrapNone/>
            <wp:docPr id="19" name="Picture 19" descr="Decorative line"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ditor-General's Report to the Legislative Assemb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9067E">
        <w:rPr>
          <w:noProof/>
          <w:w w:val="100"/>
          <w:lang w:val="en-GB" w:eastAsia="en-GB"/>
        </w:rPr>
        <mc:AlternateContent>
          <mc:Choice Requires="wps">
            <w:drawing>
              <wp:anchor distT="36576" distB="36576" distL="36576" distR="36576" simplePos="0" relativeHeight="251695104" behindDoc="0" locked="0" layoutInCell="1" allowOverlap="1" wp14:anchorId="5E453B58" wp14:editId="1FB32BDA">
                <wp:simplePos x="0" y="0"/>
                <wp:positionH relativeFrom="column">
                  <wp:posOffset>570865</wp:posOffset>
                </wp:positionH>
                <wp:positionV relativeFrom="paragraph">
                  <wp:posOffset>3480435</wp:posOffset>
                </wp:positionV>
                <wp:extent cx="4303395" cy="918210"/>
                <wp:effectExtent l="0" t="3810" r="0" b="1905"/>
                <wp:wrapNone/>
                <wp:docPr id="22" name="Text Box 22"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9182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301BA4" w14:textId="77777777" w:rsidR="00BE415F" w:rsidRDefault="00BE415F" w:rsidP="0029067E">
                            <w:pPr>
                              <w:widowControl w:val="0"/>
                              <w:spacing w:line="240" w:lineRule="auto"/>
                              <w:jc w:val="center"/>
                              <w:rPr>
                                <w:rFonts w:cs="Arial"/>
                                <w:b/>
                                <w:bCs/>
                                <w:color w:val="004949"/>
                                <w:sz w:val="48"/>
                                <w:szCs w:val="48"/>
                              </w:rPr>
                            </w:pPr>
                            <w:r>
                              <w:rPr>
                                <w:rFonts w:cs="Arial"/>
                                <w:b/>
                                <w:bCs/>
                                <w:color w:val="004949"/>
                                <w:sz w:val="48"/>
                                <w:szCs w:val="48"/>
                              </w:rPr>
                              <w:t>Report to the</w:t>
                            </w:r>
                            <w:r>
                              <w:rPr>
                                <w:rFonts w:cs="Arial"/>
                                <w:b/>
                                <w:bCs/>
                                <w:color w:val="004949"/>
                                <w:sz w:val="48"/>
                                <w:szCs w:val="48"/>
                              </w:rPr>
                              <w:br/>
                              <w:t>Legislative Assembly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53B58" id="Text Box 22" o:spid="_x0000_s1030" type="#_x0000_t202" alt="Auditor-General's Report to the Legislative Assembly" style="position:absolute;left:0;text-align:left;margin-left:44.95pt;margin-top:274.05pt;width:338.85pt;height:72.3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" filled="f" fillcolor="#5b9bd5" stroked="f" strokeweight="2pt">
                <v:textbox inset="2.88pt,2.88pt,2.88pt,2.88pt">
                  <w:txbxContent>
                    <w:p w14:paraId="06301BA4" w14:textId="77777777" w:rsidR="00BE415F" w:rsidRDefault="00BE415F" w:rsidP="0029067E">
                      <w:pPr>
                        <w:widowControl w:val="0"/>
                        <w:spacing w:line="240" w:lineRule="auto"/>
                        <w:jc w:val="center"/>
                        <w:rPr>
                          <w:rFonts w:cs="Arial"/>
                          <w:b/>
                          <w:bCs/>
                          <w:color w:val="004949"/>
                          <w:sz w:val="48"/>
                          <w:szCs w:val="48"/>
                        </w:rPr>
                      </w:pPr>
                      <w:r>
                        <w:rPr>
                          <w:rFonts w:cs="Arial"/>
                          <w:b/>
                          <w:bCs/>
                          <w:color w:val="004949"/>
                          <w:sz w:val="48"/>
                          <w:szCs w:val="48"/>
                        </w:rPr>
                        <w:t>Report to the</w:t>
                      </w:r>
                      <w:r>
                        <w:rPr>
                          <w:rFonts w:cs="Arial"/>
                          <w:b/>
                          <w:bCs/>
                          <w:color w:val="004949"/>
                          <w:sz w:val="48"/>
                          <w:szCs w:val="48"/>
                        </w:rPr>
                        <w:br/>
                        <w:t>Legislative Assembly</w:t>
                      </w:r>
                    </w:p>
                  </w:txbxContent>
                </v:textbox>
              </v:shape>
            </w:pict>
          </mc:Fallback>
        </mc:AlternateContent>
      </w:r>
      <w:r w:rsidR="0029067E">
        <w:rPr>
          <w:noProof/>
          <w:w w:val="100"/>
          <w:lang w:val="en-GB" w:eastAsia="en-GB"/>
        </w:rPr>
        <mc:AlternateContent>
          <mc:Choice Requires="wps">
            <w:drawing>
              <wp:anchor distT="36576" distB="36576" distL="36576" distR="36576" simplePos="0" relativeHeight="251696128" behindDoc="0" locked="0" layoutInCell="1" allowOverlap="1" wp14:anchorId="7A51074B" wp14:editId="1191CCF2">
                <wp:simplePos x="0" y="0"/>
                <wp:positionH relativeFrom="column">
                  <wp:posOffset>894715</wp:posOffset>
                </wp:positionH>
                <wp:positionV relativeFrom="paragraph">
                  <wp:posOffset>7909560</wp:posOffset>
                </wp:positionV>
                <wp:extent cx="3528060" cy="0"/>
                <wp:effectExtent l="34290" t="32385" r="28575" b="34290"/>
                <wp:wrapNone/>
                <wp:docPr id="28" name="Straight Arrow Connector 28"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straightConnector1">
                          <a:avLst/>
                        </a:prstGeom>
                        <a:noFill/>
                        <a:ln w="50800">
                          <a:solidFill>
                            <a:srgbClr val="00494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269735" id="Straight Arrow Connector 28" o:spid="_x0000_s1026" type="#_x0000_t32" alt="Auditor-General's Report to the Legislative Assembly" style="position:absolute;margin-left:70.45pt;margin-top:622.8pt;width:277.8pt;height:0;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" strokecolor="#004949" strokeweight="4pt">
                <v:shadow color="black"/>
              </v:shape>
            </w:pict>
          </mc:Fallback>
        </mc:AlternateContent>
      </w:r>
      <w:r w:rsidR="0029067E">
        <w:rPr>
          <w:noProof/>
          <w:w w:val="100"/>
          <w:lang w:val="en-GB" w:eastAsia="en-GB"/>
        </w:rPr>
        <mc:AlternateContent>
          <mc:Choice Requires="wps">
            <w:drawing>
              <wp:anchor distT="36576" distB="36576" distL="36576" distR="36576" simplePos="0" relativeHeight="251697152" behindDoc="0" locked="0" layoutInCell="1" allowOverlap="1" wp14:anchorId="21702DC4" wp14:editId="105D48D5">
                <wp:simplePos x="0" y="0"/>
                <wp:positionH relativeFrom="column">
                  <wp:posOffset>921385</wp:posOffset>
                </wp:positionH>
                <wp:positionV relativeFrom="paragraph">
                  <wp:posOffset>7924800</wp:posOffset>
                </wp:positionV>
                <wp:extent cx="2933700" cy="277495"/>
                <wp:effectExtent l="3810" t="0" r="0" b="0"/>
                <wp:wrapNone/>
                <wp:docPr id="29" name="Text Box 29" descr="ago.nt.gov.au" title="ago.nt.gov.a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74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ACF636" w14:textId="77777777" w:rsidR="00BE415F" w:rsidRDefault="00BE415F">
                            <w:pPr>
                              <w:widowControl w:val="0"/>
                              <w:rPr>
                                <w:rFonts w:cs="Arial"/>
                                <w:b/>
                                <w:bCs/>
                                <w:sz w:val="24"/>
                                <w:szCs w:val="24"/>
                              </w:rPr>
                            </w:pPr>
                            <w:r>
                              <w:rPr>
                                <w:rFonts w:cs="Arial"/>
                                <w:b/>
                                <w:bCs/>
                                <w:sz w:val="24"/>
                                <w:szCs w:val="24"/>
                              </w:rPr>
                              <w:t>https://ago.nt.gov.au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02DC4" id="Text Box 29" o:spid="_x0000_s1031" type="#_x0000_t202" alt="Title: ago.nt.gov.au - Description: ago.nt.gov.au" style="position:absolute;left:0;text-align:left;margin-left:72.55pt;margin-top:624pt;width:231pt;height:21.8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" filled="f" fillcolor="#5b9bd5" stroked="f" strokeweight="2pt">
                <v:textbox inset="2.88pt,2.88pt,2.88pt,2.88pt">
                  <w:txbxContent>
                    <w:p w14:paraId="03ACF636" w14:textId="77777777" w:rsidR="00BE415F" w:rsidRDefault="00BE415F">
                      <w:pPr>
                        <w:widowControl w:val="0"/>
                        <w:rPr>
                          <w:rFonts w:cs="Arial"/>
                          <w:b/>
                          <w:bCs/>
                          <w:sz w:val="24"/>
                          <w:szCs w:val="24"/>
                        </w:rPr>
                      </w:pPr>
                      <w:r>
                        <w:rPr>
                          <w:rFonts w:cs="Arial"/>
                          <w:b/>
                          <w:bCs/>
                          <w:sz w:val="24"/>
                          <w:szCs w:val="24"/>
                        </w:rPr>
                        <w:t>https://ago.nt.gov.au</w:t>
                      </w:r>
                    </w:p>
                  </w:txbxContent>
                </v:textbox>
              </v:shape>
            </w:pict>
          </mc:Fallback>
        </mc:AlternateContent>
      </w:r>
      <w:r w:rsidR="003F5414">
        <w:br w:type="page"/>
      </w:r>
    </w:p>
    <w:p w14:paraId="51D199A8" w14:textId="77777777" w:rsidR="00493585" w:rsidRDefault="00493585" w:rsidP="00743661">
      <w:pPr>
        <w:pStyle w:val="Heading3"/>
      </w:pPr>
      <w:r>
        <w:lastRenderedPageBreak/>
        <w:t>Contact Details</w:t>
      </w:r>
    </w:p>
    <w:p w14:paraId="7100B14C" w14:textId="77777777" w:rsidR="00493585" w:rsidRDefault="00493585" w:rsidP="00493585">
      <w:r w:rsidRPr="00E90581">
        <w:t xml:space="preserve">Northern Territory </w:t>
      </w:r>
      <w:r w:rsidR="00686A4D">
        <w:t>Auditor</w:t>
      </w:r>
      <w:r w:rsidR="00686A4D">
        <w:noBreakHyphen/>
        <w:t>General</w:t>
      </w:r>
      <w:r w:rsidRPr="00E90581">
        <w:t>’s Office</w:t>
      </w:r>
    </w:p>
    <w:p w14:paraId="429EA6B2" w14:textId="77777777" w:rsidR="00493585" w:rsidRPr="00E90581" w:rsidRDefault="00493585" w:rsidP="00493585">
      <w:r w:rsidRPr="00E90581">
        <w:t xml:space="preserve">Level </w:t>
      </w:r>
      <w:r w:rsidR="000011AE">
        <w:t>9</w:t>
      </w:r>
      <w:r w:rsidRPr="00E90581">
        <w:br/>
        <w:t>22 Mitchell Street</w:t>
      </w:r>
      <w:r w:rsidRPr="00E90581">
        <w:br/>
        <w:t>Darwin, Northern Territory 0800</w:t>
      </w:r>
    </w:p>
    <w:p w14:paraId="5B6DDEB1" w14:textId="77777777" w:rsidR="00493585" w:rsidRPr="00E90581" w:rsidRDefault="00493585" w:rsidP="00493585">
      <w:r w:rsidRPr="00E90581">
        <w:t>GPO Box 4594</w:t>
      </w:r>
      <w:r w:rsidRPr="00E90581">
        <w:br/>
        <w:t>Darwin, Northern Territory 0801</w:t>
      </w:r>
    </w:p>
    <w:p w14:paraId="210518F3" w14:textId="77777777" w:rsidR="00493585" w:rsidRDefault="00493585" w:rsidP="00493585">
      <w:r w:rsidRPr="00E90581">
        <w:t>+61 8 8999 7155</w:t>
      </w:r>
    </w:p>
    <w:p w14:paraId="5B9AE44A" w14:textId="77777777" w:rsidR="00493585" w:rsidRDefault="00493585" w:rsidP="00493585"/>
    <w:p w14:paraId="6034C5B2" w14:textId="7DF2D7FD" w:rsidR="00C107D1" w:rsidRDefault="003536AD">
      <w:pPr>
        <w:keepLines w:val="0"/>
        <w:tabs>
          <w:tab w:val="clear" w:pos="1378"/>
        </w:tabs>
        <w:spacing w:after="200" w:line="276" w:lineRule="auto"/>
      </w:pPr>
      <w:r w:rsidRPr="003536AD">
        <w:t>We continually strive to improve our communication to our stakeholders and invite you to provide feedback on this report via our email address NT.Audit@nt.gov.au</w:t>
      </w:r>
      <w:r w:rsidR="00775170">
        <w:t>.</w:t>
      </w:r>
      <w:r w:rsidR="00B5304F" w:rsidRPr="00565750">
        <w:rPr>
          <w:noProof/>
          <w:lang w:val="en-GB" w:eastAsia="en-GB"/>
        </w:rPr>
        <mc:AlternateContent>
          <mc:Choice Requires="wps">
            <w:drawing>
              <wp:anchor distT="45720" distB="45720" distL="114300" distR="114300" simplePos="0" relativeHeight="251662336" behindDoc="0" locked="0" layoutInCell="1" allowOverlap="1" wp14:anchorId="619233E7" wp14:editId="40DE03ED">
                <wp:simplePos x="0" y="0"/>
                <wp:positionH relativeFrom="column">
                  <wp:posOffset>-186690</wp:posOffset>
                </wp:positionH>
                <wp:positionV relativeFrom="paragraph">
                  <wp:posOffset>5142865</wp:posOffset>
                </wp:positionV>
                <wp:extent cx="2360930" cy="1404620"/>
                <wp:effectExtent l="0" t="0" r="27305" b="20320"/>
                <wp:wrapSquare wrapText="bothSides"/>
                <wp:docPr id="217" name="Text Box 2" descr="ORDERED TO BE PRINTED BY THE&#10;LEGISLATIVE ASSEMBLY&#10;OF THE&#10;NORTHERN TERRITORY&#10;" title="ORDERED TO BE 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1CC487" w14:textId="77777777" w:rsidR="00BE415F" w:rsidRDefault="00BE415F" w:rsidP="00565750">
                            <w:pPr>
                              <w:jc w:val="center"/>
                            </w:pPr>
                            <w:r>
                              <w:t>ORDERED TO BE PRINTED BY THE</w:t>
                            </w:r>
                            <w:r>
                              <w:br/>
                              <w:t>LEGISLATIVE ASSEMBLY</w:t>
                            </w:r>
                            <w:r>
                              <w:br/>
                              <w:t>OF THE</w:t>
                            </w:r>
                            <w:r>
                              <w:br/>
                              <w:t>NORTHERN TERRITORY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9233E7" id="Text Box 2" o:spid="_x0000_s1032" type="#_x0000_t202" alt="Title: ORDERED TO BE PRINTED - Description: ORDERED TO BE PRINTED BY THE&#10;LEGISLATIVE ASSEMBLY&#10;OF THE&#10;NORTHERN TERRITORY&#10;" style="position:absolute;margin-left:-14.7pt;margin-top:404.9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">
                <v:textbox style="mso-fit-shape-to-text:t">
                  <w:txbxContent>
                    <w:p w14:paraId="271CC487" w14:textId="77777777" w:rsidR="00BE415F" w:rsidRDefault="00BE415F" w:rsidP="00565750">
                      <w:pPr>
                        <w:jc w:val="center"/>
                      </w:pPr>
                      <w:r>
                        <w:t>ORDERED TO BE PRINTED BY THE</w:t>
                      </w:r>
                      <w:r>
                        <w:br/>
                        <w:t>LEGISLATIVE ASSEMBLY</w:t>
                      </w:r>
                      <w:r>
                        <w:br/>
                        <w:t>OF THE</w:t>
                      </w:r>
                      <w:r>
                        <w:br/>
                        <w:t>NORTHERN TERRITORY</w:t>
                      </w:r>
                    </w:p>
                  </w:txbxContent>
                </v:textbox>
                <w10:wrap type="square"/>
              </v:shape>
            </w:pict>
          </mc:Fallback>
        </mc:AlternateContent>
      </w:r>
      <w:bookmarkStart w:id="0" w:name="_Ref529441205"/>
      <w:r w:rsidR="009C3C5B" w:rsidRPr="00565750">
        <w:rPr>
          <w:noProof/>
          <w:lang w:val="en-GB" w:eastAsia="en-GB"/>
        </w:rPr>
        <mc:AlternateContent>
          <mc:Choice Requires="wps">
            <w:drawing>
              <wp:anchor distT="45720" distB="45720" distL="114300" distR="114300" simplePos="0" relativeHeight="251655167" behindDoc="0" locked="0" layoutInCell="1" allowOverlap="1" wp14:anchorId="2049813A" wp14:editId="3EEF57A6">
                <wp:simplePos x="0" y="0"/>
                <wp:positionH relativeFrom="column">
                  <wp:posOffset>-182880</wp:posOffset>
                </wp:positionH>
                <wp:positionV relativeFrom="paragraph">
                  <wp:posOffset>6253480</wp:posOffset>
                </wp:positionV>
                <wp:extent cx="2360930" cy="1404620"/>
                <wp:effectExtent l="0" t="0" r="0" b="7620"/>
                <wp:wrapSquare wrapText="bothSides"/>
                <wp:docPr id="1" name="Text Box 2" descr="ISSN 1323-7128&#10;" title="ISSN 1323-7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411A1B" w14:textId="77777777" w:rsidR="00BE415F" w:rsidRPr="000A6145" w:rsidRDefault="00BE415F" w:rsidP="000A6145">
                            <w:pPr>
                              <w:jc w:val="center"/>
                              <w:rPr>
                                <w:rFonts w:ascii="Arial Black" w:hAnsi="Arial Black"/>
                                <w:b/>
                                <w:sz w:val="24"/>
                                <w:szCs w:val="24"/>
                              </w:rPr>
                            </w:pPr>
                            <w:r w:rsidRPr="000A6145">
                              <w:rPr>
                                <w:rFonts w:ascii="Arial Black" w:hAnsi="Arial Black"/>
                                <w:sz w:val="24"/>
                                <w:szCs w:val="24"/>
                              </w:rPr>
                              <w:t>ISSN</w:t>
                            </w:r>
                            <w:r w:rsidRPr="000A6145">
                              <w:rPr>
                                <w:rFonts w:ascii="Arial Black" w:hAnsi="Arial Black"/>
                                <w:b/>
                                <w:sz w:val="24"/>
                                <w:szCs w:val="24"/>
                              </w:rPr>
                              <w:t xml:space="preserve"> </w:t>
                            </w:r>
                            <w:r w:rsidRPr="000A6145">
                              <w:rPr>
                                <w:rFonts w:ascii="Arial Black" w:hAnsi="Arial Black"/>
                                <w:sz w:val="24"/>
                                <w:szCs w:val="24"/>
                              </w:rPr>
                              <w:t>1323</w:t>
                            </w:r>
                            <w:r w:rsidRPr="000A6145">
                              <w:rPr>
                                <w:rFonts w:ascii="Arial Black" w:hAnsi="Arial Black"/>
                                <w:b/>
                                <w:sz w:val="24"/>
                                <w:szCs w:val="24"/>
                              </w:rPr>
                              <w:t>-</w:t>
                            </w:r>
                            <w:r w:rsidRPr="000A6145">
                              <w:rPr>
                                <w:rFonts w:ascii="Arial Black" w:hAnsi="Arial Black"/>
                                <w:sz w:val="24"/>
                                <w:szCs w:val="24"/>
                              </w:rPr>
                              <w:t>7128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49813A" id="_x0000_s1033" type="#_x0000_t202" alt="Title: ISSN 1323-7128 - Description: ISSN 1323-7128&#10;" style="position:absolute;margin-left:-14.4pt;margin-top:492.4pt;width:185.9pt;height:110.6pt;z-index:25165516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" stroked="f">
                <v:textbox style="mso-fit-shape-to-text:t">
                  <w:txbxContent>
                    <w:p w14:paraId="0D411A1B" w14:textId="77777777" w:rsidR="00BE415F" w:rsidRPr="000A6145" w:rsidRDefault="00BE415F" w:rsidP="000A6145">
                      <w:pPr>
                        <w:jc w:val="center"/>
                        <w:rPr>
                          <w:rFonts w:ascii="Arial Black" w:hAnsi="Arial Black"/>
                          <w:b/>
                          <w:sz w:val="24"/>
                          <w:szCs w:val="24"/>
                        </w:rPr>
                      </w:pPr>
                      <w:r w:rsidRPr="000A6145">
                        <w:rPr>
                          <w:rFonts w:ascii="Arial Black" w:hAnsi="Arial Black"/>
                          <w:sz w:val="24"/>
                          <w:szCs w:val="24"/>
                        </w:rPr>
                        <w:t>ISSN</w:t>
                      </w:r>
                      <w:r w:rsidRPr="000A6145">
                        <w:rPr>
                          <w:rFonts w:ascii="Arial Black" w:hAnsi="Arial Black"/>
                          <w:b/>
                          <w:sz w:val="24"/>
                          <w:szCs w:val="24"/>
                        </w:rPr>
                        <w:t xml:space="preserve"> </w:t>
                      </w:r>
                      <w:r w:rsidRPr="000A6145">
                        <w:rPr>
                          <w:rFonts w:ascii="Arial Black" w:hAnsi="Arial Black"/>
                          <w:sz w:val="24"/>
                          <w:szCs w:val="24"/>
                        </w:rPr>
                        <w:t>1323</w:t>
                      </w:r>
                      <w:r w:rsidRPr="000A6145">
                        <w:rPr>
                          <w:rFonts w:ascii="Arial Black" w:hAnsi="Arial Black"/>
                          <w:b/>
                          <w:sz w:val="24"/>
                          <w:szCs w:val="24"/>
                        </w:rPr>
                        <w:t>-</w:t>
                      </w:r>
                      <w:r w:rsidRPr="000A6145">
                        <w:rPr>
                          <w:rFonts w:ascii="Arial Black" w:hAnsi="Arial Black"/>
                          <w:sz w:val="24"/>
                          <w:szCs w:val="24"/>
                        </w:rPr>
                        <w:t>7128</w:t>
                      </w:r>
                    </w:p>
                  </w:txbxContent>
                </v:textbox>
                <w10:wrap type="square"/>
              </v:shape>
            </w:pict>
          </mc:Fallback>
        </mc:AlternateContent>
      </w:r>
      <w:r w:rsidR="00C42943">
        <w:br w:type="page"/>
      </w:r>
    </w:p>
    <w:p w14:paraId="63911D32" w14:textId="77777777" w:rsidR="000E1DD3" w:rsidRDefault="000E1DD3">
      <w:pPr>
        <w:keepLines w:val="0"/>
        <w:tabs>
          <w:tab w:val="clear" w:pos="1378"/>
        </w:tabs>
        <w:spacing w:after="200" w:line="276" w:lineRule="auto"/>
      </w:pPr>
      <w:r>
        <w:rPr>
          <w:noProof/>
          <w:lang w:val="en-GB" w:eastAsia="en-GB"/>
        </w:rPr>
        <mc:AlternateContent>
          <mc:Choice Requires="wps">
            <w:drawing>
              <wp:anchor distT="45720" distB="45720" distL="114300" distR="114300" simplePos="0" relativeHeight="251679744" behindDoc="0" locked="0" layoutInCell="1" allowOverlap="1" wp14:anchorId="7F026360" wp14:editId="19AB658B">
                <wp:simplePos x="0" y="0"/>
                <wp:positionH relativeFrom="page">
                  <wp:align>center</wp:align>
                </wp:positionH>
                <wp:positionV relativeFrom="page">
                  <wp:align>center</wp:align>
                </wp:positionV>
                <wp:extent cx="5842800" cy="968400"/>
                <wp:effectExtent l="0" t="0" r="5715" b="3175"/>
                <wp:wrapSquare wrapText="bothSides"/>
                <wp:docPr id="192" name="Text Box 2" descr="Reports on the Results of Audit, Reviews and Assessments" title="Reports on the Results of Audit, Reviews and Assess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800" cy="968400"/>
                        </a:xfrm>
                        <a:prstGeom prst="rect">
                          <a:avLst/>
                        </a:prstGeom>
                        <a:solidFill>
                          <a:srgbClr val="FFFFFF"/>
                        </a:solidFill>
                        <a:ln w="9525">
                          <a:noFill/>
                          <a:miter lim="800000"/>
                          <a:headEnd/>
                          <a:tailEnd/>
                        </a:ln>
                      </wps:spPr>
                      <wps:txbx>
                        <w:txbxContent>
                          <w:p w14:paraId="4A63945D" w14:textId="77777777" w:rsidR="00BE415F" w:rsidRDefault="00BE415F" w:rsidP="000D515D">
                            <w:pPr>
                              <w:pStyle w:val="Heading1-center"/>
                            </w:pPr>
                            <w:r w:rsidRPr="006F199E">
                              <w:t>August 2021</w:t>
                            </w:r>
                            <w:r>
                              <w:t xml:space="preserve"> </w:t>
                            </w:r>
                            <w:r w:rsidRPr="006F199E">
                              <w:t>Report</w:t>
                            </w:r>
                            <w:r>
                              <w:t xml:space="preserve"> </w:t>
                            </w:r>
                            <w:r>
                              <w:br/>
                              <w:t>to the Legislative Assembly</w:t>
                            </w:r>
                          </w:p>
                        </w:txbxContent>
                      </wps:txbx>
                      <wps:bodyPr rot="0" vert="horz" wrap="square" lIns="91440" tIns="46800" rIns="91440" bIns="468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26360" id="_x0000_s1034" type="#_x0000_t202" alt="Title: Reports on the Results of Audit, Reviews and Assessments - Description: Reports on the Results of Audit, Reviews and Assessments" style="position:absolute;margin-left:0;margin-top:0;width:460.05pt;height:76.25pt;z-index:251679744;visibility:visible;mso-wrap-style:square;mso-width-percent:0;mso-height-percent:0;mso-wrap-distance-left:9pt;mso-wrap-distance-top:3.6pt;mso-wrap-distance-right:9pt;mso-wrap-distance-bottom:3.6pt;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" stroked="f">
                <v:textbox inset=",1.3mm,,1.3mm">
                  <w:txbxContent>
                    <w:p w14:paraId="4A63945D" w14:textId="77777777" w:rsidR="00BE415F" w:rsidRDefault="00BE415F" w:rsidP="000D515D">
                      <w:pPr>
                        <w:pStyle w:val="Heading1-center"/>
                      </w:pPr>
                      <w:r w:rsidRPr="006F199E">
                        <w:t>August 2021</w:t>
                      </w:r>
                      <w:r>
                        <w:t xml:space="preserve"> </w:t>
                      </w:r>
                      <w:r w:rsidRPr="006F199E">
                        <w:t>Report</w:t>
                      </w:r>
                      <w:r>
                        <w:t xml:space="preserve"> </w:t>
                      </w:r>
                      <w:r>
                        <w:br/>
                        <w:t>to the Legislative Assembly</w:t>
                      </w:r>
                    </w:p>
                  </w:txbxContent>
                </v:textbox>
                <w10:wrap type="square" anchorx="page" anchory="page"/>
              </v:shape>
            </w:pict>
          </mc:Fallback>
        </mc:AlternateContent>
      </w:r>
    </w:p>
    <w:p w14:paraId="5119F7B5" w14:textId="5D70D664" w:rsidR="0045031A" w:rsidRPr="00F30939" w:rsidRDefault="006E1B66" w:rsidP="0045031A">
      <w:pPr>
        <w:pStyle w:val="Heading1"/>
      </w:pPr>
      <w:bookmarkStart w:id="1" w:name="_Ref529444612"/>
      <w:bookmarkStart w:id="2" w:name="_Ref530121732"/>
      <w:r>
        <w:t>Content</w:t>
      </w:r>
      <w:bookmarkEnd w:id="1"/>
      <w:r>
        <w:t>s</w:t>
      </w:r>
    </w:p>
    <w:tbl>
      <w:tblPr>
        <w:tblW w:w="0" w:type="auto"/>
        <w:tblLook w:val="04A0" w:firstRow="1" w:lastRow="0" w:firstColumn="1" w:lastColumn="0" w:noHBand="0" w:noVBand="1"/>
      </w:tblPr>
      <w:tblGrid>
        <w:gridCol w:w="7362"/>
        <w:gridCol w:w="1002"/>
      </w:tblGrid>
      <w:tr w:rsidR="0045031A" w:rsidRPr="00F30939" w14:paraId="0A9D5610" w14:textId="77777777" w:rsidTr="007C26CB">
        <w:trPr>
          <w:cantSplit/>
          <w:tblHeader/>
        </w:trPr>
        <w:tc>
          <w:tcPr>
            <w:tcW w:w="7362" w:type="dxa"/>
          </w:tcPr>
          <w:p w14:paraId="6C40ADD9" w14:textId="77777777" w:rsidR="0045031A" w:rsidRPr="00F30939" w:rsidRDefault="0045031A" w:rsidP="00140D0B"/>
        </w:tc>
        <w:tc>
          <w:tcPr>
            <w:tcW w:w="1002" w:type="dxa"/>
            <w:vAlign w:val="bottom"/>
          </w:tcPr>
          <w:p w14:paraId="085A4889" w14:textId="77777777" w:rsidR="0045031A" w:rsidRPr="00F30939" w:rsidRDefault="0045031A" w:rsidP="0045031A">
            <w:pPr>
              <w:jc w:val="center"/>
            </w:pPr>
            <w:r w:rsidRPr="00F30939">
              <w:t>Page</w:t>
            </w:r>
          </w:p>
        </w:tc>
      </w:tr>
      <w:tr w:rsidR="0045031A" w:rsidRPr="00F30939" w14:paraId="7D3F4024" w14:textId="77777777" w:rsidTr="007C26CB">
        <w:trPr>
          <w:cantSplit/>
        </w:trPr>
        <w:tc>
          <w:tcPr>
            <w:tcW w:w="7362" w:type="dxa"/>
          </w:tcPr>
          <w:p w14:paraId="50FB5052" w14:textId="50C75D4B" w:rsidR="0045031A" w:rsidRPr="004D3C54" w:rsidRDefault="00A87CCA" w:rsidP="00140D0B">
            <w:pPr>
              <w:rPr>
                <w:b/>
              </w:rPr>
            </w:pPr>
            <w:r>
              <w:rPr>
                <w:b/>
              </w:rPr>
              <w:t>Financial Statement Audits</w:t>
            </w:r>
          </w:p>
        </w:tc>
        <w:tc>
          <w:tcPr>
            <w:tcW w:w="1002" w:type="dxa"/>
            <w:vAlign w:val="bottom"/>
          </w:tcPr>
          <w:p w14:paraId="54452F95" w14:textId="77777777" w:rsidR="0045031A" w:rsidRPr="00F30939" w:rsidRDefault="0045031A" w:rsidP="0045031A">
            <w:pPr>
              <w:jc w:val="center"/>
            </w:pPr>
          </w:p>
        </w:tc>
      </w:tr>
      <w:tr w:rsidR="00084F8F" w:rsidRPr="00F30939" w14:paraId="4FCB0E91" w14:textId="77777777" w:rsidTr="004A2D31">
        <w:trPr>
          <w:cantSplit/>
        </w:trPr>
        <w:tc>
          <w:tcPr>
            <w:tcW w:w="7362" w:type="dxa"/>
          </w:tcPr>
          <w:p w14:paraId="556F0214" w14:textId="43A45574" w:rsidR="00084F8F" w:rsidRPr="00F30939" w:rsidRDefault="00084F8F" w:rsidP="004A2D31">
            <w:pPr>
              <w:pStyle w:val="BodyTextFirstIndent"/>
              <w:ind w:left="318" w:firstLine="0"/>
            </w:pPr>
            <w:r>
              <w:fldChar w:fldCharType="begin"/>
            </w:r>
            <w:r>
              <w:instrText xml:space="preserve"> REF _Ref44944232 \h </w:instrText>
            </w:r>
            <w:r>
              <w:fldChar w:fldCharType="separate"/>
            </w:r>
            <w:r w:rsidR="00F52F17">
              <w:t>Charles Darwin University</w:t>
            </w:r>
            <w:r>
              <w:fldChar w:fldCharType="end"/>
            </w:r>
          </w:p>
        </w:tc>
        <w:tc>
          <w:tcPr>
            <w:tcW w:w="1002" w:type="dxa"/>
            <w:vAlign w:val="bottom"/>
          </w:tcPr>
          <w:p w14:paraId="1EAF8D43" w14:textId="4930D7F4" w:rsidR="00084F8F" w:rsidRPr="00F30939" w:rsidRDefault="00084F8F" w:rsidP="004A2D31">
            <w:pPr>
              <w:jc w:val="center"/>
            </w:pPr>
            <w:r>
              <w:fldChar w:fldCharType="begin"/>
            </w:r>
            <w:r>
              <w:instrText xml:space="preserve"> PAGEREF _Ref44944232 \h </w:instrText>
            </w:r>
            <w:r>
              <w:fldChar w:fldCharType="separate"/>
            </w:r>
            <w:r w:rsidR="00F52F17">
              <w:rPr>
                <w:noProof/>
              </w:rPr>
              <w:t>8</w:t>
            </w:r>
            <w:r>
              <w:fldChar w:fldCharType="end"/>
            </w:r>
          </w:p>
        </w:tc>
      </w:tr>
      <w:tr w:rsidR="002B7E0E" w:rsidRPr="00F30939" w14:paraId="1A2C8315" w14:textId="77777777" w:rsidTr="00F1580E">
        <w:trPr>
          <w:cantSplit/>
        </w:trPr>
        <w:tc>
          <w:tcPr>
            <w:tcW w:w="7362" w:type="dxa"/>
          </w:tcPr>
          <w:p w14:paraId="2360A971" w14:textId="533E2F4C" w:rsidR="002B7E0E" w:rsidRPr="00F30939" w:rsidRDefault="002B7E0E" w:rsidP="00084F8F">
            <w:pPr>
              <w:pStyle w:val="BodyTextFirstIndent"/>
              <w:ind w:left="720" w:firstLine="0"/>
            </w:pPr>
            <w:r>
              <w:fldChar w:fldCharType="begin"/>
            </w:r>
            <w:r>
              <w:instrText xml:space="preserve"> REF _Ref48110860 \h </w:instrText>
            </w:r>
            <w:r>
              <w:fldChar w:fldCharType="separate"/>
            </w:r>
            <w:r w:rsidR="00F52F17">
              <w:t>Bridging the Gap Foundation</w:t>
            </w:r>
            <w:r>
              <w:fldChar w:fldCharType="end"/>
            </w:r>
          </w:p>
        </w:tc>
        <w:tc>
          <w:tcPr>
            <w:tcW w:w="1002" w:type="dxa"/>
            <w:vAlign w:val="bottom"/>
          </w:tcPr>
          <w:p w14:paraId="4E512606" w14:textId="62045780" w:rsidR="002B7E0E" w:rsidRPr="00F30939" w:rsidRDefault="002B7E0E" w:rsidP="00F1580E">
            <w:pPr>
              <w:jc w:val="center"/>
            </w:pPr>
            <w:r>
              <w:fldChar w:fldCharType="begin"/>
            </w:r>
            <w:r>
              <w:instrText xml:space="preserve"> PAGEREF _Ref48110860 \h </w:instrText>
            </w:r>
            <w:r>
              <w:fldChar w:fldCharType="separate"/>
            </w:r>
            <w:r w:rsidR="00F52F17">
              <w:rPr>
                <w:noProof/>
              </w:rPr>
              <w:t>13</w:t>
            </w:r>
            <w:r>
              <w:fldChar w:fldCharType="end"/>
            </w:r>
          </w:p>
        </w:tc>
      </w:tr>
      <w:tr w:rsidR="002B7E0E" w:rsidRPr="00F30939" w14:paraId="10992C19" w14:textId="77777777" w:rsidTr="00F1580E">
        <w:trPr>
          <w:cantSplit/>
        </w:trPr>
        <w:tc>
          <w:tcPr>
            <w:tcW w:w="7362" w:type="dxa"/>
          </w:tcPr>
          <w:p w14:paraId="38AD7A5F" w14:textId="4BB9E92A" w:rsidR="002B7E0E" w:rsidRDefault="002B7E0E" w:rsidP="00084F8F">
            <w:pPr>
              <w:pStyle w:val="BodyTextFirstIndent"/>
              <w:ind w:left="720" w:firstLine="0"/>
            </w:pPr>
            <w:r>
              <w:fldChar w:fldCharType="begin"/>
            </w:r>
            <w:r>
              <w:instrText xml:space="preserve"> REF _Ref48110988 \h </w:instrText>
            </w:r>
            <w:r>
              <w:fldChar w:fldCharType="separate"/>
            </w:r>
            <w:r w:rsidR="00F52F17">
              <w:t>CDU Amenities Limited</w:t>
            </w:r>
            <w:r>
              <w:fldChar w:fldCharType="end"/>
            </w:r>
          </w:p>
        </w:tc>
        <w:tc>
          <w:tcPr>
            <w:tcW w:w="1002" w:type="dxa"/>
            <w:vAlign w:val="bottom"/>
          </w:tcPr>
          <w:p w14:paraId="723C5BC3" w14:textId="57F8564D" w:rsidR="002B7E0E" w:rsidRDefault="002B7E0E" w:rsidP="00F1580E">
            <w:pPr>
              <w:jc w:val="center"/>
            </w:pPr>
            <w:r>
              <w:fldChar w:fldCharType="begin"/>
            </w:r>
            <w:r>
              <w:instrText xml:space="preserve"> PAGEREF _Ref48110988 \h </w:instrText>
            </w:r>
            <w:r>
              <w:fldChar w:fldCharType="separate"/>
            </w:r>
            <w:r w:rsidR="00F52F17">
              <w:rPr>
                <w:noProof/>
              </w:rPr>
              <w:t>16</w:t>
            </w:r>
            <w:r>
              <w:fldChar w:fldCharType="end"/>
            </w:r>
          </w:p>
        </w:tc>
      </w:tr>
      <w:tr w:rsidR="002B7E0E" w:rsidRPr="00F30939" w14:paraId="429B8D85" w14:textId="77777777" w:rsidTr="00F1580E">
        <w:trPr>
          <w:cantSplit/>
        </w:trPr>
        <w:tc>
          <w:tcPr>
            <w:tcW w:w="7362" w:type="dxa"/>
          </w:tcPr>
          <w:p w14:paraId="46936073" w14:textId="44AAE991" w:rsidR="002B7E0E" w:rsidRDefault="002B7E0E" w:rsidP="00084F8F">
            <w:pPr>
              <w:pStyle w:val="BodyTextFirstIndent"/>
              <w:ind w:left="720" w:firstLine="0"/>
            </w:pPr>
            <w:r>
              <w:fldChar w:fldCharType="begin"/>
            </w:r>
            <w:r>
              <w:instrText xml:space="preserve"> REF _Ref34309266 \h </w:instrText>
            </w:r>
            <w:r>
              <w:fldChar w:fldCharType="separate"/>
            </w:r>
            <w:r w:rsidR="00F52F17">
              <w:t>Charles Darwin University Foundation</w:t>
            </w:r>
            <w:r>
              <w:fldChar w:fldCharType="end"/>
            </w:r>
          </w:p>
        </w:tc>
        <w:tc>
          <w:tcPr>
            <w:tcW w:w="1002" w:type="dxa"/>
            <w:vAlign w:val="bottom"/>
          </w:tcPr>
          <w:p w14:paraId="1EE7EDD3" w14:textId="0771138B" w:rsidR="002B7E0E" w:rsidRDefault="002B7E0E" w:rsidP="00F1580E">
            <w:pPr>
              <w:jc w:val="center"/>
            </w:pPr>
            <w:r>
              <w:fldChar w:fldCharType="begin"/>
            </w:r>
            <w:r>
              <w:instrText xml:space="preserve"> PAGEREF _Ref34309266 \h </w:instrText>
            </w:r>
            <w:r>
              <w:fldChar w:fldCharType="separate"/>
            </w:r>
            <w:r w:rsidR="00F52F17">
              <w:rPr>
                <w:noProof/>
              </w:rPr>
              <w:t>20</w:t>
            </w:r>
            <w:r>
              <w:fldChar w:fldCharType="end"/>
            </w:r>
          </w:p>
        </w:tc>
      </w:tr>
      <w:tr w:rsidR="002B7E0E" w:rsidRPr="00F30939" w14:paraId="50EEE850" w14:textId="77777777" w:rsidTr="00F1580E">
        <w:trPr>
          <w:cantSplit/>
        </w:trPr>
        <w:tc>
          <w:tcPr>
            <w:tcW w:w="7362" w:type="dxa"/>
          </w:tcPr>
          <w:p w14:paraId="6491074C" w14:textId="36FB35D7" w:rsidR="002B7E0E" w:rsidRPr="00F30939" w:rsidRDefault="002B7E0E" w:rsidP="00F1580E">
            <w:pPr>
              <w:pStyle w:val="BodyTextFirstIndent"/>
              <w:ind w:left="318" w:firstLine="0"/>
            </w:pPr>
            <w:r>
              <w:fldChar w:fldCharType="begin"/>
            </w:r>
            <w:r>
              <w:instrText xml:space="preserve"> REF _Ref68861642 \h </w:instrText>
            </w:r>
            <w:r>
              <w:fldChar w:fldCharType="separate"/>
            </w:r>
            <w:r w:rsidR="00F52F17" w:rsidRPr="00CE345C">
              <w:t>Cobourg Peninsula Sanctuary and Marine Park Board</w:t>
            </w:r>
            <w:r>
              <w:fldChar w:fldCharType="end"/>
            </w:r>
          </w:p>
        </w:tc>
        <w:tc>
          <w:tcPr>
            <w:tcW w:w="1002" w:type="dxa"/>
            <w:vAlign w:val="bottom"/>
          </w:tcPr>
          <w:p w14:paraId="2AD1E29A" w14:textId="54A2600C" w:rsidR="002B7E0E" w:rsidRPr="00F30939" w:rsidRDefault="002B7E0E" w:rsidP="00F1580E">
            <w:pPr>
              <w:jc w:val="center"/>
            </w:pPr>
            <w:r>
              <w:fldChar w:fldCharType="begin"/>
            </w:r>
            <w:r>
              <w:instrText xml:space="preserve"> PAGEREF _Ref68861642 \h </w:instrText>
            </w:r>
            <w:r>
              <w:fldChar w:fldCharType="separate"/>
            </w:r>
            <w:r w:rsidR="00F52F17">
              <w:rPr>
                <w:noProof/>
              </w:rPr>
              <w:t>24</w:t>
            </w:r>
            <w:r>
              <w:fldChar w:fldCharType="end"/>
            </w:r>
          </w:p>
        </w:tc>
      </w:tr>
      <w:tr w:rsidR="002B7E0E" w:rsidRPr="00F30939" w14:paraId="1664D571" w14:textId="77777777" w:rsidTr="00F1580E">
        <w:trPr>
          <w:cantSplit/>
        </w:trPr>
        <w:tc>
          <w:tcPr>
            <w:tcW w:w="7362" w:type="dxa"/>
          </w:tcPr>
          <w:p w14:paraId="78533201" w14:textId="4A16BD66" w:rsidR="002B7E0E" w:rsidRPr="00F30939" w:rsidRDefault="002B7E0E" w:rsidP="00F1580E">
            <w:pPr>
              <w:pStyle w:val="BodyTextFirstIndent"/>
              <w:ind w:left="318" w:firstLine="0"/>
            </w:pPr>
            <w:r>
              <w:fldChar w:fldCharType="begin"/>
            </w:r>
            <w:r>
              <w:instrText xml:space="preserve"> REF _Ref58244009 \h </w:instrText>
            </w:r>
            <w:r>
              <w:fldChar w:fldCharType="separate"/>
            </w:r>
            <w:r w:rsidR="00F52F17">
              <w:t>Jabiru Town Development Authority</w:t>
            </w:r>
            <w:r>
              <w:fldChar w:fldCharType="end"/>
            </w:r>
          </w:p>
        </w:tc>
        <w:tc>
          <w:tcPr>
            <w:tcW w:w="1002" w:type="dxa"/>
            <w:vAlign w:val="bottom"/>
          </w:tcPr>
          <w:p w14:paraId="2AB2549D" w14:textId="18CE6DC4" w:rsidR="002B7E0E" w:rsidRPr="00F30939" w:rsidRDefault="002B7E0E" w:rsidP="00F1580E">
            <w:pPr>
              <w:jc w:val="center"/>
            </w:pPr>
            <w:r>
              <w:fldChar w:fldCharType="begin"/>
            </w:r>
            <w:r>
              <w:instrText xml:space="preserve"> PAGEREF _Ref58244009 \h </w:instrText>
            </w:r>
            <w:r>
              <w:fldChar w:fldCharType="separate"/>
            </w:r>
            <w:r w:rsidR="00F52F17">
              <w:rPr>
                <w:noProof/>
              </w:rPr>
              <w:t>29</w:t>
            </w:r>
            <w:r>
              <w:fldChar w:fldCharType="end"/>
            </w:r>
          </w:p>
        </w:tc>
      </w:tr>
      <w:tr w:rsidR="002B7E0E" w:rsidRPr="00F30939" w14:paraId="162C2A35" w14:textId="77777777" w:rsidTr="00F1580E">
        <w:trPr>
          <w:cantSplit/>
        </w:trPr>
        <w:tc>
          <w:tcPr>
            <w:tcW w:w="7362" w:type="dxa"/>
          </w:tcPr>
          <w:p w14:paraId="355D11B0" w14:textId="5EB6D8B0" w:rsidR="002B7E0E" w:rsidRPr="00F30939" w:rsidRDefault="002B7E0E" w:rsidP="00F1580E">
            <w:pPr>
              <w:pStyle w:val="BodyTextFirstIndent"/>
              <w:ind w:left="318" w:firstLine="0"/>
            </w:pPr>
            <w:r>
              <w:fldChar w:fldCharType="begin"/>
            </w:r>
            <w:r>
              <w:instrText xml:space="preserve"> REF _Ref34309281 \h </w:instrText>
            </w:r>
            <w:r>
              <w:fldChar w:fldCharType="separate"/>
            </w:r>
            <w:r w:rsidR="00F52F17">
              <w:t>Menzies School of Health Research</w:t>
            </w:r>
            <w:r>
              <w:fldChar w:fldCharType="end"/>
            </w:r>
          </w:p>
        </w:tc>
        <w:tc>
          <w:tcPr>
            <w:tcW w:w="1002" w:type="dxa"/>
            <w:vAlign w:val="bottom"/>
          </w:tcPr>
          <w:p w14:paraId="4E7C6B46" w14:textId="52ECD728" w:rsidR="002B7E0E" w:rsidRPr="00F30939" w:rsidRDefault="002B7E0E" w:rsidP="00F1580E">
            <w:pPr>
              <w:jc w:val="center"/>
            </w:pPr>
            <w:r>
              <w:fldChar w:fldCharType="begin"/>
            </w:r>
            <w:r>
              <w:instrText xml:space="preserve"> PAGEREF _Ref34309281 \h </w:instrText>
            </w:r>
            <w:r>
              <w:fldChar w:fldCharType="separate"/>
            </w:r>
            <w:r w:rsidR="00F52F17">
              <w:rPr>
                <w:noProof/>
              </w:rPr>
              <w:t>34</w:t>
            </w:r>
            <w:r>
              <w:fldChar w:fldCharType="end"/>
            </w:r>
          </w:p>
        </w:tc>
      </w:tr>
      <w:tr w:rsidR="002B7E0E" w:rsidRPr="00F30939" w14:paraId="3350C24E" w14:textId="77777777" w:rsidTr="00F1580E">
        <w:trPr>
          <w:cantSplit/>
        </w:trPr>
        <w:tc>
          <w:tcPr>
            <w:tcW w:w="7362" w:type="dxa"/>
          </w:tcPr>
          <w:p w14:paraId="375BFB90" w14:textId="0D46816B" w:rsidR="002B7E0E" w:rsidRPr="00F30939" w:rsidRDefault="002B7E0E" w:rsidP="00F1580E">
            <w:pPr>
              <w:pStyle w:val="BodyTextFirstIndent"/>
              <w:ind w:left="318" w:firstLine="0"/>
            </w:pPr>
            <w:r>
              <w:fldChar w:fldCharType="begin"/>
            </w:r>
            <w:r>
              <w:instrText xml:space="preserve"> REF _Ref58243359 \h </w:instrText>
            </w:r>
            <w:r>
              <w:fldChar w:fldCharType="separate"/>
            </w:r>
            <w:r w:rsidR="00F52F17">
              <w:t>Nitmiluk (Katherine Gorge) National Park Board</w:t>
            </w:r>
            <w:r>
              <w:fldChar w:fldCharType="end"/>
            </w:r>
          </w:p>
        </w:tc>
        <w:tc>
          <w:tcPr>
            <w:tcW w:w="1002" w:type="dxa"/>
            <w:vAlign w:val="bottom"/>
          </w:tcPr>
          <w:p w14:paraId="5ECE81A7" w14:textId="71191C5B" w:rsidR="002B7E0E" w:rsidRPr="00F30939" w:rsidRDefault="002B7E0E" w:rsidP="00F1580E">
            <w:pPr>
              <w:jc w:val="center"/>
            </w:pPr>
            <w:r>
              <w:fldChar w:fldCharType="begin"/>
            </w:r>
            <w:r>
              <w:instrText xml:space="preserve"> PAGEREF _Ref58243359 \h </w:instrText>
            </w:r>
            <w:r>
              <w:fldChar w:fldCharType="separate"/>
            </w:r>
            <w:r w:rsidR="00F52F17">
              <w:rPr>
                <w:noProof/>
              </w:rPr>
              <w:t>37</w:t>
            </w:r>
            <w:r>
              <w:fldChar w:fldCharType="end"/>
            </w:r>
          </w:p>
        </w:tc>
      </w:tr>
      <w:tr w:rsidR="002B7E0E" w:rsidRPr="00F30939" w14:paraId="08088C1F" w14:textId="77777777" w:rsidTr="00F1580E">
        <w:trPr>
          <w:cantSplit/>
        </w:trPr>
        <w:tc>
          <w:tcPr>
            <w:tcW w:w="7362" w:type="dxa"/>
          </w:tcPr>
          <w:p w14:paraId="3C3AED9F" w14:textId="0F074A96" w:rsidR="002B7E0E" w:rsidRPr="00F30939" w:rsidRDefault="002B7E0E" w:rsidP="00F1580E">
            <w:pPr>
              <w:pStyle w:val="BodyTextFirstIndent"/>
              <w:ind w:left="318" w:firstLine="0"/>
            </w:pPr>
            <w:r>
              <w:fldChar w:fldCharType="begin"/>
            </w:r>
            <w:r>
              <w:instrText xml:space="preserve"> REF _Ref16255721 \h </w:instrText>
            </w:r>
            <w:r>
              <w:fldChar w:fldCharType="separate"/>
            </w:r>
            <w:r w:rsidR="00F52F17">
              <w:t>Northern Territory Police Supplementary Benefit Scheme</w:t>
            </w:r>
            <w:r>
              <w:fldChar w:fldCharType="end"/>
            </w:r>
          </w:p>
        </w:tc>
        <w:tc>
          <w:tcPr>
            <w:tcW w:w="1002" w:type="dxa"/>
            <w:vAlign w:val="bottom"/>
          </w:tcPr>
          <w:p w14:paraId="3BBACAF2" w14:textId="15F69844" w:rsidR="002B7E0E" w:rsidRPr="00F30939" w:rsidRDefault="002B7E0E" w:rsidP="00F1580E">
            <w:pPr>
              <w:jc w:val="center"/>
            </w:pPr>
            <w:r>
              <w:fldChar w:fldCharType="begin"/>
            </w:r>
            <w:r>
              <w:instrText xml:space="preserve"> PAGEREF _Ref16255721 \h </w:instrText>
            </w:r>
            <w:r>
              <w:fldChar w:fldCharType="separate"/>
            </w:r>
            <w:r w:rsidR="00F52F17">
              <w:rPr>
                <w:noProof/>
              </w:rPr>
              <w:t>41</w:t>
            </w:r>
            <w:r>
              <w:fldChar w:fldCharType="end"/>
            </w:r>
          </w:p>
        </w:tc>
      </w:tr>
      <w:tr w:rsidR="007D2D10" w:rsidRPr="00F30939" w14:paraId="592ACEE4" w14:textId="77777777" w:rsidTr="00121B5A">
        <w:trPr>
          <w:cantSplit/>
        </w:trPr>
        <w:tc>
          <w:tcPr>
            <w:tcW w:w="7362" w:type="dxa"/>
          </w:tcPr>
          <w:p w14:paraId="2CCFBA62" w14:textId="1DA54030" w:rsidR="007D2D10" w:rsidRPr="007D2D10" w:rsidRDefault="007D2D10" w:rsidP="007D2D10">
            <w:pPr>
              <w:rPr>
                <w:b/>
              </w:rPr>
            </w:pPr>
            <w:r w:rsidRPr="007D2D10">
              <w:rPr>
                <w:b/>
              </w:rPr>
              <w:t>IT Audits</w:t>
            </w:r>
          </w:p>
        </w:tc>
        <w:tc>
          <w:tcPr>
            <w:tcW w:w="1002" w:type="dxa"/>
            <w:vAlign w:val="bottom"/>
          </w:tcPr>
          <w:p w14:paraId="382E0962" w14:textId="77777777" w:rsidR="007D2D10" w:rsidRPr="00F30939" w:rsidRDefault="007D2D10" w:rsidP="00121B5A">
            <w:pPr>
              <w:jc w:val="center"/>
            </w:pPr>
          </w:p>
        </w:tc>
      </w:tr>
      <w:tr w:rsidR="007D2D10" w:rsidRPr="008C6C5C" w14:paraId="11BE59F4" w14:textId="77777777" w:rsidTr="008C6C5C">
        <w:trPr>
          <w:cantSplit/>
        </w:trPr>
        <w:tc>
          <w:tcPr>
            <w:tcW w:w="7362" w:type="dxa"/>
            <w:shd w:val="clear" w:color="auto" w:fill="auto"/>
          </w:tcPr>
          <w:p w14:paraId="6B361EFE" w14:textId="14975752" w:rsidR="007D2D10" w:rsidRPr="008C6C5C" w:rsidRDefault="008C6C5C" w:rsidP="00402A9F">
            <w:pPr>
              <w:pStyle w:val="BodyTextFirstIndent"/>
              <w:ind w:left="318" w:firstLine="0"/>
            </w:pPr>
            <w:r w:rsidRPr="008C6C5C">
              <w:fldChar w:fldCharType="begin"/>
            </w:r>
            <w:r w:rsidRPr="008C6C5C">
              <w:instrText xml:space="preserve"> REF _Ref74894097 \h </w:instrText>
            </w:r>
            <w:r>
              <w:instrText xml:space="preserve"> \* MERGEFORMAT </w:instrText>
            </w:r>
            <w:r w:rsidRPr="008C6C5C">
              <w:fldChar w:fldCharType="separate"/>
            </w:r>
            <w:r w:rsidR="00F52F17" w:rsidRPr="0004605C">
              <w:t>Identity and Access Management</w:t>
            </w:r>
            <w:r w:rsidR="00F52F17">
              <w:t xml:space="preserve"> System </w:t>
            </w:r>
            <w:r w:rsidR="00F52F17" w:rsidRPr="0004605C">
              <w:t>(IAMS) Review</w:t>
            </w:r>
            <w:r w:rsidRPr="008C6C5C">
              <w:fldChar w:fldCharType="end"/>
            </w:r>
          </w:p>
        </w:tc>
        <w:tc>
          <w:tcPr>
            <w:tcW w:w="1002" w:type="dxa"/>
            <w:shd w:val="clear" w:color="auto" w:fill="auto"/>
            <w:vAlign w:val="bottom"/>
          </w:tcPr>
          <w:p w14:paraId="164FE2D9" w14:textId="7BAF8D5E" w:rsidR="007D2D10" w:rsidRPr="008C6C5C" w:rsidRDefault="008C6C5C" w:rsidP="00402A9F">
            <w:pPr>
              <w:jc w:val="center"/>
            </w:pPr>
            <w:r w:rsidRPr="008C6C5C">
              <w:fldChar w:fldCharType="begin"/>
            </w:r>
            <w:r w:rsidRPr="008C6C5C">
              <w:instrText xml:space="preserve"> PAGEREF _Ref74894097 \h </w:instrText>
            </w:r>
            <w:r w:rsidRPr="008C6C5C">
              <w:fldChar w:fldCharType="separate"/>
            </w:r>
            <w:r w:rsidR="00F52F17">
              <w:rPr>
                <w:noProof/>
              </w:rPr>
              <w:t>45</w:t>
            </w:r>
            <w:r w:rsidRPr="008C6C5C">
              <w:fldChar w:fldCharType="end"/>
            </w:r>
          </w:p>
        </w:tc>
      </w:tr>
      <w:tr w:rsidR="007D2D10" w:rsidRPr="00F30939" w14:paraId="2C842BCF" w14:textId="77777777" w:rsidTr="008C6C5C">
        <w:trPr>
          <w:cantSplit/>
        </w:trPr>
        <w:tc>
          <w:tcPr>
            <w:tcW w:w="7362" w:type="dxa"/>
            <w:shd w:val="clear" w:color="auto" w:fill="auto"/>
          </w:tcPr>
          <w:p w14:paraId="1A5B4D0D" w14:textId="3B75394A" w:rsidR="007D2D10" w:rsidRPr="008C6C5C" w:rsidRDefault="008C6C5C" w:rsidP="007D2D10">
            <w:pPr>
              <w:pStyle w:val="BodyTextFirstIndent"/>
              <w:ind w:left="318" w:firstLine="0"/>
            </w:pPr>
            <w:r w:rsidRPr="008C6C5C">
              <w:fldChar w:fldCharType="begin"/>
            </w:r>
            <w:r w:rsidRPr="008C6C5C">
              <w:instrText xml:space="preserve"> REF _Ref74894751 \h </w:instrText>
            </w:r>
            <w:r>
              <w:instrText xml:space="preserve"> \* MERGEFORMAT </w:instrText>
            </w:r>
            <w:r w:rsidRPr="008C6C5C">
              <w:fldChar w:fldCharType="separate"/>
            </w:r>
            <w:r w:rsidR="00F52F17" w:rsidRPr="0097651E">
              <w:t xml:space="preserve">Integrated Revenue Application </w:t>
            </w:r>
            <w:r w:rsidR="00F52F17">
              <w:t>(INTRA) Review</w:t>
            </w:r>
            <w:r w:rsidRPr="008C6C5C">
              <w:fldChar w:fldCharType="end"/>
            </w:r>
          </w:p>
        </w:tc>
        <w:tc>
          <w:tcPr>
            <w:tcW w:w="1002" w:type="dxa"/>
            <w:shd w:val="clear" w:color="auto" w:fill="auto"/>
            <w:vAlign w:val="bottom"/>
          </w:tcPr>
          <w:p w14:paraId="3BA7B980" w14:textId="42AA8F98" w:rsidR="007D2D10" w:rsidRPr="00F30939" w:rsidRDefault="008C6C5C" w:rsidP="00121B5A">
            <w:pPr>
              <w:jc w:val="center"/>
            </w:pPr>
            <w:r w:rsidRPr="008C6C5C">
              <w:fldChar w:fldCharType="begin"/>
            </w:r>
            <w:r w:rsidRPr="008C6C5C">
              <w:instrText xml:space="preserve"> PAGEREF _Ref74894751 \h </w:instrText>
            </w:r>
            <w:r w:rsidRPr="008C6C5C">
              <w:fldChar w:fldCharType="separate"/>
            </w:r>
            <w:r w:rsidR="00F52F17">
              <w:rPr>
                <w:noProof/>
              </w:rPr>
              <w:t>48</w:t>
            </w:r>
            <w:r w:rsidRPr="008C6C5C">
              <w:fldChar w:fldCharType="end"/>
            </w:r>
          </w:p>
        </w:tc>
      </w:tr>
      <w:tr w:rsidR="0051584D" w:rsidRPr="00F30939" w14:paraId="206F388C" w14:textId="77777777" w:rsidTr="00121B5A">
        <w:trPr>
          <w:cantSplit/>
        </w:trPr>
        <w:tc>
          <w:tcPr>
            <w:tcW w:w="7362" w:type="dxa"/>
          </w:tcPr>
          <w:p w14:paraId="639D2156" w14:textId="2D17BF25" w:rsidR="0051584D" w:rsidRDefault="0051584D" w:rsidP="0051584D">
            <w:pPr>
              <w:rPr>
                <w:b/>
              </w:rPr>
            </w:pPr>
            <w:r>
              <w:rPr>
                <w:b/>
              </w:rPr>
              <w:t>Compliance Audits</w:t>
            </w:r>
          </w:p>
        </w:tc>
        <w:tc>
          <w:tcPr>
            <w:tcW w:w="1002" w:type="dxa"/>
            <w:vAlign w:val="bottom"/>
          </w:tcPr>
          <w:p w14:paraId="1E14D655" w14:textId="77777777" w:rsidR="0051584D" w:rsidRPr="00F30939" w:rsidRDefault="0051584D" w:rsidP="0051584D">
            <w:pPr>
              <w:jc w:val="center"/>
            </w:pPr>
          </w:p>
        </w:tc>
      </w:tr>
      <w:tr w:rsidR="0051584D" w:rsidRPr="00F30939" w14:paraId="1FF253EE" w14:textId="77777777" w:rsidTr="00121B5A">
        <w:trPr>
          <w:cantSplit/>
        </w:trPr>
        <w:tc>
          <w:tcPr>
            <w:tcW w:w="7362" w:type="dxa"/>
          </w:tcPr>
          <w:p w14:paraId="447242F3" w14:textId="25C11163" w:rsidR="0051584D" w:rsidRDefault="00750599" w:rsidP="0051584D">
            <w:pPr>
              <w:ind w:left="318"/>
              <w:rPr>
                <w:b/>
              </w:rPr>
            </w:pPr>
            <w:r>
              <w:fldChar w:fldCharType="begin"/>
            </w:r>
            <w:r>
              <w:rPr>
                <w:b/>
              </w:rPr>
              <w:instrText xml:space="preserve"> REF ACA \h </w:instrText>
            </w:r>
            <w:r>
              <w:fldChar w:fldCharType="separate"/>
            </w:r>
            <w:r w:rsidR="00F52F17">
              <w:t>Agency Compliance Audit</w:t>
            </w:r>
            <w:r>
              <w:fldChar w:fldCharType="end"/>
            </w:r>
          </w:p>
        </w:tc>
        <w:tc>
          <w:tcPr>
            <w:tcW w:w="1002" w:type="dxa"/>
            <w:vAlign w:val="bottom"/>
          </w:tcPr>
          <w:p w14:paraId="6E7F2D1B" w14:textId="6C5213C7" w:rsidR="0051584D" w:rsidRPr="00F30939" w:rsidRDefault="005C602C" w:rsidP="0051584D">
            <w:pPr>
              <w:jc w:val="center"/>
            </w:pPr>
            <w:r>
              <w:fldChar w:fldCharType="begin"/>
            </w:r>
            <w:r>
              <w:instrText xml:space="preserve"> PAGEREF _Ref78888323 \h </w:instrText>
            </w:r>
            <w:r>
              <w:fldChar w:fldCharType="separate"/>
            </w:r>
            <w:r w:rsidR="00F52F17">
              <w:rPr>
                <w:noProof/>
              </w:rPr>
              <w:t>50</w:t>
            </w:r>
            <w:r>
              <w:fldChar w:fldCharType="end"/>
            </w:r>
          </w:p>
        </w:tc>
      </w:tr>
      <w:tr w:rsidR="0051584D" w:rsidRPr="00F30939" w14:paraId="00EC93D7" w14:textId="77777777" w:rsidTr="00121B5A">
        <w:trPr>
          <w:cantSplit/>
        </w:trPr>
        <w:tc>
          <w:tcPr>
            <w:tcW w:w="7362" w:type="dxa"/>
          </w:tcPr>
          <w:p w14:paraId="3D41F00F" w14:textId="17781DE8" w:rsidR="0051584D" w:rsidRPr="00A34297" w:rsidRDefault="0051584D" w:rsidP="0051584D">
            <w:pPr>
              <w:rPr>
                <w:b/>
              </w:rPr>
            </w:pPr>
            <w:r>
              <w:rPr>
                <w:b/>
              </w:rPr>
              <w:t>Data Analysis</w:t>
            </w:r>
          </w:p>
        </w:tc>
        <w:tc>
          <w:tcPr>
            <w:tcW w:w="1002" w:type="dxa"/>
            <w:vAlign w:val="bottom"/>
          </w:tcPr>
          <w:p w14:paraId="25A3331D" w14:textId="77777777" w:rsidR="0051584D" w:rsidRPr="00F30939" w:rsidRDefault="0051584D" w:rsidP="0051584D">
            <w:pPr>
              <w:jc w:val="center"/>
            </w:pPr>
          </w:p>
        </w:tc>
      </w:tr>
      <w:tr w:rsidR="00FD1498" w:rsidRPr="00F30939" w14:paraId="394F098F" w14:textId="77777777" w:rsidTr="000675F7">
        <w:trPr>
          <w:cantSplit/>
        </w:trPr>
        <w:tc>
          <w:tcPr>
            <w:tcW w:w="7362" w:type="dxa"/>
            <w:shd w:val="clear" w:color="auto" w:fill="auto"/>
          </w:tcPr>
          <w:p w14:paraId="4970BF58" w14:textId="6A17E490" w:rsidR="00FD1498" w:rsidRPr="00F30939" w:rsidRDefault="00750599" w:rsidP="000675F7">
            <w:pPr>
              <w:pStyle w:val="BodyTextFirstIndent"/>
              <w:ind w:left="318" w:firstLine="0"/>
            </w:pPr>
            <w:r>
              <w:fldChar w:fldCharType="begin"/>
            </w:r>
            <w:r>
              <w:instrText xml:space="preserve"> REF Closedown \h </w:instrText>
            </w:r>
            <w:r>
              <w:fldChar w:fldCharType="separate"/>
            </w:r>
            <w:r w:rsidR="00F52F17">
              <w:t>Close-down leave</w:t>
            </w:r>
            <w:r>
              <w:fldChar w:fldCharType="end"/>
            </w:r>
          </w:p>
        </w:tc>
        <w:tc>
          <w:tcPr>
            <w:tcW w:w="1002" w:type="dxa"/>
            <w:shd w:val="clear" w:color="auto" w:fill="auto"/>
            <w:vAlign w:val="bottom"/>
          </w:tcPr>
          <w:p w14:paraId="05697235" w14:textId="22D2D7BE" w:rsidR="00FD1498" w:rsidRPr="00F30939" w:rsidRDefault="005851A7" w:rsidP="000675F7">
            <w:pPr>
              <w:jc w:val="center"/>
            </w:pPr>
            <w:r>
              <w:fldChar w:fldCharType="begin"/>
            </w:r>
            <w:r>
              <w:instrText xml:space="preserve"> PAGEREF _Ref79990850 \h </w:instrText>
            </w:r>
            <w:r>
              <w:fldChar w:fldCharType="separate"/>
            </w:r>
            <w:r w:rsidR="00F52F17">
              <w:rPr>
                <w:noProof/>
              </w:rPr>
              <w:t>59</w:t>
            </w:r>
            <w:r>
              <w:fldChar w:fldCharType="end"/>
            </w:r>
          </w:p>
        </w:tc>
      </w:tr>
      <w:tr w:rsidR="0051584D" w:rsidRPr="00F30939" w14:paraId="0CD95E39" w14:textId="77777777" w:rsidTr="00402A9F">
        <w:trPr>
          <w:cantSplit/>
        </w:trPr>
        <w:tc>
          <w:tcPr>
            <w:tcW w:w="7362" w:type="dxa"/>
            <w:shd w:val="clear" w:color="auto" w:fill="auto"/>
          </w:tcPr>
          <w:p w14:paraId="06255ABA" w14:textId="346EF635" w:rsidR="0051584D" w:rsidRPr="00F30939" w:rsidRDefault="00750599" w:rsidP="0051584D">
            <w:pPr>
              <w:pStyle w:val="BodyTextFirstIndent"/>
              <w:ind w:left="318" w:firstLine="0"/>
            </w:pPr>
            <w:r>
              <w:fldChar w:fldCharType="begin"/>
            </w:r>
            <w:r>
              <w:instrText xml:space="preserve"> REF Fuel_card \h </w:instrText>
            </w:r>
            <w:r>
              <w:fldChar w:fldCharType="separate"/>
            </w:r>
            <w:r w:rsidR="00F52F17">
              <w:t>Fuel Card Purchases</w:t>
            </w:r>
            <w:r>
              <w:fldChar w:fldCharType="end"/>
            </w:r>
          </w:p>
        </w:tc>
        <w:tc>
          <w:tcPr>
            <w:tcW w:w="1002" w:type="dxa"/>
            <w:shd w:val="clear" w:color="auto" w:fill="auto"/>
            <w:vAlign w:val="bottom"/>
          </w:tcPr>
          <w:p w14:paraId="62164EC9" w14:textId="29423689" w:rsidR="0051584D" w:rsidRPr="00F30939" w:rsidRDefault="005851A7" w:rsidP="0051584D">
            <w:pPr>
              <w:jc w:val="center"/>
            </w:pPr>
            <w:r>
              <w:fldChar w:fldCharType="begin"/>
            </w:r>
            <w:r>
              <w:instrText xml:space="preserve"> PAGEREF _Ref79990791 \h </w:instrText>
            </w:r>
            <w:r>
              <w:fldChar w:fldCharType="separate"/>
            </w:r>
            <w:r w:rsidR="00F52F17">
              <w:rPr>
                <w:noProof/>
              </w:rPr>
              <w:t>80</w:t>
            </w:r>
            <w:r>
              <w:fldChar w:fldCharType="end"/>
            </w:r>
          </w:p>
        </w:tc>
      </w:tr>
      <w:tr w:rsidR="0051584D" w:rsidRPr="003A4148" w14:paraId="57760CB7" w14:textId="77777777" w:rsidTr="007C26CB">
        <w:trPr>
          <w:cantSplit/>
        </w:trPr>
        <w:tc>
          <w:tcPr>
            <w:tcW w:w="7362" w:type="dxa"/>
          </w:tcPr>
          <w:p w14:paraId="143E25E5" w14:textId="501253CD" w:rsidR="0051584D" w:rsidRPr="003A4148" w:rsidRDefault="0051584D" w:rsidP="0051584D">
            <w:pPr>
              <w:rPr>
                <w:b/>
              </w:rPr>
            </w:pPr>
            <w:r>
              <w:rPr>
                <w:b/>
              </w:rPr>
              <w:t>Appendices</w:t>
            </w:r>
          </w:p>
        </w:tc>
        <w:tc>
          <w:tcPr>
            <w:tcW w:w="1002" w:type="dxa"/>
            <w:vAlign w:val="bottom"/>
          </w:tcPr>
          <w:p w14:paraId="2F407931" w14:textId="77777777" w:rsidR="0051584D" w:rsidRPr="003A4148" w:rsidRDefault="0051584D" w:rsidP="0051584D">
            <w:pPr>
              <w:rPr>
                <w:b/>
              </w:rPr>
            </w:pPr>
          </w:p>
        </w:tc>
      </w:tr>
      <w:tr w:rsidR="0051584D" w:rsidRPr="00F30939" w14:paraId="4A712BF5" w14:textId="77777777" w:rsidTr="00CD6CC7">
        <w:trPr>
          <w:cantSplit/>
        </w:trPr>
        <w:tc>
          <w:tcPr>
            <w:tcW w:w="7362" w:type="dxa"/>
          </w:tcPr>
          <w:p w14:paraId="6C50C25A" w14:textId="4B28D732" w:rsidR="0051584D" w:rsidRPr="00F30939" w:rsidRDefault="0051584D" w:rsidP="0051584D">
            <w:pPr>
              <w:pStyle w:val="BodyTextFirstIndent"/>
              <w:ind w:left="318" w:firstLine="0"/>
            </w:pPr>
            <w:r>
              <w:fldChar w:fldCharType="begin"/>
            </w:r>
            <w:r>
              <w:instrText xml:space="preserve"> REF _Ref67057946 \h </w:instrText>
            </w:r>
            <w:r>
              <w:fldChar w:fldCharType="separate"/>
            </w:r>
            <w:r w:rsidR="00F52F17" w:rsidRPr="00F30939">
              <w:t xml:space="preserve">Appendix </w:t>
            </w:r>
            <w:r w:rsidR="00F52F17">
              <w:t>1</w:t>
            </w:r>
            <w:r w:rsidR="00F52F17" w:rsidRPr="00F30939">
              <w:t xml:space="preserve">: The Role and Responsibilities of the </w:t>
            </w:r>
            <w:r w:rsidR="00F52F17">
              <w:t>Auditor</w:t>
            </w:r>
            <w:r w:rsidR="00F52F17">
              <w:noBreakHyphen/>
              <w:t>General</w:t>
            </w:r>
            <w:r>
              <w:fldChar w:fldCharType="end"/>
            </w:r>
          </w:p>
        </w:tc>
        <w:tc>
          <w:tcPr>
            <w:tcW w:w="1002" w:type="dxa"/>
            <w:vAlign w:val="bottom"/>
          </w:tcPr>
          <w:p w14:paraId="713CF433" w14:textId="09949BCE" w:rsidR="0051584D" w:rsidRPr="00F30939" w:rsidRDefault="0051584D" w:rsidP="0051584D">
            <w:pPr>
              <w:jc w:val="center"/>
            </w:pPr>
            <w:r>
              <w:fldChar w:fldCharType="begin"/>
            </w:r>
            <w:r>
              <w:instrText xml:space="preserve"> PAGEREF _Ref67057946 \h </w:instrText>
            </w:r>
            <w:r>
              <w:fldChar w:fldCharType="separate"/>
            </w:r>
            <w:r w:rsidR="00F52F17">
              <w:rPr>
                <w:noProof/>
              </w:rPr>
              <w:t>90</w:t>
            </w:r>
            <w:r>
              <w:fldChar w:fldCharType="end"/>
            </w:r>
          </w:p>
        </w:tc>
      </w:tr>
      <w:tr w:rsidR="0051584D" w:rsidRPr="00F30939" w14:paraId="1D92A043" w14:textId="77777777" w:rsidTr="00CD6CC7">
        <w:trPr>
          <w:cantSplit/>
        </w:trPr>
        <w:tc>
          <w:tcPr>
            <w:tcW w:w="7362" w:type="dxa"/>
          </w:tcPr>
          <w:p w14:paraId="2D8BCD26" w14:textId="3F7601CB" w:rsidR="0051584D" w:rsidRPr="00F30939" w:rsidRDefault="0051584D" w:rsidP="0051584D">
            <w:pPr>
              <w:pStyle w:val="BodyTextFirstIndent"/>
              <w:ind w:left="318" w:firstLine="0"/>
            </w:pPr>
            <w:r>
              <w:fldChar w:fldCharType="begin"/>
            </w:r>
            <w:r>
              <w:instrText xml:space="preserve"> REF _Ref529441246 \h </w:instrText>
            </w:r>
            <w:r>
              <w:fldChar w:fldCharType="separate"/>
            </w:r>
            <w:r w:rsidR="00F52F17" w:rsidRPr="00FE1F5E">
              <w:t>Appendix 2: Guide t</w:t>
            </w:r>
            <w:r w:rsidR="00F52F17" w:rsidRPr="00F30939">
              <w:t>o Using this Report</w:t>
            </w:r>
            <w:r>
              <w:fldChar w:fldCharType="end"/>
            </w:r>
          </w:p>
        </w:tc>
        <w:tc>
          <w:tcPr>
            <w:tcW w:w="1002" w:type="dxa"/>
            <w:vAlign w:val="bottom"/>
          </w:tcPr>
          <w:p w14:paraId="674A0444" w14:textId="19491179" w:rsidR="0051584D" w:rsidRPr="00F30939" w:rsidRDefault="0051584D" w:rsidP="0051584D">
            <w:pPr>
              <w:jc w:val="center"/>
            </w:pPr>
            <w:r>
              <w:fldChar w:fldCharType="begin"/>
            </w:r>
            <w:r>
              <w:instrText xml:space="preserve"> PAGEREF _Ref529441246 \h </w:instrText>
            </w:r>
            <w:r>
              <w:fldChar w:fldCharType="separate"/>
            </w:r>
            <w:r w:rsidR="00F52F17">
              <w:rPr>
                <w:noProof/>
              </w:rPr>
              <w:t>93</w:t>
            </w:r>
            <w:r>
              <w:fldChar w:fldCharType="end"/>
            </w:r>
          </w:p>
        </w:tc>
      </w:tr>
      <w:tr w:rsidR="0051584D" w:rsidRPr="00F30939" w14:paraId="6458B4F7" w14:textId="77777777" w:rsidTr="00CD6CC7">
        <w:trPr>
          <w:cantSplit/>
        </w:trPr>
        <w:tc>
          <w:tcPr>
            <w:tcW w:w="7362" w:type="dxa"/>
          </w:tcPr>
          <w:p w14:paraId="6424CBA9" w14:textId="05B972E8" w:rsidR="0051584D" w:rsidRPr="00F30939" w:rsidRDefault="0051584D" w:rsidP="0051584D">
            <w:pPr>
              <w:pStyle w:val="BodyTextFirstIndent"/>
              <w:ind w:left="318" w:firstLine="0"/>
            </w:pPr>
            <w:r>
              <w:fldChar w:fldCharType="begin"/>
            </w:r>
            <w:r>
              <w:instrText xml:space="preserve"> REF _Ref67061533 \h </w:instrText>
            </w:r>
            <w:r>
              <w:fldChar w:fldCharType="separate"/>
            </w:r>
            <w:r w:rsidR="00F52F17" w:rsidRPr="00F30939">
              <w:t xml:space="preserve">Appendix </w:t>
            </w:r>
            <w:r w:rsidR="00F52F17">
              <w:t>3</w:t>
            </w:r>
            <w:r w:rsidR="00F52F17" w:rsidRPr="00F30939">
              <w:t>: Audit Opinio</w:t>
            </w:r>
            <w:r w:rsidR="00F52F17">
              <w:t>ns Issued</w:t>
            </w:r>
            <w:r>
              <w:fldChar w:fldCharType="end"/>
            </w:r>
          </w:p>
        </w:tc>
        <w:tc>
          <w:tcPr>
            <w:tcW w:w="1002" w:type="dxa"/>
            <w:vAlign w:val="bottom"/>
          </w:tcPr>
          <w:p w14:paraId="72A5F945" w14:textId="7CD0ECE7" w:rsidR="0051584D" w:rsidRPr="00F30939" w:rsidRDefault="0051584D" w:rsidP="0051584D">
            <w:pPr>
              <w:jc w:val="center"/>
            </w:pPr>
            <w:r>
              <w:fldChar w:fldCharType="begin"/>
            </w:r>
            <w:r>
              <w:instrText xml:space="preserve"> PAGEREF _Ref67061533 \h </w:instrText>
            </w:r>
            <w:r>
              <w:fldChar w:fldCharType="separate"/>
            </w:r>
            <w:r w:rsidR="00F52F17">
              <w:rPr>
                <w:noProof/>
              </w:rPr>
              <w:t>98</w:t>
            </w:r>
            <w:r>
              <w:fldChar w:fldCharType="end"/>
            </w:r>
          </w:p>
        </w:tc>
      </w:tr>
      <w:tr w:rsidR="0051584D" w:rsidRPr="00F30939" w14:paraId="7F03772E" w14:textId="77777777" w:rsidTr="00CD6CC7">
        <w:trPr>
          <w:cantSplit/>
        </w:trPr>
        <w:tc>
          <w:tcPr>
            <w:tcW w:w="7362" w:type="dxa"/>
          </w:tcPr>
          <w:p w14:paraId="614154D9" w14:textId="3164204D" w:rsidR="0051584D" w:rsidRPr="00F30939" w:rsidRDefault="0051584D" w:rsidP="0051584D">
            <w:pPr>
              <w:pStyle w:val="BodyTextFirstIndent"/>
              <w:ind w:left="318" w:firstLine="0"/>
            </w:pPr>
            <w:r>
              <w:fldChar w:fldCharType="begin"/>
            </w:r>
            <w:r>
              <w:instrText xml:space="preserve"> REF _Ref529444596 \h </w:instrText>
            </w:r>
            <w:r>
              <w:fldChar w:fldCharType="separate"/>
            </w:r>
            <w:r w:rsidR="00F52F17" w:rsidRPr="00F30939">
              <w:t xml:space="preserve">Appendix </w:t>
            </w:r>
            <w:r w:rsidR="00F52F17">
              <w:t>4</w:t>
            </w:r>
            <w:r w:rsidR="00F52F17" w:rsidRPr="00F30939">
              <w:t>: Status of Audit Activity</w:t>
            </w:r>
            <w:r>
              <w:fldChar w:fldCharType="end"/>
            </w:r>
          </w:p>
        </w:tc>
        <w:tc>
          <w:tcPr>
            <w:tcW w:w="1002" w:type="dxa"/>
            <w:vAlign w:val="bottom"/>
          </w:tcPr>
          <w:p w14:paraId="226104D7" w14:textId="21483EA8" w:rsidR="0051584D" w:rsidRPr="00F30939" w:rsidRDefault="0051584D" w:rsidP="0051584D">
            <w:pPr>
              <w:jc w:val="center"/>
            </w:pPr>
            <w:r>
              <w:fldChar w:fldCharType="begin"/>
            </w:r>
            <w:r>
              <w:instrText xml:space="preserve"> PAGEREF _Ref529444596 \h </w:instrText>
            </w:r>
            <w:r>
              <w:fldChar w:fldCharType="separate"/>
            </w:r>
            <w:r w:rsidR="00F52F17">
              <w:rPr>
                <w:noProof/>
              </w:rPr>
              <w:t>100</w:t>
            </w:r>
            <w:r>
              <w:fldChar w:fldCharType="end"/>
            </w:r>
          </w:p>
        </w:tc>
      </w:tr>
      <w:tr w:rsidR="0051584D" w:rsidRPr="00F30939" w14:paraId="1BEBC90E" w14:textId="77777777" w:rsidTr="00CD6CC7">
        <w:trPr>
          <w:cantSplit/>
        </w:trPr>
        <w:tc>
          <w:tcPr>
            <w:tcW w:w="7362" w:type="dxa"/>
          </w:tcPr>
          <w:p w14:paraId="531381AD" w14:textId="0D5E8342" w:rsidR="0051584D" w:rsidRPr="00F30939" w:rsidRDefault="0051584D" w:rsidP="0051584D">
            <w:pPr>
              <w:pStyle w:val="BodyTextFirstIndent"/>
              <w:ind w:left="318" w:firstLine="0"/>
            </w:pPr>
            <w:r>
              <w:fldChar w:fldCharType="begin"/>
            </w:r>
            <w:r>
              <w:instrText xml:space="preserve"> REF _Ref529444601 \h </w:instrText>
            </w:r>
            <w:r>
              <w:fldChar w:fldCharType="separate"/>
            </w:r>
            <w:r w:rsidR="00F52F17" w:rsidRPr="00F30939">
              <w:t xml:space="preserve">Appendix </w:t>
            </w:r>
            <w:r w:rsidR="00F52F17">
              <w:t>5</w:t>
            </w:r>
            <w:r w:rsidR="00F52F17" w:rsidRPr="00F30939">
              <w:t xml:space="preserve">: Proposed Audit Activity in the Six </w:t>
            </w:r>
            <w:r w:rsidR="00F52F17" w:rsidRPr="00154E90">
              <w:t>Months Ending 31 December 2021</w:t>
            </w:r>
            <w:r>
              <w:fldChar w:fldCharType="end"/>
            </w:r>
          </w:p>
        </w:tc>
        <w:tc>
          <w:tcPr>
            <w:tcW w:w="1002" w:type="dxa"/>
            <w:vAlign w:val="bottom"/>
          </w:tcPr>
          <w:p w14:paraId="2E62B5F8" w14:textId="50A5DE6E" w:rsidR="0051584D" w:rsidRPr="00F30939" w:rsidRDefault="0051584D" w:rsidP="0051584D">
            <w:pPr>
              <w:jc w:val="center"/>
            </w:pPr>
            <w:r>
              <w:fldChar w:fldCharType="begin"/>
            </w:r>
            <w:r>
              <w:instrText xml:space="preserve"> PAGEREF _Ref529444601 \h </w:instrText>
            </w:r>
            <w:r>
              <w:fldChar w:fldCharType="separate"/>
            </w:r>
            <w:r w:rsidR="00F52F17">
              <w:rPr>
                <w:noProof/>
              </w:rPr>
              <w:t>101</w:t>
            </w:r>
            <w:r>
              <w:fldChar w:fldCharType="end"/>
            </w:r>
          </w:p>
        </w:tc>
      </w:tr>
      <w:tr w:rsidR="0051584D" w:rsidRPr="00F30939" w14:paraId="44EB3CC8" w14:textId="77777777" w:rsidTr="00CD6CC7">
        <w:trPr>
          <w:cantSplit/>
        </w:trPr>
        <w:tc>
          <w:tcPr>
            <w:tcW w:w="7362" w:type="dxa"/>
          </w:tcPr>
          <w:p w14:paraId="72AB2A1E" w14:textId="7EC1C690" w:rsidR="0051584D" w:rsidRPr="00F30939" w:rsidRDefault="0051584D" w:rsidP="0051584D">
            <w:pPr>
              <w:pStyle w:val="BodyTextFirstIndent"/>
              <w:ind w:left="318" w:firstLine="0"/>
            </w:pPr>
            <w:r>
              <w:fldChar w:fldCharType="begin"/>
            </w:r>
            <w:r>
              <w:instrText xml:space="preserve"> REF _Ref529444608 \h </w:instrText>
            </w:r>
            <w:r>
              <w:fldChar w:fldCharType="separate"/>
            </w:r>
            <w:r w:rsidR="00F52F17" w:rsidRPr="00F30939">
              <w:t xml:space="preserve">Appendix </w:t>
            </w:r>
            <w:r w:rsidR="00F52F17">
              <w:t>6</w:t>
            </w:r>
            <w:r w:rsidR="00F52F17" w:rsidRPr="00F30939">
              <w:t>: Abbreviations</w:t>
            </w:r>
            <w:r>
              <w:fldChar w:fldCharType="end"/>
            </w:r>
          </w:p>
        </w:tc>
        <w:tc>
          <w:tcPr>
            <w:tcW w:w="1002" w:type="dxa"/>
            <w:vAlign w:val="bottom"/>
          </w:tcPr>
          <w:p w14:paraId="2B7BBC15" w14:textId="69AFC00A" w:rsidR="0051584D" w:rsidRPr="00F30939" w:rsidRDefault="0051584D" w:rsidP="0051584D">
            <w:pPr>
              <w:jc w:val="center"/>
            </w:pPr>
            <w:r>
              <w:fldChar w:fldCharType="begin"/>
            </w:r>
            <w:r>
              <w:instrText xml:space="preserve"> PAGEREF _Ref529444608 \h </w:instrText>
            </w:r>
            <w:r>
              <w:fldChar w:fldCharType="separate"/>
            </w:r>
            <w:r w:rsidR="00F52F17">
              <w:rPr>
                <w:noProof/>
              </w:rPr>
              <w:t>102</w:t>
            </w:r>
            <w:r>
              <w:fldChar w:fldCharType="end"/>
            </w:r>
          </w:p>
        </w:tc>
      </w:tr>
      <w:tr w:rsidR="0051584D" w:rsidRPr="003A4148" w14:paraId="0E9F3522" w14:textId="77777777" w:rsidTr="007C26CB">
        <w:trPr>
          <w:cantSplit/>
        </w:trPr>
        <w:tc>
          <w:tcPr>
            <w:tcW w:w="7362" w:type="dxa"/>
          </w:tcPr>
          <w:p w14:paraId="4FE28501" w14:textId="0D999A90" w:rsidR="0051584D" w:rsidRPr="003A4148" w:rsidRDefault="0051584D" w:rsidP="0051584D">
            <w:pPr>
              <w:pStyle w:val="BodyTextFirstIndent"/>
              <w:ind w:left="318" w:firstLine="0"/>
            </w:pPr>
            <w:r w:rsidRPr="003A4148">
              <w:fldChar w:fldCharType="begin"/>
            </w:r>
            <w:r w:rsidRPr="003A4148">
              <w:instrText xml:space="preserve"> REF _Ref67057964 \h </w:instrText>
            </w:r>
            <w:r>
              <w:instrText xml:space="preserve"> \* MERGEFORMAT </w:instrText>
            </w:r>
            <w:r w:rsidRPr="003A4148">
              <w:fldChar w:fldCharType="separate"/>
            </w:r>
            <w:r w:rsidR="00F52F17">
              <w:t>Appendix 7: Agencies not subject to audit relating to the year ended 30 June 2021</w:t>
            </w:r>
            <w:r w:rsidRPr="003A4148">
              <w:fldChar w:fldCharType="end"/>
            </w:r>
          </w:p>
        </w:tc>
        <w:tc>
          <w:tcPr>
            <w:tcW w:w="1002" w:type="dxa"/>
            <w:vAlign w:val="bottom"/>
          </w:tcPr>
          <w:p w14:paraId="40155D0B" w14:textId="07524D9C" w:rsidR="0051584D" w:rsidRPr="003A4148" w:rsidRDefault="0051584D" w:rsidP="000675F7">
            <w:pPr>
              <w:jc w:val="center"/>
              <w:rPr>
                <w:noProof/>
              </w:rPr>
            </w:pPr>
            <w:r>
              <w:rPr>
                <w:noProof/>
              </w:rPr>
              <w:fldChar w:fldCharType="begin"/>
            </w:r>
            <w:r>
              <w:rPr>
                <w:noProof/>
              </w:rPr>
              <w:instrText xml:space="preserve"> PAGEREF _Ref67057964 \h </w:instrText>
            </w:r>
            <w:r>
              <w:rPr>
                <w:noProof/>
              </w:rPr>
            </w:r>
            <w:r>
              <w:rPr>
                <w:noProof/>
              </w:rPr>
              <w:fldChar w:fldCharType="separate"/>
            </w:r>
            <w:r w:rsidR="00F52F17">
              <w:rPr>
                <w:noProof/>
              </w:rPr>
              <w:t>104</w:t>
            </w:r>
            <w:r>
              <w:rPr>
                <w:noProof/>
              </w:rPr>
              <w:fldChar w:fldCharType="end"/>
            </w:r>
          </w:p>
        </w:tc>
      </w:tr>
      <w:tr w:rsidR="0051584D" w:rsidRPr="003A4148" w14:paraId="3CA7B2D9" w14:textId="77777777" w:rsidTr="007C26CB">
        <w:trPr>
          <w:cantSplit/>
        </w:trPr>
        <w:tc>
          <w:tcPr>
            <w:tcW w:w="7362" w:type="dxa"/>
          </w:tcPr>
          <w:p w14:paraId="5B352ED1" w14:textId="7C71AA22" w:rsidR="0051584D" w:rsidRDefault="0051584D" w:rsidP="0051584D">
            <w:pPr>
              <w:rPr>
                <w:b/>
              </w:rPr>
            </w:pPr>
            <w:r>
              <w:rPr>
                <w:b/>
              </w:rPr>
              <w:fldChar w:fldCharType="begin"/>
            </w:r>
            <w:r>
              <w:rPr>
                <w:b/>
              </w:rPr>
              <w:instrText xml:space="preserve"> REF _Ref69298155 \h  \* MERGEFORMAT </w:instrText>
            </w:r>
            <w:r>
              <w:rPr>
                <w:b/>
              </w:rPr>
            </w:r>
            <w:r>
              <w:rPr>
                <w:b/>
              </w:rPr>
              <w:fldChar w:fldCharType="separate"/>
            </w:r>
            <w:r w:rsidR="00F52F17" w:rsidRPr="00F52F17">
              <w:rPr>
                <w:b/>
              </w:rPr>
              <w:t>Contents by Entity</w:t>
            </w:r>
            <w:r>
              <w:rPr>
                <w:b/>
              </w:rPr>
              <w:fldChar w:fldCharType="end"/>
            </w:r>
          </w:p>
        </w:tc>
        <w:tc>
          <w:tcPr>
            <w:tcW w:w="1002" w:type="dxa"/>
            <w:vAlign w:val="bottom"/>
          </w:tcPr>
          <w:p w14:paraId="2251F16D" w14:textId="13B525FA" w:rsidR="0051584D" w:rsidRPr="003A4148" w:rsidRDefault="0051584D" w:rsidP="000675F7">
            <w:pPr>
              <w:jc w:val="center"/>
              <w:rPr>
                <w:noProof/>
              </w:rPr>
            </w:pPr>
            <w:r>
              <w:rPr>
                <w:noProof/>
              </w:rPr>
              <w:fldChar w:fldCharType="begin"/>
            </w:r>
            <w:r>
              <w:rPr>
                <w:noProof/>
              </w:rPr>
              <w:instrText xml:space="preserve"> PAGEREF _Ref69298155 \h </w:instrText>
            </w:r>
            <w:r>
              <w:rPr>
                <w:noProof/>
              </w:rPr>
            </w:r>
            <w:r>
              <w:rPr>
                <w:noProof/>
              </w:rPr>
              <w:fldChar w:fldCharType="separate"/>
            </w:r>
            <w:r w:rsidR="00F52F17">
              <w:rPr>
                <w:noProof/>
              </w:rPr>
              <w:t>105</w:t>
            </w:r>
            <w:r>
              <w:rPr>
                <w:noProof/>
              </w:rPr>
              <w:fldChar w:fldCharType="end"/>
            </w:r>
          </w:p>
        </w:tc>
      </w:tr>
      <w:bookmarkEnd w:id="0"/>
      <w:bookmarkEnd w:id="2"/>
    </w:tbl>
    <w:p w14:paraId="061EFECA" w14:textId="77777777" w:rsidR="000724EF" w:rsidRDefault="000724EF" w:rsidP="00011A13"/>
    <w:p w14:paraId="6E212F1F" w14:textId="77777777" w:rsidR="00D949D6" w:rsidRDefault="00D949D6">
      <w:pPr>
        <w:keepLines w:val="0"/>
        <w:tabs>
          <w:tab w:val="clear" w:pos="1378"/>
        </w:tabs>
        <w:spacing w:after="200" w:line="276" w:lineRule="auto"/>
        <w:sectPr w:rsidR="00D949D6" w:rsidSect="003F5414">
          <w:headerReference w:type="even" r:id="rId11"/>
          <w:headerReference w:type="default" r:id="rId12"/>
          <w:footerReference w:type="even" r:id="rId13"/>
          <w:footerReference w:type="default" r:id="rId14"/>
          <w:pgSz w:w="11906" w:h="16838" w:code="9"/>
          <w:pgMar w:top="1440" w:right="1440" w:bottom="1440" w:left="1440" w:header="709" w:footer="709" w:gutter="284"/>
          <w:cols w:space="708"/>
          <w:titlePg/>
          <w:docGrid w:linePitch="360"/>
        </w:sectPr>
      </w:pPr>
    </w:p>
    <w:p w14:paraId="0A19AAC1" w14:textId="77777777" w:rsidR="00A828C3" w:rsidRDefault="00A828C3" w:rsidP="003F5414"/>
    <w:p w14:paraId="15B87692" w14:textId="77777777" w:rsidR="000724EF" w:rsidRDefault="000724EF" w:rsidP="00011A13"/>
    <w:p w14:paraId="60A98B50" w14:textId="77777777" w:rsidR="000724EF" w:rsidRDefault="000724EF" w:rsidP="00011A13"/>
    <w:p w14:paraId="635278D1" w14:textId="77777777" w:rsidR="000724EF" w:rsidRDefault="00AA5FCE" w:rsidP="000724EF">
      <w:pPr>
        <w:spacing w:after="0" w:line="276" w:lineRule="auto"/>
      </w:pPr>
      <w:r w:rsidRPr="00F30939">
        <w:t xml:space="preserve">The </w:t>
      </w:r>
      <w:bookmarkStart w:id="3" w:name="Speaker_letter"/>
      <w:r w:rsidRPr="00F30939">
        <w:t>Honourable Speaker</w:t>
      </w:r>
      <w:bookmarkEnd w:id="3"/>
      <w:r w:rsidR="00011A13" w:rsidRPr="00F30939">
        <w:t xml:space="preserve"> of the Legislative</w:t>
      </w:r>
      <w:r w:rsidR="000724EF">
        <w:t xml:space="preserve"> </w:t>
      </w:r>
    </w:p>
    <w:p w14:paraId="6DF1D452" w14:textId="77777777" w:rsidR="000724EF" w:rsidRDefault="000724EF" w:rsidP="000724EF">
      <w:pPr>
        <w:tabs>
          <w:tab w:val="clear" w:pos="1378"/>
          <w:tab w:val="left" w:pos="284"/>
        </w:tabs>
        <w:spacing w:after="0" w:line="276" w:lineRule="auto"/>
      </w:pPr>
      <w:r>
        <w:tab/>
      </w:r>
      <w:r w:rsidR="00AA5FCE" w:rsidRPr="00F30939">
        <w:t>Assembly of the Northern Territory</w:t>
      </w:r>
    </w:p>
    <w:p w14:paraId="716B4B4B" w14:textId="77777777" w:rsidR="000724EF" w:rsidRDefault="00AA5FCE" w:rsidP="000724EF">
      <w:pPr>
        <w:spacing w:after="0" w:line="276" w:lineRule="auto"/>
      </w:pPr>
      <w:r w:rsidRPr="00F30939">
        <w:t>Parliament House</w:t>
      </w:r>
    </w:p>
    <w:p w14:paraId="3C345FAD" w14:textId="77777777" w:rsidR="00AA5FCE" w:rsidRDefault="00AA5FCE" w:rsidP="000724EF">
      <w:pPr>
        <w:spacing w:after="0" w:line="276" w:lineRule="auto"/>
      </w:pPr>
      <w:r w:rsidRPr="00F30939">
        <w:t>Darwin  NT  0800</w:t>
      </w:r>
    </w:p>
    <w:p w14:paraId="40474B30" w14:textId="77777777" w:rsidR="000724EF" w:rsidRDefault="000724EF" w:rsidP="000724EF">
      <w:pPr>
        <w:spacing w:after="0" w:line="240" w:lineRule="auto"/>
      </w:pPr>
    </w:p>
    <w:p w14:paraId="0A1C3407" w14:textId="77777777" w:rsidR="00AA5FCE" w:rsidRPr="00F30939" w:rsidRDefault="00AA5FCE" w:rsidP="00011A13"/>
    <w:p w14:paraId="77049DDF" w14:textId="5C51577E" w:rsidR="00AA5FCE" w:rsidRPr="00F30939" w:rsidRDefault="005457A5" w:rsidP="00011A13">
      <w:r w:rsidRPr="00F61ACA">
        <w:t xml:space="preserve">17 </w:t>
      </w:r>
      <w:r w:rsidR="006F199E" w:rsidRPr="00F61ACA">
        <w:t>August 2021</w:t>
      </w:r>
    </w:p>
    <w:p w14:paraId="07297019" w14:textId="77777777" w:rsidR="00AA5FCE" w:rsidRPr="00F30939" w:rsidRDefault="00AA5FCE" w:rsidP="00011A13"/>
    <w:p w14:paraId="5BBE1AC4" w14:textId="77777777" w:rsidR="00AA5FCE" w:rsidRPr="00864E99" w:rsidRDefault="00AA5FCE" w:rsidP="00011A13">
      <w:r w:rsidRPr="00F30939">
        <w:t>Dear M</w:t>
      </w:r>
      <w:r w:rsidRPr="00864E99">
        <w:t>adam Speaker,</w:t>
      </w:r>
    </w:p>
    <w:p w14:paraId="2715A713" w14:textId="5029750C" w:rsidR="00C10C5F" w:rsidRPr="00864E99" w:rsidRDefault="00C10C5F" w:rsidP="00C10C5F">
      <w:r w:rsidRPr="00864E99">
        <w:t xml:space="preserve">Accompanying this letter is my report to the Legislative Assembly on matters arising from audits, reviews and assessments completed during the </w:t>
      </w:r>
      <w:r w:rsidR="00F21735">
        <w:t>period from 1 March 2021 to 2</w:t>
      </w:r>
      <w:r w:rsidR="00154EC3" w:rsidRPr="00864E99">
        <w:t xml:space="preserve"> </w:t>
      </w:r>
      <w:r w:rsidR="00F21735">
        <w:t>July</w:t>
      </w:r>
      <w:r w:rsidR="00154EC3" w:rsidRPr="00864E99">
        <w:t xml:space="preserve"> 2021 that have not been previously reported</w:t>
      </w:r>
      <w:r w:rsidR="00556AEA">
        <w:t>.</w:t>
      </w:r>
      <w:r w:rsidRPr="00864E99">
        <w:t xml:space="preserve"> I request that you table th</w:t>
      </w:r>
      <w:r w:rsidR="00556AEA">
        <w:t>is</w:t>
      </w:r>
      <w:r w:rsidRPr="00864E99">
        <w:t xml:space="preserve"> report in the Legislative Assembly.</w:t>
      </w:r>
    </w:p>
    <w:p w14:paraId="39933B80" w14:textId="241D0AF2" w:rsidR="006B3A78" w:rsidRDefault="006B3A78" w:rsidP="00C10C5F">
      <w:r w:rsidRPr="00864E99">
        <w:t xml:space="preserve">The findings from the three </w:t>
      </w:r>
      <w:r w:rsidRPr="001E6891">
        <w:t xml:space="preserve">performance management system audits focussed on elements of the Northern Territory government’s COVID-19 response that </w:t>
      </w:r>
      <w:r w:rsidR="00C30B2D" w:rsidRPr="001E6891">
        <w:t xml:space="preserve">were also completed </w:t>
      </w:r>
      <w:r w:rsidR="00556AEA">
        <w:t>during the</w:t>
      </w:r>
      <w:r w:rsidRPr="001E6891">
        <w:t xml:space="preserve"> period were </w:t>
      </w:r>
      <w:r w:rsidR="00C30B2D" w:rsidRPr="001E6891">
        <w:t>communicated</w:t>
      </w:r>
      <w:r w:rsidRPr="001E6891">
        <w:t xml:space="preserve"> in an earlier report to Parliament tabled on 24 June 2021.</w:t>
      </w:r>
    </w:p>
    <w:p w14:paraId="421559AF" w14:textId="2A3D3FD6" w:rsidR="001662D5" w:rsidRDefault="001662D5" w:rsidP="00C10C5F">
      <w:r w:rsidRPr="001E6891">
        <w:t>This report presents the results of financial statements audits completed during the period.</w:t>
      </w:r>
    </w:p>
    <w:p w14:paraId="0AC6CE49" w14:textId="7130F6A5" w:rsidR="001662D5" w:rsidRDefault="001662D5" w:rsidP="00C10C5F">
      <w:r w:rsidRPr="001E6891">
        <w:t>Audits designed to test agencies’ compliance with aspects of the Financial Management and Accountability Framework such as the Treasurer’s Directions and mandated procurement requirements were conducted at 16 agencies. The findings from those audits are presented within this report</w:t>
      </w:r>
      <w:r>
        <w:t>.</w:t>
      </w:r>
    </w:p>
    <w:p w14:paraId="7E7309C1" w14:textId="220431AB" w:rsidR="001662D5" w:rsidRDefault="001662D5" w:rsidP="00C10C5F">
      <w:r w:rsidRPr="001E6891">
        <w:t xml:space="preserve">Data analytics exercises conducted on fuel card transactions and public sector leave over the 2020 Christmas </w:t>
      </w:r>
      <w:r w:rsidR="00B750E5">
        <w:t>close-down</w:t>
      </w:r>
      <w:r w:rsidRPr="001E6891">
        <w:t xml:space="preserve"> period were recently undertaken and the results are presented within this report.</w:t>
      </w:r>
    </w:p>
    <w:p w14:paraId="5064FF77" w14:textId="122A39CA" w:rsidR="001662D5" w:rsidRPr="001E6891" w:rsidRDefault="001662D5" w:rsidP="00C10C5F">
      <w:r w:rsidRPr="001E6891">
        <w:t>The report also presents the findings from audits of information technology systems that were undertaken to assess whether access to those systems and controls over data maintained within such systems were adequate.</w:t>
      </w:r>
    </w:p>
    <w:p w14:paraId="5069C91F" w14:textId="26A806A4" w:rsidR="00AA5FCE" w:rsidRPr="00F30939" w:rsidRDefault="00AA5FCE" w:rsidP="00011A13">
      <w:bookmarkStart w:id="4" w:name="_GoBack"/>
      <w:bookmarkEnd w:id="4"/>
      <w:r w:rsidRPr="001E6891">
        <w:t>Yours sincerely,</w:t>
      </w:r>
    </w:p>
    <w:p w14:paraId="05558827" w14:textId="6D317B91" w:rsidR="00AA5FCE" w:rsidRPr="00F30939" w:rsidRDefault="00AA5FCE" w:rsidP="00011A13"/>
    <w:p w14:paraId="3D54E422" w14:textId="4E7EEB7B" w:rsidR="00AA5FCE" w:rsidRPr="00F30939" w:rsidRDefault="00AA5FCE" w:rsidP="00011A13"/>
    <w:p w14:paraId="7CC0CD61" w14:textId="77777777" w:rsidR="00566A3D" w:rsidRPr="00F30939" w:rsidRDefault="00AA5FCE" w:rsidP="00011A13">
      <w:r w:rsidRPr="00F30939">
        <w:t>Julie Crisp</w:t>
      </w:r>
      <w:r w:rsidRPr="00F30939">
        <w:br/>
      </w:r>
      <w:r w:rsidR="00686A4D">
        <w:t>Auditor</w:t>
      </w:r>
      <w:r w:rsidR="00686A4D">
        <w:noBreakHyphen/>
        <w:t>General</w:t>
      </w:r>
      <w:r w:rsidRPr="00F30939">
        <w:t xml:space="preserve"> for the Northern Territory</w:t>
      </w:r>
    </w:p>
    <w:p w14:paraId="0B940B10" w14:textId="77777777" w:rsidR="005C762A" w:rsidRDefault="005C762A" w:rsidP="005C762A"/>
    <w:p w14:paraId="49790C00" w14:textId="1793C67B" w:rsidR="00566A3D" w:rsidRPr="00F30939" w:rsidRDefault="000675F7" w:rsidP="000D515D">
      <w:pPr>
        <w:pStyle w:val="Heading1"/>
      </w:pPr>
      <w:bookmarkStart w:id="5" w:name="_Ref529441218"/>
      <w:r>
        <w:t>Auditor-</w:t>
      </w:r>
      <w:r w:rsidR="00686A4D">
        <w:t>General</w:t>
      </w:r>
      <w:r w:rsidR="00566A3D" w:rsidRPr="00F30939">
        <w:t>’s Overview</w:t>
      </w:r>
      <w:bookmarkEnd w:id="5"/>
    </w:p>
    <w:p w14:paraId="43CE35C4" w14:textId="77777777" w:rsidR="000B27EF" w:rsidRPr="00F30939" w:rsidRDefault="000B27EF" w:rsidP="000B27EF">
      <w:pPr>
        <w:pStyle w:val="Heading2"/>
      </w:pPr>
      <w:r w:rsidRPr="00F30939">
        <w:t>Audits Included in this Report</w:t>
      </w:r>
    </w:p>
    <w:p w14:paraId="58F16AE8" w14:textId="7F05202D" w:rsidR="000B27EF" w:rsidRPr="00005AC0" w:rsidRDefault="000B27EF" w:rsidP="000B27EF">
      <w:r w:rsidRPr="00005AC0">
        <w:t xml:space="preserve">This report outlines the results of </w:t>
      </w:r>
      <w:r w:rsidR="00005AC0" w:rsidRPr="00005AC0">
        <w:t xml:space="preserve">29 </w:t>
      </w:r>
      <w:r w:rsidRPr="00005AC0">
        <w:t xml:space="preserve">separate audits and other tasks completed during the period </w:t>
      </w:r>
      <w:r w:rsidR="00F21735">
        <w:t>1 March</w:t>
      </w:r>
      <w:r w:rsidR="004008E9" w:rsidRPr="00005AC0">
        <w:t xml:space="preserve"> 2021</w:t>
      </w:r>
      <w:r w:rsidRPr="00005AC0">
        <w:t xml:space="preserve"> to </w:t>
      </w:r>
      <w:r w:rsidR="00F21735">
        <w:t>2 July</w:t>
      </w:r>
      <w:r w:rsidR="004008E9" w:rsidRPr="00005AC0">
        <w:t xml:space="preserve"> 2021</w:t>
      </w:r>
      <w:r w:rsidR="00A715EB" w:rsidRPr="00005AC0">
        <w:t xml:space="preserve">. </w:t>
      </w:r>
      <w:r w:rsidRPr="00005AC0">
        <w:t xml:space="preserve">This report summarises the results of the following types of audits and legislated tasks conducted during the period: </w:t>
      </w:r>
    </w:p>
    <w:p w14:paraId="409F23CB" w14:textId="77777777" w:rsidR="000B27EF" w:rsidRPr="00005AC0" w:rsidRDefault="000B27EF" w:rsidP="000B27EF">
      <w:pPr>
        <w:pStyle w:val="ListBullet"/>
      </w:pPr>
      <w:r w:rsidRPr="00005AC0">
        <w:t>Statutory Audits of Financial Statements;</w:t>
      </w:r>
    </w:p>
    <w:p w14:paraId="7905E634" w14:textId="77777777" w:rsidR="00F61ACA" w:rsidRPr="00005AC0" w:rsidRDefault="000B27EF" w:rsidP="000B27EF">
      <w:pPr>
        <w:pStyle w:val="ListBullet"/>
      </w:pPr>
      <w:r w:rsidRPr="00005AC0">
        <w:t>Controls and Compliance Audits;</w:t>
      </w:r>
    </w:p>
    <w:p w14:paraId="342CF099" w14:textId="608C30BA" w:rsidR="000B27EF" w:rsidRPr="00005AC0" w:rsidRDefault="00F61ACA" w:rsidP="000B27EF">
      <w:pPr>
        <w:pStyle w:val="ListBullet"/>
      </w:pPr>
      <w:r w:rsidRPr="00005AC0">
        <w:t>Information Technology Audits;</w:t>
      </w:r>
      <w:r w:rsidR="000B27EF" w:rsidRPr="00005AC0">
        <w:t xml:space="preserve"> and</w:t>
      </w:r>
    </w:p>
    <w:p w14:paraId="3B16ECDB" w14:textId="45B6D0AE" w:rsidR="000B27EF" w:rsidRPr="00005AC0" w:rsidRDefault="00005AC0" w:rsidP="000B27EF">
      <w:pPr>
        <w:pStyle w:val="ListBullet"/>
      </w:pPr>
      <w:r w:rsidRPr="00005AC0">
        <w:t>Data analytics exercises</w:t>
      </w:r>
      <w:r w:rsidR="000B27EF" w:rsidRPr="00005AC0">
        <w:t>.</w:t>
      </w:r>
    </w:p>
    <w:p w14:paraId="7F08D0E0" w14:textId="0D2745FA" w:rsidR="005125F7" w:rsidRPr="005125F7" w:rsidRDefault="005125F7" w:rsidP="005125F7">
      <w:r w:rsidRPr="00EB06B2">
        <w:t xml:space="preserve">The report presents the results of </w:t>
      </w:r>
      <w:r>
        <w:t>audits</w:t>
      </w:r>
      <w:r w:rsidRPr="00EB06B2">
        <w:t xml:space="preserve"> that were performed to assess the adequacy of selected aspects of controls over accounting and material financial transactions at 1</w:t>
      </w:r>
      <w:r>
        <w:t>6</w:t>
      </w:r>
      <w:r w:rsidRPr="00EB06B2">
        <w:t xml:space="preserve"> Northern Territory Government </w:t>
      </w:r>
      <w:r w:rsidR="00556AEA">
        <w:t>a</w:t>
      </w:r>
      <w:r>
        <w:t>gencies</w:t>
      </w:r>
      <w:r w:rsidRPr="00EB06B2">
        <w:t xml:space="preserve">.  Findings arising from these audits have been reported to the affected </w:t>
      </w:r>
      <w:r w:rsidR="00556AEA">
        <w:t>a</w:t>
      </w:r>
      <w:r>
        <w:t>gencies</w:t>
      </w:r>
      <w:r w:rsidRPr="00EB06B2">
        <w:t xml:space="preserve"> to enable them to address control w</w:t>
      </w:r>
      <w:r>
        <w:t>eaknesses as required.  Agency C</w:t>
      </w:r>
      <w:r w:rsidRPr="00EB06B2">
        <w:t xml:space="preserve">ompliance </w:t>
      </w:r>
      <w:r>
        <w:t>A</w:t>
      </w:r>
      <w:r w:rsidRPr="00EB06B2">
        <w:t xml:space="preserve">udits are undertaken in accordance with </w:t>
      </w:r>
      <w:r w:rsidRPr="005125F7">
        <w:t xml:space="preserve">Section 13 of the </w:t>
      </w:r>
      <w:r w:rsidRPr="005125F7">
        <w:rPr>
          <w:i/>
        </w:rPr>
        <w:t>Audit Act 1995</w:t>
      </w:r>
      <w:r w:rsidRPr="005125F7">
        <w:t xml:space="preserve"> and provide support to the audit of the Treasurer’s Annual Financial Statement.</w:t>
      </w:r>
    </w:p>
    <w:p w14:paraId="28533A17" w14:textId="7F438665" w:rsidR="000B27EF" w:rsidRDefault="000B27EF" w:rsidP="000B27EF">
      <w:r w:rsidRPr="005125F7">
        <w:t>Also included are the results of audits of financial stat</w:t>
      </w:r>
      <w:r w:rsidR="00295AE6">
        <w:t>ements for those entities with</w:t>
      </w:r>
      <w:r w:rsidRPr="005125F7">
        <w:t xml:space="preserve"> financial year</w:t>
      </w:r>
      <w:r w:rsidR="00295AE6">
        <w:t>s</w:t>
      </w:r>
      <w:r w:rsidRPr="005125F7">
        <w:t xml:space="preserve"> ended </w:t>
      </w:r>
      <w:r w:rsidR="00295AE6">
        <w:t xml:space="preserve">30 June 2020 and </w:t>
      </w:r>
      <w:r w:rsidR="004008E9" w:rsidRPr="005125F7">
        <w:t>31 December 2020</w:t>
      </w:r>
      <w:r w:rsidRPr="005125F7">
        <w:t xml:space="preserve"> where the audits were completed </w:t>
      </w:r>
      <w:r w:rsidR="00295AE6" w:rsidRPr="00005AC0">
        <w:t xml:space="preserve">during the period </w:t>
      </w:r>
      <w:r w:rsidR="00295AE6">
        <w:t>1 March</w:t>
      </w:r>
      <w:r w:rsidR="00295AE6" w:rsidRPr="00005AC0">
        <w:t xml:space="preserve"> 2021 to </w:t>
      </w:r>
      <w:r w:rsidR="00295AE6">
        <w:t>2 July</w:t>
      </w:r>
      <w:r w:rsidR="00295AE6" w:rsidRPr="00005AC0">
        <w:t xml:space="preserve"> 2021</w:t>
      </w:r>
      <w:r w:rsidRPr="005125F7">
        <w:t>.</w:t>
      </w:r>
    </w:p>
    <w:p w14:paraId="6D0811B8" w14:textId="430AAB04" w:rsidR="009744EB" w:rsidRDefault="009744EB" w:rsidP="009744EB">
      <w:r w:rsidRPr="001E6891">
        <w:t>Data analytics exercises conducted on fuel card transactions and public sector</w:t>
      </w:r>
      <w:r w:rsidR="00B750E5">
        <w:t xml:space="preserve"> leave over the 2020 Christmas close-down</w:t>
      </w:r>
      <w:r w:rsidRPr="001E6891">
        <w:t xml:space="preserve"> period were recently undertaken and the results are presented within this report.</w:t>
      </w:r>
    </w:p>
    <w:p w14:paraId="74D7BA30" w14:textId="4F55A77D" w:rsidR="009744EB" w:rsidRPr="001E6891" w:rsidRDefault="009744EB" w:rsidP="009744EB">
      <w:r>
        <w:t>Two</w:t>
      </w:r>
      <w:r w:rsidRPr="001E6891">
        <w:t xml:space="preserve"> audits of information technology systems</w:t>
      </w:r>
      <w:r>
        <w:t xml:space="preserve">, being the Identity and Access Management System and the Integrated Revenue Application </w:t>
      </w:r>
      <w:r w:rsidRPr="001E6891">
        <w:t>were undertaken to assess whether access to those systems and controls over data maintained within such systems were adequate.</w:t>
      </w:r>
    </w:p>
    <w:p w14:paraId="1BE8441F" w14:textId="1AC8CD90" w:rsidR="000B27EF" w:rsidRPr="005125F7" w:rsidRDefault="000B27EF" w:rsidP="000B27EF">
      <w:r w:rsidRPr="005125F7">
        <w:t>Agencies and entities are provided with the opportunity to comment on any of the matters reported in r</w:t>
      </w:r>
      <w:r w:rsidR="00A715EB" w:rsidRPr="005125F7">
        <w:t>elation to their audit results.</w:t>
      </w:r>
      <w:r w:rsidRPr="005125F7">
        <w:t xml:space="preserve"> Where they choose to do so, their responses are detailed at the end of the relevant section.</w:t>
      </w:r>
    </w:p>
    <w:p w14:paraId="388A22D8" w14:textId="311D8345" w:rsidR="000B27EF" w:rsidRPr="00C30282" w:rsidRDefault="000B27EF" w:rsidP="000B27EF">
      <w:r w:rsidRPr="005125F7">
        <w:t xml:space="preserve">The </w:t>
      </w:r>
      <w:r w:rsidR="00595A1F" w:rsidRPr="005125F7">
        <w:rPr>
          <w:i/>
        </w:rPr>
        <w:t>Audit Act 1995</w:t>
      </w:r>
      <w:r w:rsidR="00C10C5F" w:rsidRPr="005125F7">
        <w:rPr>
          <w:i/>
        </w:rPr>
        <w:t xml:space="preserve"> </w:t>
      </w:r>
      <w:r w:rsidRPr="005125F7">
        <w:t xml:space="preserve">provides a legislative requirement for the </w:t>
      </w:r>
      <w:r w:rsidR="00686A4D" w:rsidRPr="005125F7">
        <w:t>Auditor</w:t>
      </w:r>
      <w:r w:rsidR="00686A4D" w:rsidRPr="005125F7">
        <w:noBreakHyphen/>
        <w:t>General</w:t>
      </w:r>
      <w:r w:rsidRPr="005125F7">
        <w:t xml:space="preserve"> to report to the Legislative Assemb</w:t>
      </w:r>
      <w:r w:rsidR="00A715EB" w:rsidRPr="005125F7">
        <w:t>ly on at least an annual basis.</w:t>
      </w:r>
      <w:r w:rsidRPr="005125F7">
        <w:t xml:space="preserve"> This is the </w:t>
      </w:r>
      <w:r w:rsidR="004008E9" w:rsidRPr="005125F7">
        <w:t>first</w:t>
      </w:r>
      <w:r w:rsidRPr="005125F7">
        <w:t xml:space="preserve"> report provided for tabling within the Legislative Assembly for the year ending 30 </w:t>
      </w:r>
      <w:r w:rsidRPr="00C30282">
        <w:t xml:space="preserve">June </w:t>
      </w:r>
      <w:r w:rsidR="004008E9" w:rsidRPr="00C30282">
        <w:t>2022</w:t>
      </w:r>
      <w:r w:rsidR="008426EA">
        <w:t>. The most recent</w:t>
      </w:r>
      <w:r w:rsidRPr="00C30282">
        <w:t xml:space="preserve"> report </w:t>
      </w:r>
      <w:r w:rsidR="008426EA">
        <w:t xml:space="preserve">prior to this </w:t>
      </w:r>
      <w:r w:rsidRPr="00C30282">
        <w:t xml:space="preserve">was tabled </w:t>
      </w:r>
      <w:r w:rsidR="005125F7" w:rsidRPr="00C30282">
        <w:t>on 24 June</w:t>
      </w:r>
      <w:r w:rsidRPr="00C30282">
        <w:t xml:space="preserve"> </w:t>
      </w:r>
      <w:r w:rsidR="004008E9" w:rsidRPr="00C30282">
        <w:t>2021</w:t>
      </w:r>
      <w:r w:rsidR="00A715EB" w:rsidRPr="00C30282">
        <w:t xml:space="preserve">. </w:t>
      </w:r>
    </w:p>
    <w:p w14:paraId="26677A2F" w14:textId="4E0069C0" w:rsidR="0045031A" w:rsidRDefault="000B27EF" w:rsidP="0045031A">
      <w:r w:rsidRPr="00C30282">
        <w:t xml:space="preserve">A number of audits scheduled to be commenced and completed </w:t>
      </w:r>
      <w:r w:rsidR="004008E9" w:rsidRPr="00C30282">
        <w:t xml:space="preserve">by </w:t>
      </w:r>
      <w:r w:rsidR="00C30282" w:rsidRPr="00C30282">
        <w:t>2 July</w:t>
      </w:r>
      <w:r w:rsidR="004008E9" w:rsidRPr="00C30282">
        <w:t xml:space="preserve"> 2021</w:t>
      </w:r>
      <w:r w:rsidR="00A715EB" w:rsidRPr="00C30282">
        <w:t xml:space="preserve"> are still to be completed.</w:t>
      </w:r>
      <w:r w:rsidRPr="00C30282">
        <w:t xml:space="preserve"> The outcomes of these audits (listed in </w:t>
      </w:r>
      <w:r w:rsidR="004008E9" w:rsidRPr="00C30282">
        <w:fldChar w:fldCharType="begin"/>
      </w:r>
      <w:r w:rsidR="004008E9" w:rsidRPr="00C30282">
        <w:instrText xml:space="preserve"> REF _Ref529444596 \h </w:instrText>
      </w:r>
      <w:r w:rsidR="00C30282">
        <w:instrText xml:space="preserve"> \* MERGEFORMAT </w:instrText>
      </w:r>
      <w:r w:rsidR="004008E9" w:rsidRPr="00C30282">
        <w:fldChar w:fldCharType="separate"/>
      </w:r>
      <w:r w:rsidR="00F52F17" w:rsidRPr="00F30939">
        <w:t xml:space="preserve">Appendix </w:t>
      </w:r>
      <w:r w:rsidR="00F52F17">
        <w:t>4</w:t>
      </w:r>
      <w:r w:rsidR="00F52F17" w:rsidRPr="00F30939">
        <w:t>: Status of Audit Activity</w:t>
      </w:r>
      <w:r w:rsidR="004008E9" w:rsidRPr="00C30282">
        <w:fldChar w:fldCharType="end"/>
      </w:r>
      <w:r w:rsidRPr="00C30282">
        <w:t xml:space="preserve">) will be presented in </w:t>
      </w:r>
      <w:r w:rsidR="004008E9" w:rsidRPr="00C30282">
        <w:t>future</w:t>
      </w:r>
      <w:r w:rsidRPr="00C30282">
        <w:t xml:space="preserve"> report</w:t>
      </w:r>
      <w:r w:rsidR="004008E9" w:rsidRPr="00C30282">
        <w:t>s</w:t>
      </w:r>
      <w:r w:rsidRPr="00C30282">
        <w:t xml:space="preserve"> to the Legislative Assembly.</w:t>
      </w:r>
    </w:p>
    <w:p w14:paraId="6E05ECD1" w14:textId="0E42B0F1" w:rsidR="009744EB" w:rsidRPr="009744EB" w:rsidRDefault="009744EB" w:rsidP="0045031A">
      <w:r>
        <w:t>There have been no matters referred to the Auditor</w:t>
      </w:r>
      <w:r>
        <w:noBreakHyphen/>
        <w:t xml:space="preserve">General under the </w:t>
      </w:r>
      <w:r>
        <w:rPr>
          <w:i/>
        </w:rPr>
        <w:t>Public Information Act 2010</w:t>
      </w:r>
      <w:r>
        <w:t>.</w:t>
      </w:r>
    </w:p>
    <w:p w14:paraId="6AC71C03" w14:textId="77777777" w:rsidR="008F0E9E" w:rsidRDefault="0027721D" w:rsidP="0045031A">
      <w:r>
        <w:br w:type="page"/>
      </w:r>
    </w:p>
    <w:p w14:paraId="738A8F1B" w14:textId="77777777" w:rsidR="00752789" w:rsidRDefault="002820C4" w:rsidP="00C107D1">
      <w:pPr>
        <w:rPr>
          <w:rFonts w:ascii="Arial Black" w:hAnsi="Arial Black"/>
          <w:b/>
          <w:color w:val="004949"/>
          <w:sz w:val="32"/>
        </w:rPr>
      </w:pPr>
      <w:r w:rsidRPr="00F30939">
        <w:rPr>
          <w:noProof/>
          <w:lang w:val="en-GB" w:eastAsia="en-GB"/>
        </w:rPr>
        <mc:AlternateContent>
          <mc:Choice Requires="wps">
            <w:drawing>
              <wp:anchor distT="0" distB="0" distL="114300" distR="114300" simplePos="0" relativeHeight="251660288" behindDoc="0" locked="0" layoutInCell="1" allowOverlap="1" wp14:anchorId="5F634F26" wp14:editId="7FE053D8">
                <wp:simplePos x="0" y="0"/>
                <wp:positionH relativeFrom="page">
                  <wp:align>center</wp:align>
                </wp:positionH>
                <wp:positionV relativeFrom="page">
                  <wp:align>center</wp:align>
                </wp:positionV>
                <wp:extent cx="2026800" cy="352800"/>
                <wp:effectExtent l="0" t="0" r="0" b="7620"/>
                <wp:wrapNone/>
                <wp:docPr id="24"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14:paraId="47CCB1EA" w14:textId="77777777" w:rsidR="00BE415F" w:rsidRDefault="00BE415F" w:rsidP="002820C4">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634F26" id="_x0000_s1035" type="#_x0000_t202" alt="Title: This page deliberately left blank. - Description: This page deliberately left blank." style="position:absolute;margin-left:0;margin-top:0;width:159.6pt;height:27.8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" stroked="f">
                <v:textbox style="mso-fit-shape-to-text:t">
                  <w:txbxContent>
                    <w:p w14:paraId="47CCB1EA" w14:textId="77777777" w:rsidR="00BE415F" w:rsidRDefault="00BE415F" w:rsidP="002820C4">
                      <w:r>
                        <w:t>This page deliberately left blank.</w:t>
                      </w:r>
                    </w:p>
                  </w:txbxContent>
                </v:textbox>
                <w10:wrap anchorx="page" anchory="page"/>
              </v:shape>
            </w:pict>
          </mc:Fallback>
        </mc:AlternateContent>
      </w:r>
      <w:bookmarkStart w:id="6" w:name="_Ref529441393"/>
      <w:r w:rsidR="0027721D">
        <w:rPr>
          <w:noProof/>
          <w:lang w:val="en-GB" w:eastAsia="en-GB"/>
        </w:rPr>
        <mc:AlternateContent>
          <mc:Choice Requires="wps">
            <w:drawing>
              <wp:anchor distT="45720" distB="45720" distL="114300" distR="114300" simplePos="0" relativeHeight="251667456" behindDoc="0" locked="0" layoutInCell="1" allowOverlap="1" wp14:anchorId="5BFD8D03" wp14:editId="29179C8F">
                <wp:simplePos x="0" y="0"/>
                <wp:positionH relativeFrom="page">
                  <wp:align>center</wp:align>
                </wp:positionH>
                <wp:positionV relativeFrom="page">
                  <wp:align>center</wp:align>
                </wp:positionV>
                <wp:extent cx="5842800" cy="1404620"/>
                <wp:effectExtent l="0" t="0" r="5715" b="1270"/>
                <wp:wrapSquare wrapText="bothSides"/>
                <wp:docPr id="31" name="Text Box 2" descr="Reports on the Results of Audit, Reviews and Assessments" title="Reports on the Results of Audit, Reviews and Assess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800" cy="1404620"/>
                        </a:xfrm>
                        <a:prstGeom prst="rect">
                          <a:avLst/>
                        </a:prstGeom>
                        <a:solidFill>
                          <a:srgbClr val="FFFFFF"/>
                        </a:solidFill>
                        <a:ln w="9525">
                          <a:noFill/>
                          <a:miter lim="800000"/>
                          <a:headEnd/>
                          <a:tailEnd/>
                        </a:ln>
                      </wps:spPr>
                      <wps:txbx>
                        <w:txbxContent>
                          <w:p w14:paraId="2775BD55" w14:textId="77777777" w:rsidR="00BE415F" w:rsidRDefault="00BE415F" w:rsidP="000D515D">
                            <w:pPr>
                              <w:pStyle w:val="Heading1-center"/>
                            </w:pPr>
                            <w:bookmarkStart w:id="7" w:name="Results_audit_reviews"/>
                            <w:r w:rsidRPr="00F30939">
                              <w:t>Reports on the Results of Audit</w:t>
                            </w:r>
                            <w:r>
                              <w:t>s</w:t>
                            </w:r>
                            <w:r w:rsidRPr="00F30939">
                              <w:t xml:space="preserve">, Reviews and </w:t>
                            </w:r>
                            <w:r w:rsidRPr="00BD518F">
                              <w:t>Assessments</w:t>
                            </w:r>
                            <w:bookmarkEnd w:id="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FD8D03" id="_x0000_s1036" type="#_x0000_t202" alt="Title: Reports on the Results of Audit, Reviews and Assessments - Description: Reports on the Results of Audit, Reviews and Assessments" style="position:absolute;margin-left:0;margin-top:0;width:460.05pt;height:110.6pt;z-index:251667456;visibility:visible;mso-wrap-style:square;mso-width-percent:0;mso-height-percent:200;mso-wrap-distance-left:9pt;mso-wrap-distance-top:3.6pt;mso-wrap-distance-right:9pt;mso-wrap-distance-bottom:3.6pt;mso-position-horizontal:center;mso-position-horizontal-relative:page;mso-position-vertical:center;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" stroked="f">
                <v:textbox style="mso-fit-shape-to-text:t">
                  <w:txbxContent>
                    <w:p w14:paraId="2775BD55" w14:textId="77777777" w:rsidR="00BE415F" w:rsidRDefault="00BE415F" w:rsidP="000D515D">
                      <w:pPr>
                        <w:pStyle w:val="Heading1-center"/>
                      </w:pPr>
                      <w:bookmarkStart w:id="8" w:name="Results_audit_reviews"/>
                      <w:r w:rsidRPr="00F30939">
                        <w:t>Reports on the Results of Audit</w:t>
                      </w:r>
                      <w:r>
                        <w:t>s</w:t>
                      </w:r>
                      <w:r w:rsidRPr="00F30939">
                        <w:t xml:space="preserve">, Reviews and </w:t>
                      </w:r>
                      <w:r w:rsidRPr="00BD518F">
                        <w:t>Assessments</w:t>
                      </w:r>
                      <w:bookmarkEnd w:id="8"/>
                    </w:p>
                  </w:txbxContent>
                </v:textbox>
                <w10:wrap type="square" anchorx="page" anchory="page"/>
              </v:shape>
            </w:pict>
          </mc:Fallback>
        </mc:AlternateContent>
      </w:r>
      <w:bookmarkEnd w:id="6"/>
    </w:p>
    <w:p w14:paraId="0FFBF33C" w14:textId="77777777" w:rsidR="006B5C69" w:rsidRPr="000D515D" w:rsidRDefault="006B5C69" w:rsidP="006B5C69">
      <w:pPr>
        <w:pStyle w:val="Heading1"/>
      </w:pPr>
      <w:bookmarkStart w:id="8" w:name="_Ref44944232"/>
      <w:bookmarkStart w:id="9" w:name="_Ref34309274"/>
      <w:r>
        <w:t>Charles Darwin University</w:t>
      </w:r>
      <w:bookmarkEnd w:id="8"/>
    </w:p>
    <w:p w14:paraId="4FAEEC95" w14:textId="7CFBC12F" w:rsidR="006B5C69" w:rsidRPr="000D515D" w:rsidRDefault="006B5C69" w:rsidP="006B5C69">
      <w:pPr>
        <w:pStyle w:val="Heading2"/>
      </w:pPr>
      <w:bookmarkStart w:id="10" w:name="_Ref34309445"/>
      <w:r w:rsidRPr="000D515D">
        <w:t xml:space="preserve">Audit Findings and Analysis of the Financial Statements for the Year Ended </w:t>
      </w:r>
      <w:r>
        <w:t xml:space="preserve">31 December </w:t>
      </w:r>
      <w:bookmarkEnd w:id="10"/>
      <w:r w:rsidR="00AE5980">
        <w:t>2020</w:t>
      </w:r>
    </w:p>
    <w:p w14:paraId="04B6FB48" w14:textId="77777777" w:rsidR="006B5C69" w:rsidRPr="001D683F" w:rsidRDefault="006B5C69" w:rsidP="006B5C69">
      <w:pPr>
        <w:pStyle w:val="Heading3"/>
      </w:pPr>
      <w:r w:rsidRPr="001D683F">
        <w:t>Background</w:t>
      </w:r>
    </w:p>
    <w:p w14:paraId="7AD2A2E3" w14:textId="77777777" w:rsidR="006B5C69" w:rsidRPr="001D683F" w:rsidRDefault="006B5C69" w:rsidP="006B5C69">
      <w:r w:rsidRPr="001D683F">
        <w:t xml:space="preserve">Charles Darwin University (the University) is established under the </w:t>
      </w:r>
      <w:r w:rsidRPr="001D683F">
        <w:rPr>
          <w:i/>
        </w:rPr>
        <w:t>Charles Darwin University Act 2003</w:t>
      </w:r>
      <w:r w:rsidRPr="001D683F">
        <w:t xml:space="preserve">. The University controls the following entities: </w:t>
      </w:r>
    </w:p>
    <w:p w14:paraId="7DBFE555" w14:textId="77777777" w:rsidR="006B5C69" w:rsidRPr="001D683F" w:rsidRDefault="006B5C69" w:rsidP="006B5C69">
      <w:pPr>
        <w:pStyle w:val="ListBullet"/>
      </w:pPr>
      <w:r w:rsidRPr="001D683F">
        <w:t>Menzies School of Health Research including the Bridging the Gap Trust;</w:t>
      </w:r>
    </w:p>
    <w:p w14:paraId="45CDEC48" w14:textId="736917CE" w:rsidR="006B5C69" w:rsidRPr="001D683F" w:rsidRDefault="006B5C69" w:rsidP="006B5C69">
      <w:pPr>
        <w:pStyle w:val="ListBullet"/>
      </w:pPr>
      <w:r w:rsidRPr="001D683F">
        <w:t>CDU Amenities Limited (a company limited by guarantee);</w:t>
      </w:r>
      <w:r w:rsidR="001D683F" w:rsidRPr="001D683F">
        <w:t xml:space="preserve"> and</w:t>
      </w:r>
    </w:p>
    <w:p w14:paraId="1C295C10" w14:textId="4C460AB1" w:rsidR="006B5C69" w:rsidRPr="001D683F" w:rsidRDefault="006B5C69" w:rsidP="006B5C69">
      <w:pPr>
        <w:pStyle w:val="ListBullet"/>
      </w:pPr>
      <w:r w:rsidRPr="001D683F">
        <w:t>Charles Darwin University Foundation, a company limited by guarantee and which acts as trustee of the Charles Darwin University Foundation Trust</w:t>
      </w:r>
      <w:r w:rsidR="001D683F">
        <w:t>.</w:t>
      </w:r>
      <w:r w:rsidRPr="001D683F">
        <w:t xml:space="preserve"> </w:t>
      </w:r>
    </w:p>
    <w:p w14:paraId="7969BA20" w14:textId="62C0CCA6" w:rsidR="006B5C69" w:rsidRPr="001D683F" w:rsidRDefault="006B5C69" w:rsidP="006B5C69">
      <w:r w:rsidRPr="001D683F">
        <w:t>The financial results of Menzies School of Health Research and the financial results of CDU Amenities Limited are consolidated within the financial statements of the University. The financial results of the Charles Darwin University Foundation Trust are also consolidated into the financial statements of the University.</w:t>
      </w:r>
    </w:p>
    <w:p w14:paraId="6816597B" w14:textId="6E3E2930" w:rsidR="006B5C69" w:rsidRPr="001D683F" w:rsidRDefault="006B5C69" w:rsidP="006B5C69">
      <w:r w:rsidRPr="001D683F">
        <w:t xml:space="preserve">The University provides both higher education and vocational education and training (VET). Higher education funding is provided to the University by the Commonwealth Government through direct grants and through the proceeds of student loans under the auspices of the HECS-HELP Scheme. VET funding is provided by the Northern Territory Government through monies appropriated by the Legislative Assembly through the Department of </w:t>
      </w:r>
      <w:r w:rsidR="00E52993">
        <w:t xml:space="preserve">Industry, Tourism and </w:t>
      </w:r>
      <w:r w:rsidRPr="001D683F">
        <w:t xml:space="preserve">Trade. </w:t>
      </w:r>
    </w:p>
    <w:p w14:paraId="3C73A744" w14:textId="77777777" w:rsidR="006B5C69" w:rsidRPr="001D683F" w:rsidRDefault="006B5C69" w:rsidP="006B5C69">
      <w:r w:rsidRPr="001D683F">
        <w:t>The University is required by its enabling Act to prepare financial statements as at 31 December each year and to submit those statements to the Auditor-General by 31 March each year.</w:t>
      </w:r>
    </w:p>
    <w:p w14:paraId="3BE49E8A" w14:textId="77777777" w:rsidR="006B5C69" w:rsidRPr="001D683F" w:rsidRDefault="006B5C69" w:rsidP="006B5C69">
      <w:pPr>
        <w:pStyle w:val="Heading3"/>
      </w:pPr>
      <w:r w:rsidRPr="001D683F">
        <w:t>Scope and Objectives</w:t>
      </w:r>
    </w:p>
    <w:p w14:paraId="4CA2EEDF" w14:textId="360F7106" w:rsidR="006B5C69" w:rsidRPr="001D683F" w:rsidRDefault="006B5C69" w:rsidP="006B5C69">
      <w:r w:rsidRPr="001D683F">
        <w:t xml:space="preserve">The objective of the audit was to complete sufficient audit procedures to enable an opinion to be expressed upon the financial statements of Charles Darwin University for the year ended 31 December </w:t>
      </w:r>
      <w:r w:rsidR="001D683F">
        <w:t>2020</w:t>
      </w:r>
      <w:r w:rsidRPr="001D683F">
        <w:t>.</w:t>
      </w:r>
    </w:p>
    <w:p w14:paraId="21B2B994" w14:textId="77777777" w:rsidR="006B5C69" w:rsidRPr="001D683F" w:rsidRDefault="006B5C69" w:rsidP="006B5C69">
      <w:pPr>
        <w:pStyle w:val="Heading3"/>
      </w:pPr>
      <w:r w:rsidRPr="001D683F">
        <w:t>Audit Opinion</w:t>
      </w:r>
    </w:p>
    <w:p w14:paraId="60863110" w14:textId="30756299" w:rsidR="006B5C69" w:rsidRPr="001D683F" w:rsidRDefault="006B5C69" w:rsidP="006B5C69">
      <w:r w:rsidRPr="001D683F">
        <w:t xml:space="preserve">The audit of the Charles Darwin University for the year ended 31 December </w:t>
      </w:r>
      <w:r w:rsidR="001D683F">
        <w:t>2020</w:t>
      </w:r>
      <w:r w:rsidRPr="001D683F">
        <w:t xml:space="preserve"> resulted in an unmodified independent audit opinion, which was issued on </w:t>
      </w:r>
      <w:r w:rsidR="001D683F">
        <w:t>17</w:t>
      </w:r>
      <w:r w:rsidRPr="001D683F">
        <w:t xml:space="preserve"> June </w:t>
      </w:r>
      <w:r w:rsidR="001D683F">
        <w:t>2021</w:t>
      </w:r>
      <w:r w:rsidRPr="001D683F">
        <w:t>.</w:t>
      </w:r>
    </w:p>
    <w:p w14:paraId="17152BE6" w14:textId="77777777" w:rsidR="006B5C69" w:rsidRPr="001D683F" w:rsidRDefault="006B5C69" w:rsidP="006B5C69">
      <w:pPr>
        <w:pStyle w:val="Heading1-continued"/>
      </w:pPr>
      <w:r w:rsidRPr="001D683F">
        <w:t>Charles Darwin University cont…</w:t>
      </w:r>
    </w:p>
    <w:p w14:paraId="2241DE6A" w14:textId="77777777" w:rsidR="006B5C69" w:rsidRPr="001D683F" w:rsidRDefault="006B5C69" w:rsidP="006B5C69">
      <w:pPr>
        <w:pStyle w:val="Heading3"/>
      </w:pPr>
      <w:r w:rsidRPr="001D683F">
        <w:t>Audit Observations</w:t>
      </w:r>
    </w:p>
    <w:p w14:paraId="53FE4367" w14:textId="77777777" w:rsidR="006B5C69" w:rsidRPr="001D683F" w:rsidRDefault="006B5C69" w:rsidP="006B5C69">
      <w:r w:rsidRPr="001D683F">
        <w:t>The audit did not identify any material weaknesses in internal controls.</w:t>
      </w:r>
    </w:p>
    <w:p w14:paraId="5C6C976A" w14:textId="77777777" w:rsidR="006B5C69" w:rsidRPr="001D683F" w:rsidRDefault="006B5C69" w:rsidP="006B5C69">
      <w:pPr>
        <w:pStyle w:val="Heading4"/>
      </w:pPr>
      <w:r w:rsidRPr="001D683F">
        <w:t>Performance Overview</w:t>
      </w:r>
    </w:p>
    <w:p w14:paraId="2578FDFF" w14:textId="060F048D" w:rsidR="00136065" w:rsidRDefault="00136065" w:rsidP="00136065">
      <w:r>
        <w:t xml:space="preserve">The University (parent entity only) generated a net </w:t>
      </w:r>
      <w:r w:rsidR="00E52993">
        <w:t>surplus</w:t>
      </w:r>
      <w:r>
        <w:t xml:space="preserve"> of $42.806 million (2019: n</w:t>
      </w:r>
      <w:r w:rsidR="00A715EB">
        <w:t xml:space="preserve">et deficit of $8.762 million). </w:t>
      </w:r>
      <w:r>
        <w:t xml:space="preserve">The </w:t>
      </w:r>
      <w:r w:rsidR="00E52993">
        <w:t xml:space="preserve">improved result </w:t>
      </w:r>
      <w:r>
        <w:t>was predominantly due to an increase in international student fee income, gifted land and a reduction in expenditur</w:t>
      </w:r>
      <w:r w:rsidR="00E52993">
        <w:t>e in response to COVID</w:t>
      </w:r>
      <w:r w:rsidR="00E52993">
        <w:noBreakHyphen/>
      </w:r>
      <w:r>
        <w:t xml:space="preserve">19 as well as financial performance improvement initiatives. </w:t>
      </w:r>
    </w:p>
    <w:p w14:paraId="2DB4D48A" w14:textId="77777777" w:rsidR="00136065" w:rsidRDefault="00136065" w:rsidP="00136065">
      <w:pPr>
        <w:pStyle w:val="ListBullet"/>
      </w:pPr>
      <w:r>
        <w:t>HELP Australian Government revenue increased by $8.6 million due to an increase in students deferring payment to HECS.</w:t>
      </w:r>
    </w:p>
    <w:p w14:paraId="0D4A6EC1" w14:textId="1C8B2A30" w:rsidR="00136065" w:rsidRDefault="00136065" w:rsidP="00136065">
      <w:pPr>
        <w:pStyle w:val="ListBullet"/>
      </w:pPr>
      <w:r>
        <w:t xml:space="preserve">Fees and charges increased by $11.3 million due to </w:t>
      </w:r>
      <w:r w:rsidR="00E52993">
        <w:t xml:space="preserve">an </w:t>
      </w:r>
      <w:r>
        <w:t>increase in international students’ fee activities.</w:t>
      </w:r>
    </w:p>
    <w:p w14:paraId="7B879390" w14:textId="77777777" w:rsidR="00136065" w:rsidRDefault="00136065" w:rsidP="00136065">
      <w:pPr>
        <w:pStyle w:val="ListBullet"/>
      </w:pPr>
      <w:r>
        <w:t>Investment revenue increased by $2.1 million due to a larger dividend from Education Australia in 2020.</w:t>
      </w:r>
    </w:p>
    <w:p w14:paraId="1B34F706" w14:textId="2A3DC4B2" w:rsidR="00136065" w:rsidRDefault="00136065" w:rsidP="00136065">
      <w:pPr>
        <w:pStyle w:val="ListBullet"/>
      </w:pPr>
      <w:r>
        <w:t xml:space="preserve">Other revenue increased by $12.7 million </w:t>
      </w:r>
      <w:r w:rsidR="00E52993">
        <w:t xml:space="preserve">including the receipt of </w:t>
      </w:r>
      <w:r>
        <w:t xml:space="preserve">gifted land </w:t>
      </w:r>
      <w:r w:rsidR="00E52993">
        <w:t>valued at</w:t>
      </w:r>
      <w:r w:rsidR="00820B53">
        <w:t xml:space="preserve"> $14.3 </w:t>
      </w:r>
      <w:r>
        <w:t xml:space="preserve">million associated with the </w:t>
      </w:r>
      <w:r w:rsidR="00E52993">
        <w:t xml:space="preserve">Darwin </w:t>
      </w:r>
      <w:r>
        <w:t>City Deal.</w:t>
      </w:r>
    </w:p>
    <w:p w14:paraId="59F55075" w14:textId="02EF27EF" w:rsidR="00136065" w:rsidRDefault="00136065" w:rsidP="00136065">
      <w:pPr>
        <w:pStyle w:val="ListBullet"/>
      </w:pPr>
      <w:r>
        <w:t xml:space="preserve">Employee related expenses decreased by $1.4 million </w:t>
      </w:r>
      <w:r w:rsidR="00E52993">
        <w:t xml:space="preserve">as a result of </w:t>
      </w:r>
      <w:r>
        <w:t xml:space="preserve">recruitment restrictions implemented with COVID-19 and </w:t>
      </w:r>
      <w:r w:rsidR="00E52993">
        <w:t>reduced</w:t>
      </w:r>
      <w:r>
        <w:t xml:space="preserve"> staff levels.</w:t>
      </w:r>
    </w:p>
    <w:p w14:paraId="331C89F2" w14:textId="77777777" w:rsidR="00136065" w:rsidRDefault="00136065" w:rsidP="00136065">
      <w:pPr>
        <w:pStyle w:val="ListBullet"/>
      </w:pPr>
      <w:r>
        <w:t>Other expenses decreased by $9.7 million as a result of COVID-19 implications and expenditure reduction initiatives.</w:t>
      </w:r>
    </w:p>
    <w:p w14:paraId="68E4E2E7" w14:textId="0636444C" w:rsidR="00136065" w:rsidRDefault="00136065" w:rsidP="00136065">
      <w:r>
        <w:t xml:space="preserve">The University (parent entity only) had a net asset position of $549.4 million as at 31 December 2020 in comparison to a net asset position of $508.5 million as at 31 December 2019. The following significant movements were </w:t>
      </w:r>
      <w:r w:rsidR="00DC1838">
        <w:t>observed</w:t>
      </w:r>
      <w:r>
        <w:t>:</w:t>
      </w:r>
    </w:p>
    <w:p w14:paraId="2FE19787" w14:textId="77777777" w:rsidR="00136065" w:rsidRDefault="00136065" w:rsidP="00136065">
      <w:pPr>
        <w:pStyle w:val="ListBullet"/>
      </w:pPr>
      <w:r>
        <w:t>Cash increased by $43.9 million.</w:t>
      </w:r>
    </w:p>
    <w:p w14:paraId="7C7EE730" w14:textId="4045FB22" w:rsidR="00136065" w:rsidRDefault="00136065" w:rsidP="00136065">
      <w:pPr>
        <w:pStyle w:val="ListBullet"/>
      </w:pPr>
      <w:r>
        <w:t xml:space="preserve">Property, </w:t>
      </w:r>
      <w:r w:rsidR="00E52993">
        <w:t>p</w:t>
      </w:r>
      <w:r>
        <w:t xml:space="preserve">lant and equipment increased by $14.5 million </w:t>
      </w:r>
      <w:r w:rsidR="00E52993">
        <w:t xml:space="preserve">with the recognition </w:t>
      </w:r>
      <w:r w:rsidR="00802060">
        <w:t>o</w:t>
      </w:r>
      <w:r w:rsidR="00E52993">
        <w:t xml:space="preserve">f the </w:t>
      </w:r>
      <w:r>
        <w:t xml:space="preserve">gifted land associated with the </w:t>
      </w:r>
      <w:r w:rsidR="00E52993">
        <w:t xml:space="preserve">Darwin </w:t>
      </w:r>
      <w:r>
        <w:t>City Deal.</w:t>
      </w:r>
    </w:p>
    <w:p w14:paraId="2B7811C7" w14:textId="77777777" w:rsidR="00136065" w:rsidRDefault="00136065" w:rsidP="00136065">
      <w:pPr>
        <w:pStyle w:val="ListBullet"/>
      </w:pPr>
      <w:r>
        <w:t>Provisions increased by $2.9 million due to employee redundancy provisioning.</w:t>
      </w:r>
    </w:p>
    <w:p w14:paraId="384EC427" w14:textId="5B3EDB7D" w:rsidR="00136065" w:rsidRDefault="00136065" w:rsidP="00136065">
      <w:pPr>
        <w:pStyle w:val="ListBullet"/>
      </w:pPr>
      <w:r>
        <w:t xml:space="preserve">Other payables increased by $16.6 million </w:t>
      </w:r>
      <w:r w:rsidR="00E52993">
        <w:t xml:space="preserve">reflecting the </w:t>
      </w:r>
      <w:r>
        <w:t>$15.0 million income received in advance associated with the City Deal Project</w:t>
      </w:r>
      <w:r w:rsidR="00802060">
        <w:t>, partially</w:t>
      </w:r>
      <w:r>
        <w:t xml:space="preserve"> offset by a reduction in payables.</w:t>
      </w:r>
    </w:p>
    <w:p w14:paraId="40C7E33C" w14:textId="2FAAFA66" w:rsidR="00136065" w:rsidRDefault="00136065" w:rsidP="00136065">
      <w:r>
        <w:t xml:space="preserve">At a consolidated level, the Group generated a net </w:t>
      </w:r>
      <w:r w:rsidR="00802060">
        <w:t>surplus</w:t>
      </w:r>
      <w:r>
        <w:t xml:space="preserve"> of $44.7 million</w:t>
      </w:r>
      <w:r w:rsidR="0004605C">
        <w:t xml:space="preserve"> (2019: deficit of $5.7 </w:t>
      </w:r>
      <w:r>
        <w:t>million) and recorded net assets of $582.6 million (2019: $551.7 million). The individual results of each of the entities consolidated within the Group are analysed within the entities’ individual financial statements.</w:t>
      </w:r>
    </w:p>
    <w:p w14:paraId="4EA2A891" w14:textId="77777777" w:rsidR="00136065" w:rsidRDefault="00136065" w:rsidP="00136065">
      <w:pPr>
        <w:pStyle w:val="Heading5"/>
      </w:pPr>
      <w:r>
        <w:t>Discontinued Businesses</w:t>
      </w:r>
    </w:p>
    <w:p w14:paraId="5129A61B" w14:textId="77777777" w:rsidR="00136065" w:rsidRDefault="00136065" w:rsidP="00136065">
      <w:r>
        <w:t>On 23 March 2020, the Board of Directors of the Cairns Language Centre Pty Ltd (CLC) resolved to commence closure of the operations of CLC. The company was deregistered with the Australian Charities and Not-for-profits Commission on 31 October 2020.</w:t>
      </w:r>
    </w:p>
    <w:p w14:paraId="45D63512" w14:textId="35444877" w:rsidR="00136065" w:rsidRDefault="00136065" w:rsidP="00136065">
      <w:r>
        <w:t>On 29 April 2021, the CDU Council resolved to deregister CDU Amenities Limited.</w:t>
      </w:r>
    </w:p>
    <w:p w14:paraId="27F69F78" w14:textId="77777777" w:rsidR="00136065" w:rsidRPr="001D683F" w:rsidRDefault="00136065" w:rsidP="00136065">
      <w:pPr>
        <w:pStyle w:val="Heading1-continued"/>
      </w:pPr>
      <w:r w:rsidRPr="001D683F">
        <w:t>Charles Darwin University cont…</w:t>
      </w:r>
    </w:p>
    <w:p w14:paraId="45BED685" w14:textId="77777777" w:rsidR="00136065" w:rsidRDefault="00136065" w:rsidP="00136065">
      <w:pPr>
        <w:pStyle w:val="Heading5"/>
      </w:pPr>
      <w:r>
        <w:t>Sale of subsidiaries</w:t>
      </w:r>
    </w:p>
    <w:p w14:paraId="45388422" w14:textId="77777777" w:rsidR="00136065" w:rsidRDefault="00136065" w:rsidP="00136065">
      <w:r>
        <w:t>In December 2019, CDU Amenities Limited executed a share sale agreement to sell 100% ownership of shares in ICHM Pty Ltd to UP Education Australia Pty Ltd. Transfer of ownership occurred on 14 February 2020.</w:t>
      </w:r>
    </w:p>
    <w:p w14:paraId="2431E1B2" w14:textId="77777777" w:rsidR="00136065" w:rsidRDefault="00136065" w:rsidP="00136065">
      <w:r>
        <w:t>In July 2020, CDU Amenities Limited executed a share sale agreement to sell 100% ownership of shares in Cairns Business College Pty Ltd and Cairns Education Australia to Vitae Capital Pty Ltd. The sale occurred on 8 July 2020.</w:t>
      </w:r>
    </w:p>
    <w:p w14:paraId="3A0C2E4A" w14:textId="700B5E66" w:rsidR="006B5C69" w:rsidRPr="001D683F" w:rsidRDefault="00136065" w:rsidP="006B5C69">
      <w:r>
        <w:t>Audit evidence was obtained to support these disclosures.</w:t>
      </w:r>
    </w:p>
    <w:p w14:paraId="5B29B32D" w14:textId="77777777" w:rsidR="006B5C69" w:rsidRPr="000D515D" w:rsidRDefault="006B5C69" w:rsidP="006B5C69">
      <w:pPr>
        <w:pStyle w:val="Heading1-continued"/>
      </w:pPr>
      <w:r>
        <w:t>Charles Darwin University cont…</w:t>
      </w:r>
    </w:p>
    <w:p w14:paraId="71169B69" w14:textId="77777777" w:rsidR="006B5C69" w:rsidRPr="00F30939" w:rsidRDefault="006B5C69" w:rsidP="006B5C69">
      <w:pPr>
        <w:pStyle w:val="Heading2"/>
      </w:pPr>
      <w:r w:rsidRPr="00F30939">
        <w:t>Financial Performance for the year</w:t>
      </w:r>
    </w:p>
    <w:tbl>
      <w:tblPr>
        <w:tblW w:w="9242" w:type="dxa"/>
        <w:tblLayout w:type="fixed"/>
        <w:tblLook w:val="04A0" w:firstRow="1" w:lastRow="0" w:firstColumn="1" w:lastColumn="0" w:noHBand="0" w:noVBand="1"/>
        <w:tblCaption w:val="Financial performance for the year"/>
        <w:tblDescription w:val="Financial performance information for the current and prior year&#10;"/>
      </w:tblPr>
      <w:tblGrid>
        <w:gridCol w:w="6204"/>
        <w:gridCol w:w="1519"/>
        <w:gridCol w:w="1519"/>
      </w:tblGrid>
      <w:tr w:rsidR="006B5C69" w:rsidRPr="00F30939" w14:paraId="75C10EB5" w14:textId="77777777" w:rsidTr="00F1580E">
        <w:trPr>
          <w:cantSplit/>
          <w:trHeight w:val="454"/>
          <w:tblHeader/>
        </w:trPr>
        <w:tc>
          <w:tcPr>
            <w:tcW w:w="6204" w:type="dxa"/>
            <w:tcBorders>
              <w:bottom w:val="single" w:sz="4" w:space="0" w:color="auto"/>
            </w:tcBorders>
          </w:tcPr>
          <w:p w14:paraId="0B5502A9" w14:textId="77777777" w:rsidR="006B5C69" w:rsidRPr="00F30939" w:rsidRDefault="006B5C69" w:rsidP="00F1580E"/>
        </w:tc>
        <w:tc>
          <w:tcPr>
            <w:tcW w:w="1519" w:type="dxa"/>
            <w:tcBorders>
              <w:bottom w:val="single" w:sz="4" w:space="0" w:color="auto"/>
            </w:tcBorders>
          </w:tcPr>
          <w:p w14:paraId="5753B614" w14:textId="2EA4ACA7" w:rsidR="006B5C69" w:rsidRPr="007165BD" w:rsidRDefault="006B5C69" w:rsidP="006B5C69">
            <w:pPr>
              <w:jc w:val="center"/>
              <w:rPr>
                <w:b/>
              </w:rPr>
            </w:pPr>
            <w:r w:rsidRPr="007165BD">
              <w:rPr>
                <w:b/>
              </w:rPr>
              <w:t>20</w:t>
            </w:r>
            <w:r>
              <w:rPr>
                <w:b/>
              </w:rPr>
              <w:t>20</w:t>
            </w:r>
          </w:p>
        </w:tc>
        <w:tc>
          <w:tcPr>
            <w:tcW w:w="1519" w:type="dxa"/>
            <w:tcBorders>
              <w:bottom w:val="single" w:sz="4" w:space="0" w:color="auto"/>
            </w:tcBorders>
          </w:tcPr>
          <w:p w14:paraId="417D0F4F" w14:textId="6FF244A6" w:rsidR="006B5C69" w:rsidRPr="007165BD" w:rsidRDefault="006B5C69" w:rsidP="006B5C69">
            <w:pPr>
              <w:jc w:val="center"/>
              <w:rPr>
                <w:b/>
              </w:rPr>
            </w:pPr>
            <w:r w:rsidRPr="007165BD">
              <w:rPr>
                <w:b/>
              </w:rPr>
              <w:t>201</w:t>
            </w:r>
            <w:r>
              <w:rPr>
                <w:b/>
              </w:rPr>
              <w:t>9</w:t>
            </w:r>
          </w:p>
        </w:tc>
      </w:tr>
      <w:tr w:rsidR="006B5C69" w:rsidRPr="00F30939" w14:paraId="6BE4F7C7" w14:textId="77777777" w:rsidTr="00F1580E">
        <w:trPr>
          <w:cantSplit/>
          <w:trHeight w:val="454"/>
          <w:tblHeader/>
        </w:trPr>
        <w:tc>
          <w:tcPr>
            <w:tcW w:w="6204" w:type="dxa"/>
            <w:tcBorders>
              <w:top w:val="single" w:sz="4" w:space="0" w:color="auto"/>
            </w:tcBorders>
          </w:tcPr>
          <w:p w14:paraId="0A5E1AC3" w14:textId="77777777" w:rsidR="006B5C69" w:rsidRPr="00F30939" w:rsidRDefault="006B5C69" w:rsidP="00F1580E"/>
        </w:tc>
        <w:tc>
          <w:tcPr>
            <w:tcW w:w="1519" w:type="dxa"/>
            <w:tcBorders>
              <w:top w:val="single" w:sz="4" w:space="0" w:color="auto"/>
            </w:tcBorders>
          </w:tcPr>
          <w:p w14:paraId="5735589F" w14:textId="77777777" w:rsidR="006B5C69" w:rsidRPr="007165BD" w:rsidRDefault="006B5C69" w:rsidP="00F1580E">
            <w:pPr>
              <w:jc w:val="center"/>
              <w:rPr>
                <w:b/>
              </w:rPr>
            </w:pPr>
            <w:r w:rsidRPr="007165BD">
              <w:rPr>
                <w:b/>
              </w:rPr>
              <w:t>$’000</w:t>
            </w:r>
          </w:p>
        </w:tc>
        <w:tc>
          <w:tcPr>
            <w:tcW w:w="1519" w:type="dxa"/>
            <w:tcBorders>
              <w:top w:val="single" w:sz="4" w:space="0" w:color="auto"/>
            </w:tcBorders>
          </w:tcPr>
          <w:p w14:paraId="3495A4ED" w14:textId="77777777" w:rsidR="006B5C69" w:rsidRPr="007165BD" w:rsidRDefault="006B5C69" w:rsidP="00F1580E">
            <w:pPr>
              <w:jc w:val="center"/>
              <w:rPr>
                <w:b/>
              </w:rPr>
            </w:pPr>
            <w:r w:rsidRPr="007165BD">
              <w:rPr>
                <w:b/>
              </w:rPr>
              <w:t>$’000</w:t>
            </w:r>
          </w:p>
        </w:tc>
      </w:tr>
      <w:tr w:rsidR="006B5C69" w:rsidRPr="007165BD" w14:paraId="0E97026C" w14:textId="77777777" w:rsidTr="00F1580E">
        <w:trPr>
          <w:cantSplit/>
          <w:trHeight w:val="454"/>
        </w:trPr>
        <w:tc>
          <w:tcPr>
            <w:tcW w:w="6204" w:type="dxa"/>
          </w:tcPr>
          <w:p w14:paraId="4A028BC6" w14:textId="77777777" w:rsidR="006B5C69" w:rsidRPr="007165BD" w:rsidRDefault="006B5C69" w:rsidP="00F1580E">
            <w:pPr>
              <w:rPr>
                <w:b/>
              </w:rPr>
            </w:pPr>
            <w:r w:rsidRPr="00E23AAF">
              <w:rPr>
                <w:b/>
              </w:rPr>
              <w:t>Revenue from continuing operations</w:t>
            </w:r>
          </w:p>
        </w:tc>
        <w:tc>
          <w:tcPr>
            <w:tcW w:w="1519" w:type="dxa"/>
          </w:tcPr>
          <w:p w14:paraId="5EB8F5C8" w14:textId="77777777" w:rsidR="006B5C69" w:rsidRPr="007165BD" w:rsidRDefault="006B5C69" w:rsidP="00F1580E">
            <w:pPr>
              <w:tabs>
                <w:tab w:val="clear" w:pos="1378"/>
                <w:tab w:val="decimal" w:pos="1020"/>
              </w:tabs>
              <w:rPr>
                <w:b/>
              </w:rPr>
            </w:pPr>
          </w:p>
        </w:tc>
        <w:tc>
          <w:tcPr>
            <w:tcW w:w="1519" w:type="dxa"/>
          </w:tcPr>
          <w:p w14:paraId="78B9E51A" w14:textId="77777777" w:rsidR="006B5C69" w:rsidRPr="007165BD" w:rsidRDefault="006B5C69" w:rsidP="00F1580E">
            <w:pPr>
              <w:tabs>
                <w:tab w:val="clear" w:pos="1378"/>
                <w:tab w:val="decimal" w:pos="1020"/>
              </w:tabs>
              <w:rPr>
                <w:b/>
              </w:rPr>
            </w:pPr>
          </w:p>
        </w:tc>
      </w:tr>
      <w:tr w:rsidR="006B5C69" w:rsidRPr="00F30939" w14:paraId="1133C0CC" w14:textId="77777777" w:rsidTr="00F1580E">
        <w:trPr>
          <w:cantSplit/>
          <w:trHeight w:val="454"/>
        </w:trPr>
        <w:tc>
          <w:tcPr>
            <w:tcW w:w="6204" w:type="dxa"/>
          </w:tcPr>
          <w:p w14:paraId="524492F8" w14:textId="77777777" w:rsidR="006B5C69" w:rsidRPr="00F30939" w:rsidRDefault="006B5C69" w:rsidP="006B5C69">
            <w:r w:rsidRPr="00220748">
              <w:t>Financial assistance and grants from the Commonwealth</w:t>
            </w:r>
          </w:p>
        </w:tc>
        <w:tc>
          <w:tcPr>
            <w:tcW w:w="1519" w:type="dxa"/>
          </w:tcPr>
          <w:p w14:paraId="2BC7149A" w14:textId="7D5233B2" w:rsidR="006B5C69" w:rsidRPr="00F30939" w:rsidRDefault="00602C91" w:rsidP="006B5C69">
            <w:pPr>
              <w:tabs>
                <w:tab w:val="clear" w:pos="1378"/>
                <w:tab w:val="decimal" w:pos="1020"/>
              </w:tabs>
            </w:pPr>
            <w:r>
              <w:t>125,718</w:t>
            </w:r>
          </w:p>
        </w:tc>
        <w:tc>
          <w:tcPr>
            <w:tcW w:w="1519" w:type="dxa"/>
          </w:tcPr>
          <w:p w14:paraId="0F6E2FFD" w14:textId="1863CB52" w:rsidR="006B5C69" w:rsidRPr="00F30939" w:rsidRDefault="006B5C69" w:rsidP="006B5C69">
            <w:pPr>
              <w:tabs>
                <w:tab w:val="clear" w:pos="1378"/>
                <w:tab w:val="decimal" w:pos="1020"/>
              </w:tabs>
            </w:pPr>
            <w:r>
              <w:t>117,292</w:t>
            </w:r>
          </w:p>
        </w:tc>
      </w:tr>
      <w:tr w:rsidR="006B5C69" w:rsidRPr="00F30939" w14:paraId="28F76255" w14:textId="77777777" w:rsidTr="00F1580E">
        <w:trPr>
          <w:cantSplit/>
          <w:trHeight w:val="454"/>
        </w:trPr>
        <w:tc>
          <w:tcPr>
            <w:tcW w:w="6204" w:type="dxa"/>
          </w:tcPr>
          <w:p w14:paraId="09781B51" w14:textId="20925549" w:rsidR="006B5C69" w:rsidRPr="00F30939" w:rsidRDefault="006B5C69" w:rsidP="006B5C69">
            <w:r w:rsidRPr="00220748">
              <w:t>Financial assistance from the N</w:t>
            </w:r>
            <w:r w:rsidR="0067458D">
              <w:t xml:space="preserve">orthern </w:t>
            </w:r>
            <w:r>
              <w:t>T</w:t>
            </w:r>
            <w:r w:rsidR="0067458D">
              <w:t xml:space="preserve">erritory </w:t>
            </w:r>
            <w:r>
              <w:t>G</w:t>
            </w:r>
            <w:r w:rsidR="0067458D">
              <w:t>overnment</w:t>
            </w:r>
          </w:p>
        </w:tc>
        <w:tc>
          <w:tcPr>
            <w:tcW w:w="1519" w:type="dxa"/>
          </w:tcPr>
          <w:p w14:paraId="5FBCB7A8" w14:textId="46F48E66" w:rsidR="006B5C69" w:rsidRPr="00F30939" w:rsidRDefault="009E0357" w:rsidP="006B5C69">
            <w:pPr>
              <w:tabs>
                <w:tab w:val="clear" w:pos="1378"/>
                <w:tab w:val="decimal" w:pos="1020"/>
              </w:tabs>
            </w:pPr>
            <w:r>
              <w:t>19,492</w:t>
            </w:r>
          </w:p>
        </w:tc>
        <w:tc>
          <w:tcPr>
            <w:tcW w:w="1519" w:type="dxa"/>
          </w:tcPr>
          <w:p w14:paraId="65DEA1F0" w14:textId="144914CE" w:rsidR="006B5C69" w:rsidRPr="00F30939" w:rsidRDefault="009E0357" w:rsidP="006B5C69">
            <w:pPr>
              <w:tabs>
                <w:tab w:val="clear" w:pos="1378"/>
                <w:tab w:val="decimal" w:pos="1020"/>
              </w:tabs>
            </w:pPr>
            <w:r>
              <w:t>20,751</w:t>
            </w:r>
          </w:p>
        </w:tc>
      </w:tr>
      <w:tr w:rsidR="009E0357" w:rsidRPr="00F30939" w14:paraId="1D441DEF" w14:textId="77777777" w:rsidTr="00F1580E">
        <w:trPr>
          <w:cantSplit/>
          <w:trHeight w:val="454"/>
        </w:trPr>
        <w:tc>
          <w:tcPr>
            <w:tcW w:w="6204" w:type="dxa"/>
          </w:tcPr>
          <w:p w14:paraId="04AE6BE1" w14:textId="38FFBDF2" w:rsidR="009E0357" w:rsidRPr="00220748" w:rsidRDefault="009E0357" w:rsidP="006B5C69">
            <w:r>
              <w:t>Fees and charges</w:t>
            </w:r>
          </w:p>
        </w:tc>
        <w:tc>
          <w:tcPr>
            <w:tcW w:w="1519" w:type="dxa"/>
          </w:tcPr>
          <w:p w14:paraId="326D499E" w14:textId="55DA982F" w:rsidR="009E0357" w:rsidRDefault="009E0357" w:rsidP="006B5C69">
            <w:pPr>
              <w:tabs>
                <w:tab w:val="clear" w:pos="1378"/>
                <w:tab w:val="decimal" w:pos="1020"/>
              </w:tabs>
            </w:pPr>
            <w:r>
              <w:t>103,642</w:t>
            </w:r>
          </w:p>
        </w:tc>
        <w:tc>
          <w:tcPr>
            <w:tcW w:w="1519" w:type="dxa"/>
          </w:tcPr>
          <w:p w14:paraId="25ADF2B0" w14:textId="788BE308" w:rsidR="009E0357" w:rsidRDefault="009E0357" w:rsidP="006B5C69">
            <w:pPr>
              <w:tabs>
                <w:tab w:val="clear" w:pos="1378"/>
                <w:tab w:val="decimal" w:pos="1020"/>
              </w:tabs>
            </w:pPr>
            <w:r>
              <w:t>92,300</w:t>
            </w:r>
          </w:p>
        </w:tc>
      </w:tr>
      <w:tr w:rsidR="006B5C69" w:rsidRPr="00F30939" w14:paraId="0343D06A" w14:textId="77777777" w:rsidTr="00F1580E">
        <w:trPr>
          <w:cantSplit/>
          <w:trHeight w:val="454"/>
        </w:trPr>
        <w:tc>
          <w:tcPr>
            <w:tcW w:w="6204" w:type="dxa"/>
          </w:tcPr>
          <w:p w14:paraId="3584312B" w14:textId="77777777" w:rsidR="006B5C69" w:rsidRDefault="006B5C69" w:rsidP="006B5C69">
            <w:r w:rsidRPr="00220748">
              <w:t>Other re</w:t>
            </w:r>
            <w:r>
              <w:t>venue (HECS, fees, interest</w:t>
            </w:r>
            <w:r w:rsidRPr="00220748">
              <w:t>)</w:t>
            </w:r>
          </w:p>
        </w:tc>
        <w:tc>
          <w:tcPr>
            <w:tcW w:w="1519" w:type="dxa"/>
          </w:tcPr>
          <w:p w14:paraId="2B5F13BE" w14:textId="5655757B" w:rsidR="006B5C69" w:rsidRDefault="009E0357" w:rsidP="009E0357">
            <w:pPr>
              <w:tabs>
                <w:tab w:val="clear" w:pos="1378"/>
                <w:tab w:val="decimal" w:pos="1020"/>
              </w:tabs>
            </w:pPr>
            <w:r>
              <w:t>59,453</w:t>
            </w:r>
          </w:p>
        </w:tc>
        <w:tc>
          <w:tcPr>
            <w:tcW w:w="1519" w:type="dxa"/>
          </w:tcPr>
          <w:p w14:paraId="798520AF" w14:textId="6DED01AB" w:rsidR="006B5C69" w:rsidRDefault="00802060" w:rsidP="006B5C69">
            <w:pPr>
              <w:tabs>
                <w:tab w:val="clear" w:pos="1378"/>
                <w:tab w:val="decimal" w:pos="1020"/>
              </w:tabs>
            </w:pPr>
            <w:r>
              <w:t>40</w:t>
            </w:r>
            <w:r w:rsidR="009E0357">
              <w:t>,506</w:t>
            </w:r>
          </w:p>
        </w:tc>
      </w:tr>
      <w:tr w:rsidR="006B5C69" w:rsidRPr="007165BD" w14:paraId="293A1ABE" w14:textId="77777777" w:rsidTr="00F1580E">
        <w:trPr>
          <w:cantSplit/>
          <w:trHeight w:val="454"/>
        </w:trPr>
        <w:tc>
          <w:tcPr>
            <w:tcW w:w="6204" w:type="dxa"/>
            <w:tcBorders>
              <w:bottom w:val="single" w:sz="4" w:space="0" w:color="auto"/>
            </w:tcBorders>
          </w:tcPr>
          <w:p w14:paraId="5B9F2947" w14:textId="77777777" w:rsidR="006B5C69" w:rsidRPr="007165BD" w:rsidRDefault="006B5C69" w:rsidP="006B5C69">
            <w:pPr>
              <w:rPr>
                <w:b/>
              </w:rPr>
            </w:pPr>
            <w:r w:rsidRPr="00E23AAF">
              <w:rPr>
                <w:b/>
              </w:rPr>
              <w:t>Total revenue from continuing operations</w:t>
            </w:r>
          </w:p>
        </w:tc>
        <w:tc>
          <w:tcPr>
            <w:tcW w:w="1519" w:type="dxa"/>
            <w:tcBorders>
              <w:bottom w:val="single" w:sz="4" w:space="0" w:color="auto"/>
            </w:tcBorders>
          </w:tcPr>
          <w:p w14:paraId="03FF8089" w14:textId="37E6F2D3" w:rsidR="006B5C69" w:rsidRPr="007165BD" w:rsidRDefault="009E0357" w:rsidP="006B5C69">
            <w:pPr>
              <w:tabs>
                <w:tab w:val="clear" w:pos="1378"/>
                <w:tab w:val="decimal" w:pos="1020"/>
              </w:tabs>
              <w:rPr>
                <w:b/>
              </w:rPr>
            </w:pPr>
            <w:r>
              <w:rPr>
                <w:b/>
              </w:rPr>
              <w:t>308,305</w:t>
            </w:r>
          </w:p>
        </w:tc>
        <w:tc>
          <w:tcPr>
            <w:tcW w:w="1519" w:type="dxa"/>
            <w:tcBorders>
              <w:bottom w:val="single" w:sz="4" w:space="0" w:color="auto"/>
            </w:tcBorders>
          </w:tcPr>
          <w:p w14:paraId="7BF2B5EC" w14:textId="794DB274" w:rsidR="006B5C69" w:rsidRPr="007165BD" w:rsidRDefault="006B5C69" w:rsidP="006B5C69">
            <w:pPr>
              <w:tabs>
                <w:tab w:val="clear" w:pos="1378"/>
                <w:tab w:val="decimal" w:pos="1020"/>
              </w:tabs>
              <w:rPr>
                <w:b/>
              </w:rPr>
            </w:pPr>
            <w:r>
              <w:rPr>
                <w:b/>
              </w:rPr>
              <w:t>270,849</w:t>
            </w:r>
          </w:p>
        </w:tc>
      </w:tr>
      <w:tr w:rsidR="006B5C69" w:rsidRPr="007165BD" w14:paraId="1157542D" w14:textId="77777777" w:rsidTr="00F1580E">
        <w:trPr>
          <w:cantSplit/>
          <w:trHeight w:val="454"/>
        </w:trPr>
        <w:tc>
          <w:tcPr>
            <w:tcW w:w="6204" w:type="dxa"/>
            <w:tcBorders>
              <w:top w:val="single" w:sz="4" w:space="0" w:color="auto"/>
            </w:tcBorders>
          </w:tcPr>
          <w:p w14:paraId="3520B62D" w14:textId="77777777" w:rsidR="006B5C69" w:rsidRPr="007165BD" w:rsidRDefault="006B5C69" w:rsidP="006B5C69">
            <w:pPr>
              <w:rPr>
                <w:b/>
              </w:rPr>
            </w:pPr>
            <w:r w:rsidRPr="00E23AAF">
              <w:rPr>
                <w:b/>
              </w:rPr>
              <w:t>Less expense</w:t>
            </w:r>
            <w:r>
              <w:rPr>
                <w:b/>
              </w:rPr>
              <w:t>s</w:t>
            </w:r>
            <w:r w:rsidRPr="00E23AAF">
              <w:rPr>
                <w:b/>
              </w:rPr>
              <w:t xml:space="preserve"> from continuing operations</w:t>
            </w:r>
          </w:p>
        </w:tc>
        <w:tc>
          <w:tcPr>
            <w:tcW w:w="1519" w:type="dxa"/>
            <w:tcBorders>
              <w:top w:val="single" w:sz="4" w:space="0" w:color="auto"/>
            </w:tcBorders>
          </w:tcPr>
          <w:p w14:paraId="42F9BD4E" w14:textId="77777777" w:rsidR="006B5C69" w:rsidRPr="007165BD" w:rsidRDefault="006B5C69" w:rsidP="006B5C69">
            <w:pPr>
              <w:tabs>
                <w:tab w:val="clear" w:pos="1378"/>
                <w:tab w:val="decimal" w:pos="1020"/>
              </w:tabs>
              <w:rPr>
                <w:b/>
              </w:rPr>
            </w:pPr>
          </w:p>
        </w:tc>
        <w:tc>
          <w:tcPr>
            <w:tcW w:w="1519" w:type="dxa"/>
            <w:tcBorders>
              <w:top w:val="single" w:sz="4" w:space="0" w:color="auto"/>
            </w:tcBorders>
          </w:tcPr>
          <w:p w14:paraId="01E034D4" w14:textId="77777777" w:rsidR="006B5C69" w:rsidRPr="007165BD" w:rsidRDefault="006B5C69" w:rsidP="006B5C69">
            <w:pPr>
              <w:tabs>
                <w:tab w:val="clear" w:pos="1378"/>
                <w:tab w:val="decimal" w:pos="1020"/>
              </w:tabs>
              <w:rPr>
                <w:b/>
              </w:rPr>
            </w:pPr>
          </w:p>
        </w:tc>
      </w:tr>
      <w:tr w:rsidR="006B5C69" w:rsidRPr="00F30939" w14:paraId="6C511E0A" w14:textId="77777777" w:rsidTr="00F1580E">
        <w:trPr>
          <w:cantSplit/>
          <w:trHeight w:val="454"/>
        </w:trPr>
        <w:tc>
          <w:tcPr>
            <w:tcW w:w="6204" w:type="dxa"/>
          </w:tcPr>
          <w:p w14:paraId="5E450DCD" w14:textId="77777777" w:rsidR="006B5C69" w:rsidRPr="00F30939" w:rsidRDefault="006B5C69" w:rsidP="006B5C69">
            <w:r w:rsidRPr="009276BC">
              <w:t>Employee expenses</w:t>
            </w:r>
            <w:r w:rsidRPr="009276BC">
              <w:tab/>
            </w:r>
          </w:p>
        </w:tc>
        <w:tc>
          <w:tcPr>
            <w:tcW w:w="1519" w:type="dxa"/>
          </w:tcPr>
          <w:p w14:paraId="1A2F5EF2" w14:textId="1C79892C" w:rsidR="006B5C69" w:rsidRPr="00F30939" w:rsidRDefault="009E0357" w:rsidP="006B5C69">
            <w:pPr>
              <w:tabs>
                <w:tab w:val="clear" w:pos="1378"/>
                <w:tab w:val="decimal" w:pos="1020"/>
              </w:tabs>
            </w:pPr>
            <w:r>
              <w:t>(160,916)</w:t>
            </w:r>
          </w:p>
        </w:tc>
        <w:tc>
          <w:tcPr>
            <w:tcW w:w="1519" w:type="dxa"/>
          </w:tcPr>
          <w:p w14:paraId="265A2BDA" w14:textId="5EAD4E10" w:rsidR="006B5C69" w:rsidRPr="00F30939" w:rsidRDefault="006B5C69" w:rsidP="006B5C69">
            <w:pPr>
              <w:tabs>
                <w:tab w:val="clear" w:pos="1378"/>
                <w:tab w:val="decimal" w:pos="1020"/>
              </w:tabs>
            </w:pPr>
            <w:r>
              <w:t>(162,732)</w:t>
            </w:r>
          </w:p>
        </w:tc>
      </w:tr>
      <w:tr w:rsidR="006B5C69" w:rsidRPr="00F30939" w14:paraId="5BFEBF2D" w14:textId="77777777" w:rsidTr="00F1580E">
        <w:trPr>
          <w:cantSplit/>
          <w:trHeight w:val="454"/>
        </w:trPr>
        <w:tc>
          <w:tcPr>
            <w:tcW w:w="6204" w:type="dxa"/>
          </w:tcPr>
          <w:p w14:paraId="7EFA4949" w14:textId="77777777" w:rsidR="006B5C69" w:rsidRPr="00F30939" w:rsidRDefault="006B5C69" w:rsidP="006B5C69">
            <w:r w:rsidRPr="00E868BE">
              <w:t>Administration, operational and other expenses</w:t>
            </w:r>
          </w:p>
        </w:tc>
        <w:tc>
          <w:tcPr>
            <w:tcW w:w="1519" w:type="dxa"/>
          </w:tcPr>
          <w:p w14:paraId="62DA65D6" w14:textId="3E44397E" w:rsidR="006B5C69" w:rsidRPr="00F30939" w:rsidRDefault="009E0357" w:rsidP="006B5C69">
            <w:pPr>
              <w:tabs>
                <w:tab w:val="clear" w:pos="1378"/>
                <w:tab w:val="decimal" w:pos="1020"/>
              </w:tabs>
            </w:pPr>
            <w:r>
              <w:t>(104,583)</w:t>
            </w:r>
          </w:p>
        </w:tc>
        <w:tc>
          <w:tcPr>
            <w:tcW w:w="1519" w:type="dxa"/>
          </w:tcPr>
          <w:p w14:paraId="6F81A75E" w14:textId="31526F92" w:rsidR="006B5C69" w:rsidRPr="00F30939" w:rsidRDefault="006B5C69" w:rsidP="006B5C69">
            <w:pPr>
              <w:tabs>
                <w:tab w:val="clear" w:pos="1378"/>
                <w:tab w:val="decimal" w:pos="1020"/>
              </w:tabs>
            </w:pPr>
            <w:r>
              <w:t>(116,879)</w:t>
            </w:r>
          </w:p>
        </w:tc>
      </w:tr>
      <w:tr w:rsidR="006B5C69" w:rsidRPr="00F30939" w14:paraId="49BB99E1" w14:textId="77777777" w:rsidTr="00F1580E">
        <w:trPr>
          <w:cantSplit/>
          <w:trHeight w:val="454"/>
        </w:trPr>
        <w:tc>
          <w:tcPr>
            <w:tcW w:w="6204" w:type="dxa"/>
            <w:tcBorders>
              <w:bottom w:val="single" w:sz="4" w:space="0" w:color="auto"/>
            </w:tcBorders>
          </w:tcPr>
          <w:p w14:paraId="56F90F44" w14:textId="77777777" w:rsidR="006B5C69" w:rsidRPr="00AD3933" w:rsidRDefault="006B5C69" w:rsidP="006B5C69">
            <w:pPr>
              <w:rPr>
                <w:b/>
              </w:rPr>
            </w:pPr>
            <w:r w:rsidRPr="00AD3933">
              <w:rPr>
                <w:b/>
              </w:rPr>
              <w:t xml:space="preserve">Total </w:t>
            </w:r>
            <w:r>
              <w:rPr>
                <w:b/>
              </w:rPr>
              <w:t>expenses from continuing operations</w:t>
            </w:r>
          </w:p>
        </w:tc>
        <w:tc>
          <w:tcPr>
            <w:tcW w:w="1519" w:type="dxa"/>
            <w:tcBorders>
              <w:bottom w:val="single" w:sz="4" w:space="0" w:color="auto"/>
            </w:tcBorders>
          </w:tcPr>
          <w:p w14:paraId="2BCB8F74" w14:textId="1173B335" w:rsidR="006B5C69" w:rsidRPr="0073130B" w:rsidRDefault="009E0357" w:rsidP="006B5C69">
            <w:pPr>
              <w:tabs>
                <w:tab w:val="clear" w:pos="1378"/>
                <w:tab w:val="decimal" w:pos="1020"/>
              </w:tabs>
              <w:rPr>
                <w:b/>
              </w:rPr>
            </w:pPr>
            <w:r>
              <w:rPr>
                <w:b/>
              </w:rPr>
              <w:t>(265,499)</w:t>
            </w:r>
          </w:p>
        </w:tc>
        <w:tc>
          <w:tcPr>
            <w:tcW w:w="1519" w:type="dxa"/>
            <w:tcBorders>
              <w:bottom w:val="single" w:sz="4" w:space="0" w:color="auto"/>
            </w:tcBorders>
          </w:tcPr>
          <w:p w14:paraId="3B4B1042" w14:textId="0100D15C" w:rsidR="006B5C69" w:rsidRPr="0073130B" w:rsidRDefault="006B5C69" w:rsidP="006B5C69">
            <w:pPr>
              <w:tabs>
                <w:tab w:val="clear" w:pos="1378"/>
                <w:tab w:val="decimal" w:pos="1020"/>
              </w:tabs>
              <w:rPr>
                <w:b/>
              </w:rPr>
            </w:pPr>
            <w:r>
              <w:rPr>
                <w:b/>
              </w:rPr>
              <w:t>(279,611)</w:t>
            </w:r>
          </w:p>
        </w:tc>
      </w:tr>
      <w:tr w:rsidR="006B5C69" w:rsidRPr="00F30939" w14:paraId="2E499FD0" w14:textId="77777777" w:rsidTr="00F1580E">
        <w:trPr>
          <w:cantSplit/>
          <w:trHeight w:val="454"/>
        </w:trPr>
        <w:tc>
          <w:tcPr>
            <w:tcW w:w="6204" w:type="dxa"/>
            <w:tcBorders>
              <w:top w:val="single" w:sz="4" w:space="0" w:color="auto"/>
              <w:bottom w:val="single" w:sz="4" w:space="0" w:color="auto"/>
            </w:tcBorders>
          </w:tcPr>
          <w:p w14:paraId="3D0B27C7" w14:textId="3E99C85B" w:rsidR="006B5C69" w:rsidRPr="006C5400" w:rsidRDefault="00802060" w:rsidP="00802060">
            <w:pPr>
              <w:rPr>
                <w:b/>
              </w:rPr>
            </w:pPr>
            <w:r>
              <w:rPr>
                <w:b/>
              </w:rPr>
              <w:t>Surplus/(d</w:t>
            </w:r>
            <w:r w:rsidR="006B5C69" w:rsidRPr="006C5400">
              <w:rPr>
                <w:b/>
              </w:rPr>
              <w:t>eficit</w:t>
            </w:r>
            <w:r>
              <w:rPr>
                <w:b/>
              </w:rPr>
              <w:t>)</w:t>
            </w:r>
            <w:r w:rsidR="006B5C69" w:rsidRPr="006C5400">
              <w:rPr>
                <w:b/>
              </w:rPr>
              <w:t xml:space="preserve"> before income tax</w:t>
            </w:r>
          </w:p>
        </w:tc>
        <w:tc>
          <w:tcPr>
            <w:tcW w:w="1519" w:type="dxa"/>
            <w:tcBorders>
              <w:top w:val="single" w:sz="4" w:space="0" w:color="auto"/>
              <w:bottom w:val="single" w:sz="4" w:space="0" w:color="auto"/>
            </w:tcBorders>
          </w:tcPr>
          <w:p w14:paraId="7001CB5E" w14:textId="0C65D2E8" w:rsidR="006B5C69" w:rsidRPr="007165BD" w:rsidRDefault="009E0357" w:rsidP="006B5C69">
            <w:pPr>
              <w:tabs>
                <w:tab w:val="clear" w:pos="1378"/>
                <w:tab w:val="decimal" w:pos="1020"/>
              </w:tabs>
              <w:rPr>
                <w:b/>
              </w:rPr>
            </w:pPr>
            <w:r>
              <w:rPr>
                <w:b/>
              </w:rPr>
              <w:t>42,806</w:t>
            </w:r>
          </w:p>
        </w:tc>
        <w:tc>
          <w:tcPr>
            <w:tcW w:w="1519" w:type="dxa"/>
            <w:tcBorders>
              <w:top w:val="single" w:sz="4" w:space="0" w:color="auto"/>
              <w:bottom w:val="single" w:sz="4" w:space="0" w:color="auto"/>
            </w:tcBorders>
          </w:tcPr>
          <w:p w14:paraId="0FE3B955" w14:textId="350D8F65" w:rsidR="006B5C69" w:rsidRPr="007165BD" w:rsidRDefault="006B5C69" w:rsidP="006B5C69">
            <w:pPr>
              <w:tabs>
                <w:tab w:val="clear" w:pos="1378"/>
                <w:tab w:val="decimal" w:pos="1020"/>
              </w:tabs>
              <w:rPr>
                <w:b/>
              </w:rPr>
            </w:pPr>
            <w:r>
              <w:rPr>
                <w:b/>
              </w:rPr>
              <w:t>(8,762)</w:t>
            </w:r>
          </w:p>
        </w:tc>
      </w:tr>
      <w:tr w:rsidR="006B5C69" w:rsidRPr="00AD3933" w14:paraId="025DA9B0" w14:textId="77777777" w:rsidTr="00F1580E">
        <w:trPr>
          <w:cantSplit/>
          <w:trHeight w:val="454"/>
        </w:trPr>
        <w:tc>
          <w:tcPr>
            <w:tcW w:w="6204" w:type="dxa"/>
            <w:tcBorders>
              <w:top w:val="single" w:sz="4" w:space="0" w:color="auto"/>
            </w:tcBorders>
          </w:tcPr>
          <w:p w14:paraId="5984AF4D" w14:textId="77777777" w:rsidR="006B5C69" w:rsidRPr="00E23AAF" w:rsidRDefault="006B5C69" w:rsidP="006B5C69">
            <w:r w:rsidRPr="00E23AAF">
              <w:t>Income tax expense</w:t>
            </w:r>
          </w:p>
        </w:tc>
        <w:tc>
          <w:tcPr>
            <w:tcW w:w="1519" w:type="dxa"/>
            <w:tcBorders>
              <w:top w:val="single" w:sz="4" w:space="0" w:color="auto"/>
            </w:tcBorders>
          </w:tcPr>
          <w:p w14:paraId="5245F46A" w14:textId="7D133FAF" w:rsidR="006B5C69" w:rsidRPr="009E0357" w:rsidRDefault="009E0357" w:rsidP="006B5C69">
            <w:pPr>
              <w:tabs>
                <w:tab w:val="clear" w:pos="1378"/>
                <w:tab w:val="decimal" w:pos="1020"/>
              </w:tabs>
            </w:pPr>
            <w:r w:rsidRPr="009E0357">
              <w:t>-</w:t>
            </w:r>
          </w:p>
        </w:tc>
        <w:tc>
          <w:tcPr>
            <w:tcW w:w="1519" w:type="dxa"/>
            <w:tcBorders>
              <w:top w:val="single" w:sz="4" w:space="0" w:color="auto"/>
            </w:tcBorders>
          </w:tcPr>
          <w:p w14:paraId="60BE5F5F" w14:textId="72A3676A" w:rsidR="006B5C69" w:rsidRPr="009E0357" w:rsidRDefault="006B5C69" w:rsidP="006B5C69">
            <w:pPr>
              <w:tabs>
                <w:tab w:val="clear" w:pos="1378"/>
                <w:tab w:val="decimal" w:pos="1020"/>
              </w:tabs>
            </w:pPr>
            <w:r w:rsidRPr="009E0357">
              <w:t>-</w:t>
            </w:r>
          </w:p>
        </w:tc>
      </w:tr>
      <w:tr w:rsidR="006B5C69" w:rsidRPr="007165BD" w14:paraId="281B95EA" w14:textId="77777777" w:rsidTr="00F1580E">
        <w:trPr>
          <w:cantSplit/>
          <w:trHeight w:val="454"/>
        </w:trPr>
        <w:tc>
          <w:tcPr>
            <w:tcW w:w="6204" w:type="dxa"/>
            <w:tcBorders>
              <w:bottom w:val="single" w:sz="4" w:space="0" w:color="auto"/>
            </w:tcBorders>
          </w:tcPr>
          <w:p w14:paraId="5E43872C" w14:textId="46638A8B" w:rsidR="006B5C69" w:rsidRDefault="008426EA" w:rsidP="008426EA">
            <w:pPr>
              <w:rPr>
                <w:b/>
              </w:rPr>
            </w:pPr>
            <w:r>
              <w:rPr>
                <w:b/>
              </w:rPr>
              <w:t>Surplus/(d</w:t>
            </w:r>
            <w:r w:rsidRPr="006C5400">
              <w:rPr>
                <w:b/>
              </w:rPr>
              <w:t>eficit</w:t>
            </w:r>
            <w:r>
              <w:rPr>
                <w:b/>
              </w:rPr>
              <w:t>)</w:t>
            </w:r>
            <w:r w:rsidRPr="006C5400">
              <w:rPr>
                <w:b/>
              </w:rPr>
              <w:t xml:space="preserve"> </w:t>
            </w:r>
            <w:r>
              <w:rPr>
                <w:b/>
              </w:rPr>
              <w:t>after</w:t>
            </w:r>
            <w:r w:rsidRPr="006C5400">
              <w:rPr>
                <w:b/>
              </w:rPr>
              <w:t xml:space="preserve"> income tax</w:t>
            </w:r>
          </w:p>
        </w:tc>
        <w:tc>
          <w:tcPr>
            <w:tcW w:w="1519" w:type="dxa"/>
            <w:tcBorders>
              <w:bottom w:val="single" w:sz="4" w:space="0" w:color="auto"/>
            </w:tcBorders>
          </w:tcPr>
          <w:p w14:paraId="5FA592B4" w14:textId="5E8D99FC" w:rsidR="006B5C69" w:rsidRPr="007165BD" w:rsidRDefault="009E0357" w:rsidP="006B5C69">
            <w:pPr>
              <w:tabs>
                <w:tab w:val="clear" w:pos="1378"/>
                <w:tab w:val="decimal" w:pos="1020"/>
              </w:tabs>
              <w:rPr>
                <w:b/>
              </w:rPr>
            </w:pPr>
            <w:r>
              <w:rPr>
                <w:b/>
              </w:rPr>
              <w:t>42,806</w:t>
            </w:r>
          </w:p>
        </w:tc>
        <w:tc>
          <w:tcPr>
            <w:tcW w:w="1519" w:type="dxa"/>
            <w:tcBorders>
              <w:bottom w:val="single" w:sz="4" w:space="0" w:color="auto"/>
            </w:tcBorders>
          </w:tcPr>
          <w:p w14:paraId="6DF9ED90" w14:textId="397E13D6" w:rsidR="006B5C69" w:rsidRPr="007165BD" w:rsidRDefault="006B5C69" w:rsidP="006B5C69">
            <w:pPr>
              <w:tabs>
                <w:tab w:val="clear" w:pos="1378"/>
                <w:tab w:val="decimal" w:pos="1020"/>
              </w:tabs>
              <w:rPr>
                <w:b/>
              </w:rPr>
            </w:pPr>
            <w:r>
              <w:rPr>
                <w:b/>
              </w:rPr>
              <w:t>(8,762)</w:t>
            </w:r>
          </w:p>
        </w:tc>
      </w:tr>
    </w:tbl>
    <w:p w14:paraId="4552FB5D" w14:textId="77777777" w:rsidR="006B5C69" w:rsidRPr="00F30939" w:rsidRDefault="006B5C69" w:rsidP="006B5C69"/>
    <w:p w14:paraId="1B81F1F5" w14:textId="77777777" w:rsidR="006B5C69" w:rsidRPr="00F30939" w:rsidRDefault="006B5C69" w:rsidP="006B5C69">
      <w:pPr>
        <w:pStyle w:val="Heading1-continued"/>
      </w:pPr>
      <w:r>
        <w:t>Charles Darwin University</w:t>
      </w:r>
      <w:r w:rsidRPr="00F30939">
        <w:t xml:space="preserve"> cont…</w:t>
      </w:r>
    </w:p>
    <w:p w14:paraId="632C0F4E" w14:textId="77777777" w:rsidR="006B5C69" w:rsidRPr="00F30939" w:rsidRDefault="006B5C69" w:rsidP="006B5C69">
      <w:pPr>
        <w:pStyle w:val="Heading2"/>
      </w:pPr>
      <w:r w:rsidRPr="00F30939">
        <w:t>Financial Position at year end</w:t>
      </w:r>
    </w:p>
    <w:tbl>
      <w:tblPr>
        <w:tblW w:w="9100" w:type="dxa"/>
        <w:tblLayout w:type="fixed"/>
        <w:tblLook w:val="04A0" w:firstRow="1" w:lastRow="0" w:firstColumn="1" w:lastColumn="0" w:noHBand="0" w:noVBand="1"/>
        <w:tblCaption w:val="Financial Position"/>
        <w:tblDescription w:val="Financial position information for the current and prior year&#10;"/>
      </w:tblPr>
      <w:tblGrid>
        <w:gridCol w:w="6062"/>
        <w:gridCol w:w="1519"/>
        <w:gridCol w:w="1519"/>
      </w:tblGrid>
      <w:tr w:rsidR="006B5C69" w:rsidRPr="00F30939" w14:paraId="38775E75" w14:textId="77777777" w:rsidTr="00F1580E">
        <w:trPr>
          <w:cantSplit/>
          <w:trHeight w:val="454"/>
          <w:tblHeader/>
        </w:trPr>
        <w:tc>
          <w:tcPr>
            <w:tcW w:w="6062" w:type="dxa"/>
            <w:tcBorders>
              <w:bottom w:val="single" w:sz="4" w:space="0" w:color="auto"/>
            </w:tcBorders>
          </w:tcPr>
          <w:p w14:paraId="2C54123B" w14:textId="77777777" w:rsidR="006B5C69" w:rsidRPr="00F30939" w:rsidRDefault="006B5C69" w:rsidP="00F1580E"/>
        </w:tc>
        <w:tc>
          <w:tcPr>
            <w:tcW w:w="1519" w:type="dxa"/>
            <w:tcBorders>
              <w:bottom w:val="single" w:sz="4" w:space="0" w:color="auto"/>
            </w:tcBorders>
          </w:tcPr>
          <w:p w14:paraId="304C34AE" w14:textId="1FD0F4DE" w:rsidR="006B5C69" w:rsidRPr="007165BD" w:rsidRDefault="006B5C69" w:rsidP="00F1580E">
            <w:pPr>
              <w:jc w:val="center"/>
              <w:rPr>
                <w:b/>
              </w:rPr>
            </w:pPr>
            <w:r>
              <w:rPr>
                <w:b/>
              </w:rPr>
              <w:t>2020</w:t>
            </w:r>
          </w:p>
        </w:tc>
        <w:tc>
          <w:tcPr>
            <w:tcW w:w="1519" w:type="dxa"/>
            <w:tcBorders>
              <w:bottom w:val="single" w:sz="4" w:space="0" w:color="auto"/>
            </w:tcBorders>
          </w:tcPr>
          <w:p w14:paraId="768DC97B" w14:textId="0B1C7847" w:rsidR="006B5C69" w:rsidRPr="007165BD" w:rsidRDefault="006B5C69" w:rsidP="006B5C69">
            <w:pPr>
              <w:jc w:val="center"/>
              <w:rPr>
                <w:b/>
              </w:rPr>
            </w:pPr>
            <w:r w:rsidRPr="007165BD">
              <w:rPr>
                <w:b/>
              </w:rPr>
              <w:t>201</w:t>
            </w:r>
            <w:r>
              <w:rPr>
                <w:b/>
              </w:rPr>
              <w:t>9</w:t>
            </w:r>
          </w:p>
        </w:tc>
      </w:tr>
      <w:tr w:rsidR="006B5C69" w:rsidRPr="00F30939" w14:paraId="1AF5F4B2" w14:textId="77777777" w:rsidTr="00F1580E">
        <w:trPr>
          <w:cantSplit/>
          <w:trHeight w:val="454"/>
          <w:tblHeader/>
        </w:trPr>
        <w:tc>
          <w:tcPr>
            <w:tcW w:w="6062" w:type="dxa"/>
            <w:tcBorders>
              <w:top w:val="single" w:sz="4" w:space="0" w:color="auto"/>
            </w:tcBorders>
          </w:tcPr>
          <w:p w14:paraId="566F8233" w14:textId="77777777" w:rsidR="006B5C69" w:rsidRPr="00F30939" w:rsidRDefault="006B5C69" w:rsidP="00F1580E"/>
        </w:tc>
        <w:tc>
          <w:tcPr>
            <w:tcW w:w="1519" w:type="dxa"/>
            <w:tcBorders>
              <w:top w:val="single" w:sz="4" w:space="0" w:color="auto"/>
            </w:tcBorders>
          </w:tcPr>
          <w:p w14:paraId="0EE2B440" w14:textId="77777777" w:rsidR="006B5C69" w:rsidRPr="007165BD" w:rsidRDefault="006B5C69" w:rsidP="00F1580E">
            <w:pPr>
              <w:jc w:val="center"/>
              <w:rPr>
                <w:b/>
              </w:rPr>
            </w:pPr>
            <w:r w:rsidRPr="007165BD">
              <w:rPr>
                <w:b/>
              </w:rPr>
              <w:t>$’000</w:t>
            </w:r>
          </w:p>
        </w:tc>
        <w:tc>
          <w:tcPr>
            <w:tcW w:w="1519" w:type="dxa"/>
            <w:tcBorders>
              <w:top w:val="single" w:sz="4" w:space="0" w:color="auto"/>
            </w:tcBorders>
          </w:tcPr>
          <w:p w14:paraId="2A29A6EF" w14:textId="77777777" w:rsidR="006B5C69" w:rsidRPr="007165BD" w:rsidRDefault="006B5C69" w:rsidP="00F1580E">
            <w:pPr>
              <w:jc w:val="center"/>
              <w:rPr>
                <w:b/>
              </w:rPr>
            </w:pPr>
            <w:r w:rsidRPr="007165BD">
              <w:rPr>
                <w:b/>
              </w:rPr>
              <w:t>$’000</w:t>
            </w:r>
          </w:p>
        </w:tc>
      </w:tr>
      <w:tr w:rsidR="006B5C69" w:rsidRPr="00F30939" w14:paraId="152420EF" w14:textId="77777777" w:rsidTr="00F1580E">
        <w:trPr>
          <w:cantSplit/>
          <w:trHeight w:val="454"/>
        </w:trPr>
        <w:tc>
          <w:tcPr>
            <w:tcW w:w="6062" w:type="dxa"/>
          </w:tcPr>
          <w:p w14:paraId="68B90A48" w14:textId="77777777" w:rsidR="006B5C69" w:rsidRPr="00F30939" w:rsidRDefault="006B5C69" w:rsidP="006B5C69">
            <w:r w:rsidRPr="009276BC">
              <w:t>Cash and cash equivalents</w:t>
            </w:r>
          </w:p>
        </w:tc>
        <w:tc>
          <w:tcPr>
            <w:tcW w:w="1519" w:type="dxa"/>
          </w:tcPr>
          <w:p w14:paraId="1DCC6026" w14:textId="0C8F0DBB" w:rsidR="006B5C69" w:rsidRPr="00F30939" w:rsidRDefault="009E0357" w:rsidP="006B5C69">
            <w:pPr>
              <w:tabs>
                <w:tab w:val="clear" w:pos="1378"/>
                <w:tab w:val="decimal" w:pos="1020"/>
              </w:tabs>
            </w:pPr>
            <w:r>
              <w:t>116,011</w:t>
            </w:r>
          </w:p>
        </w:tc>
        <w:tc>
          <w:tcPr>
            <w:tcW w:w="1519" w:type="dxa"/>
          </w:tcPr>
          <w:p w14:paraId="44914C2D" w14:textId="677AB651" w:rsidR="006B5C69" w:rsidRPr="00F30939" w:rsidRDefault="006B5C69" w:rsidP="006B5C69">
            <w:pPr>
              <w:tabs>
                <w:tab w:val="clear" w:pos="1378"/>
                <w:tab w:val="decimal" w:pos="1020"/>
              </w:tabs>
            </w:pPr>
            <w:r>
              <w:t>72,027</w:t>
            </w:r>
          </w:p>
        </w:tc>
      </w:tr>
      <w:tr w:rsidR="006B5C69" w:rsidRPr="00F30939" w14:paraId="6A6A040D" w14:textId="77777777" w:rsidTr="00F1580E">
        <w:trPr>
          <w:cantSplit/>
          <w:trHeight w:val="454"/>
        </w:trPr>
        <w:tc>
          <w:tcPr>
            <w:tcW w:w="6062" w:type="dxa"/>
          </w:tcPr>
          <w:p w14:paraId="26102859" w14:textId="77777777" w:rsidR="006B5C69" w:rsidRPr="00F30939" w:rsidRDefault="006B5C69" w:rsidP="006B5C69">
            <w:r w:rsidRPr="009276BC">
              <w:t>Receivables and other current assets</w:t>
            </w:r>
          </w:p>
        </w:tc>
        <w:tc>
          <w:tcPr>
            <w:tcW w:w="1519" w:type="dxa"/>
          </w:tcPr>
          <w:p w14:paraId="54E8A8A9" w14:textId="70542373" w:rsidR="006B5C69" w:rsidRPr="00F30939" w:rsidRDefault="009E0357" w:rsidP="006B5C69">
            <w:pPr>
              <w:tabs>
                <w:tab w:val="clear" w:pos="1378"/>
                <w:tab w:val="decimal" w:pos="1020"/>
              </w:tabs>
            </w:pPr>
            <w:r>
              <w:t>15,108</w:t>
            </w:r>
          </w:p>
        </w:tc>
        <w:tc>
          <w:tcPr>
            <w:tcW w:w="1519" w:type="dxa"/>
          </w:tcPr>
          <w:p w14:paraId="7C9B3C6C" w14:textId="4DA02CA5" w:rsidR="006B5C69" w:rsidRPr="00F30939" w:rsidRDefault="006B5C69" w:rsidP="006B5C69">
            <w:pPr>
              <w:tabs>
                <w:tab w:val="clear" w:pos="1378"/>
                <w:tab w:val="decimal" w:pos="1020"/>
              </w:tabs>
            </w:pPr>
            <w:r>
              <w:t>15,645</w:t>
            </w:r>
          </w:p>
        </w:tc>
      </w:tr>
      <w:tr w:rsidR="006B5C69" w:rsidRPr="00F30939" w14:paraId="4BDE1370" w14:textId="77777777" w:rsidTr="00F1580E">
        <w:trPr>
          <w:cantSplit/>
          <w:trHeight w:val="454"/>
        </w:trPr>
        <w:tc>
          <w:tcPr>
            <w:tcW w:w="6062" w:type="dxa"/>
          </w:tcPr>
          <w:p w14:paraId="002A5AA4" w14:textId="77777777" w:rsidR="006B5C69" w:rsidRPr="00F30939" w:rsidRDefault="006B5C69" w:rsidP="006B5C69">
            <w:r w:rsidRPr="009276BC">
              <w:t>Less current liabilities</w:t>
            </w:r>
          </w:p>
        </w:tc>
        <w:tc>
          <w:tcPr>
            <w:tcW w:w="1519" w:type="dxa"/>
          </w:tcPr>
          <w:p w14:paraId="73E3F8FA" w14:textId="13CDC450" w:rsidR="006B5C69" w:rsidRPr="00F30939" w:rsidRDefault="009E0357" w:rsidP="006B5C69">
            <w:pPr>
              <w:tabs>
                <w:tab w:val="clear" w:pos="1378"/>
                <w:tab w:val="decimal" w:pos="1020"/>
              </w:tabs>
            </w:pPr>
            <w:r>
              <w:t>(97,079)</w:t>
            </w:r>
          </w:p>
        </w:tc>
        <w:tc>
          <w:tcPr>
            <w:tcW w:w="1519" w:type="dxa"/>
          </w:tcPr>
          <w:p w14:paraId="0BD37FE4" w14:textId="17B381DD" w:rsidR="006B5C69" w:rsidRPr="00F30939" w:rsidRDefault="006B5C69" w:rsidP="009E0357">
            <w:pPr>
              <w:tabs>
                <w:tab w:val="clear" w:pos="1378"/>
                <w:tab w:val="decimal" w:pos="1020"/>
              </w:tabs>
            </w:pPr>
            <w:r>
              <w:t>(</w:t>
            </w:r>
            <w:r w:rsidR="009E0357">
              <w:t>77,545</w:t>
            </w:r>
            <w:r>
              <w:t>)</w:t>
            </w:r>
          </w:p>
        </w:tc>
      </w:tr>
      <w:tr w:rsidR="006B5C69" w:rsidRPr="007165BD" w14:paraId="47E558AD" w14:textId="77777777" w:rsidTr="00F1580E">
        <w:trPr>
          <w:cantSplit/>
          <w:trHeight w:val="454"/>
        </w:trPr>
        <w:tc>
          <w:tcPr>
            <w:tcW w:w="6062" w:type="dxa"/>
            <w:tcBorders>
              <w:bottom w:val="single" w:sz="4" w:space="0" w:color="auto"/>
            </w:tcBorders>
          </w:tcPr>
          <w:p w14:paraId="219C7FB7" w14:textId="77777777" w:rsidR="006B5C69" w:rsidRPr="007165BD" w:rsidRDefault="006B5C69" w:rsidP="006B5C69">
            <w:pPr>
              <w:rPr>
                <w:b/>
              </w:rPr>
            </w:pPr>
            <w:r w:rsidRPr="00E23AAF">
              <w:rPr>
                <w:b/>
              </w:rPr>
              <w:t xml:space="preserve">Working </w:t>
            </w:r>
            <w:r>
              <w:rPr>
                <w:b/>
              </w:rPr>
              <w:t>c</w:t>
            </w:r>
            <w:r w:rsidRPr="00E23AAF">
              <w:rPr>
                <w:b/>
              </w:rPr>
              <w:t>apital</w:t>
            </w:r>
          </w:p>
        </w:tc>
        <w:tc>
          <w:tcPr>
            <w:tcW w:w="1519" w:type="dxa"/>
            <w:tcBorders>
              <w:bottom w:val="single" w:sz="4" w:space="0" w:color="auto"/>
            </w:tcBorders>
          </w:tcPr>
          <w:p w14:paraId="0BDC42A9" w14:textId="75DA590F" w:rsidR="006B5C69" w:rsidRPr="007165BD" w:rsidRDefault="009E0357" w:rsidP="006B5C69">
            <w:pPr>
              <w:tabs>
                <w:tab w:val="clear" w:pos="1378"/>
                <w:tab w:val="decimal" w:pos="1020"/>
              </w:tabs>
              <w:rPr>
                <w:b/>
              </w:rPr>
            </w:pPr>
            <w:r>
              <w:rPr>
                <w:b/>
              </w:rPr>
              <w:t>34,040</w:t>
            </w:r>
          </w:p>
        </w:tc>
        <w:tc>
          <w:tcPr>
            <w:tcW w:w="1519" w:type="dxa"/>
            <w:tcBorders>
              <w:bottom w:val="single" w:sz="4" w:space="0" w:color="auto"/>
            </w:tcBorders>
          </w:tcPr>
          <w:p w14:paraId="1BF60332" w14:textId="5E543631" w:rsidR="006B5C69" w:rsidRPr="007165BD" w:rsidRDefault="009E0357" w:rsidP="006B5C69">
            <w:pPr>
              <w:tabs>
                <w:tab w:val="clear" w:pos="1378"/>
                <w:tab w:val="decimal" w:pos="1020"/>
              </w:tabs>
              <w:rPr>
                <w:b/>
              </w:rPr>
            </w:pPr>
            <w:r>
              <w:rPr>
                <w:b/>
              </w:rPr>
              <w:t>10,127</w:t>
            </w:r>
          </w:p>
        </w:tc>
      </w:tr>
      <w:tr w:rsidR="006B5C69" w:rsidRPr="00F30939" w14:paraId="63B2A18D" w14:textId="77777777" w:rsidTr="00F1580E">
        <w:trPr>
          <w:cantSplit/>
          <w:trHeight w:val="454"/>
        </w:trPr>
        <w:tc>
          <w:tcPr>
            <w:tcW w:w="6062" w:type="dxa"/>
          </w:tcPr>
          <w:p w14:paraId="4487B193" w14:textId="77777777" w:rsidR="006B5C69" w:rsidRPr="00F30939" w:rsidRDefault="006B5C69" w:rsidP="006B5C69">
            <w:r w:rsidRPr="009276BC">
              <w:t>Add non-current assets</w:t>
            </w:r>
          </w:p>
        </w:tc>
        <w:tc>
          <w:tcPr>
            <w:tcW w:w="1519" w:type="dxa"/>
          </w:tcPr>
          <w:p w14:paraId="24B42E3E" w14:textId="2F7A46A3" w:rsidR="006B5C69" w:rsidRPr="00F30939" w:rsidRDefault="009E0357" w:rsidP="006B5C69">
            <w:pPr>
              <w:tabs>
                <w:tab w:val="clear" w:pos="1378"/>
                <w:tab w:val="decimal" w:pos="1020"/>
              </w:tabs>
            </w:pPr>
            <w:r>
              <w:t>520,742</w:t>
            </w:r>
          </w:p>
        </w:tc>
        <w:tc>
          <w:tcPr>
            <w:tcW w:w="1519" w:type="dxa"/>
          </w:tcPr>
          <w:p w14:paraId="2F5ED232" w14:textId="784AFBE2" w:rsidR="006B5C69" w:rsidRPr="00F30939" w:rsidRDefault="006B5C69" w:rsidP="006B5C69">
            <w:pPr>
              <w:tabs>
                <w:tab w:val="clear" w:pos="1378"/>
                <w:tab w:val="decimal" w:pos="1020"/>
              </w:tabs>
            </w:pPr>
            <w:r>
              <w:t>504,900</w:t>
            </w:r>
          </w:p>
        </w:tc>
      </w:tr>
      <w:tr w:rsidR="006B5C69" w:rsidRPr="00F30939" w14:paraId="1533EC4E" w14:textId="77777777" w:rsidTr="00F1580E">
        <w:trPr>
          <w:cantSplit/>
          <w:trHeight w:val="454"/>
        </w:trPr>
        <w:tc>
          <w:tcPr>
            <w:tcW w:w="6062" w:type="dxa"/>
          </w:tcPr>
          <w:p w14:paraId="56EC92CF" w14:textId="77777777" w:rsidR="006B5C69" w:rsidRPr="00F30939" w:rsidRDefault="006B5C69" w:rsidP="006B5C69">
            <w:r w:rsidRPr="009276BC">
              <w:t>Less non-current liabilities</w:t>
            </w:r>
          </w:p>
        </w:tc>
        <w:tc>
          <w:tcPr>
            <w:tcW w:w="1519" w:type="dxa"/>
          </w:tcPr>
          <w:p w14:paraId="4CC90151" w14:textId="66C00801" w:rsidR="006B5C69" w:rsidRPr="00F30939" w:rsidRDefault="009E0357" w:rsidP="006B5C69">
            <w:pPr>
              <w:tabs>
                <w:tab w:val="clear" w:pos="1378"/>
                <w:tab w:val="decimal" w:pos="1020"/>
              </w:tabs>
            </w:pPr>
            <w:r>
              <w:t>(5,335)</w:t>
            </w:r>
          </w:p>
        </w:tc>
        <w:tc>
          <w:tcPr>
            <w:tcW w:w="1519" w:type="dxa"/>
          </w:tcPr>
          <w:p w14:paraId="56444C67" w14:textId="5A30D95B" w:rsidR="006B5C69" w:rsidRPr="00F30939" w:rsidRDefault="006B5C69" w:rsidP="009E0357">
            <w:pPr>
              <w:tabs>
                <w:tab w:val="clear" w:pos="1378"/>
                <w:tab w:val="decimal" w:pos="1020"/>
              </w:tabs>
            </w:pPr>
            <w:r>
              <w:t>(</w:t>
            </w:r>
            <w:r w:rsidR="009E0357">
              <w:t>6,523</w:t>
            </w:r>
            <w:r>
              <w:t>)</w:t>
            </w:r>
          </w:p>
        </w:tc>
      </w:tr>
      <w:tr w:rsidR="006B5C69" w:rsidRPr="007165BD" w14:paraId="393F1C44" w14:textId="77777777" w:rsidTr="00F1580E">
        <w:trPr>
          <w:cantSplit/>
          <w:trHeight w:val="454"/>
        </w:trPr>
        <w:tc>
          <w:tcPr>
            <w:tcW w:w="6062" w:type="dxa"/>
            <w:tcBorders>
              <w:bottom w:val="single" w:sz="4" w:space="0" w:color="auto"/>
            </w:tcBorders>
          </w:tcPr>
          <w:p w14:paraId="03FD1A7F" w14:textId="77777777" w:rsidR="006B5C69" w:rsidRPr="007165BD" w:rsidRDefault="006B5C69" w:rsidP="006B5C69">
            <w:pPr>
              <w:rPr>
                <w:b/>
              </w:rPr>
            </w:pPr>
            <w:r w:rsidRPr="00E23AAF">
              <w:rPr>
                <w:b/>
              </w:rPr>
              <w:t xml:space="preserve">Net </w:t>
            </w:r>
            <w:r>
              <w:rPr>
                <w:b/>
              </w:rPr>
              <w:t>a</w:t>
            </w:r>
            <w:r w:rsidRPr="00E23AAF">
              <w:rPr>
                <w:b/>
              </w:rPr>
              <w:t>ssets</w:t>
            </w:r>
          </w:p>
        </w:tc>
        <w:tc>
          <w:tcPr>
            <w:tcW w:w="1519" w:type="dxa"/>
            <w:tcBorders>
              <w:bottom w:val="single" w:sz="4" w:space="0" w:color="auto"/>
            </w:tcBorders>
          </w:tcPr>
          <w:p w14:paraId="1FEE296B" w14:textId="57376507" w:rsidR="006B5C69" w:rsidRPr="007165BD" w:rsidRDefault="009E0357" w:rsidP="006B5C69">
            <w:pPr>
              <w:tabs>
                <w:tab w:val="clear" w:pos="1378"/>
                <w:tab w:val="decimal" w:pos="1020"/>
              </w:tabs>
              <w:rPr>
                <w:b/>
              </w:rPr>
            </w:pPr>
            <w:r>
              <w:rPr>
                <w:b/>
              </w:rPr>
              <w:t>549,447</w:t>
            </w:r>
          </w:p>
        </w:tc>
        <w:tc>
          <w:tcPr>
            <w:tcW w:w="1519" w:type="dxa"/>
            <w:tcBorders>
              <w:bottom w:val="single" w:sz="4" w:space="0" w:color="auto"/>
            </w:tcBorders>
          </w:tcPr>
          <w:p w14:paraId="0EB7B8F4" w14:textId="6B9095DB" w:rsidR="006B5C69" w:rsidRPr="007165BD" w:rsidRDefault="006B5C69" w:rsidP="006B5C69">
            <w:pPr>
              <w:tabs>
                <w:tab w:val="clear" w:pos="1378"/>
                <w:tab w:val="decimal" w:pos="1020"/>
              </w:tabs>
              <w:rPr>
                <w:b/>
              </w:rPr>
            </w:pPr>
            <w:r>
              <w:rPr>
                <w:b/>
              </w:rPr>
              <w:t>508,504</w:t>
            </w:r>
          </w:p>
        </w:tc>
      </w:tr>
      <w:tr w:rsidR="006B5C69" w:rsidRPr="00F30939" w14:paraId="312C03EE" w14:textId="77777777" w:rsidTr="00F1580E">
        <w:trPr>
          <w:cantSplit/>
          <w:trHeight w:val="454"/>
        </w:trPr>
        <w:tc>
          <w:tcPr>
            <w:tcW w:w="6062" w:type="dxa"/>
            <w:tcBorders>
              <w:top w:val="single" w:sz="4" w:space="0" w:color="auto"/>
            </w:tcBorders>
          </w:tcPr>
          <w:p w14:paraId="452C3C50" w14:textId="77777777" w:rsidR="006B5C69" w:rsidRPr="00F30939" w:rsidRDefault="006B5C69" w:rsidP="006B5C69">
            <w:r w:rsidRPr="009276BC">
              <w:t>Represented by:</w:t>
            </w:r>
          </w:p>
        </w:tc>
        <w:tc>
          <w:tcPr>
            <w:tcW w:w="1519" w:type="dxa"/>
            <w:tcBorders>
              <w:top w:val="single" w:sz="4" w:space="0" w:color="auto"/>
            </w:tcBorders>
          </w:tcPr>
          <w:p w14:paraId="4D129A36" w14:textId="77777777" w:rsidR="006B5C69" w:rsidRPr="00F30939" w:rsidRDefault="006B5C69" w:rsidP="006B5C69">
            <w:pPr>
              <w:tabs>
                <w:tab w:val="clear" w:pos="1378"/>
                <w:tab w:val="decimal" w:pos="1020"/>
              </w:tabs>
            </w:pPr>
          </w:p>
        </w:tc>
        <w:tc>
          <w:tcPr>
            <w:tcW w:w="1519" w:type="dxa"/>
            <w:tcBorders>
              <w:top w:val="single" w:sz="4" w:space="0" w:color="auto"/>
            </w:tcBorders>
          </w:tcPr>
          <w:p w14:paraId="5DB2D897" w14:textId="77777777" w:rsidR="006B5C69" w:rsidRPr="00F30939" w:rsidRDefault="006B5C69" w:rsidP="006B5C69">
            <w:pPr>
              <w:tabs>
                <w:tab w:val="clear" w:pos="1378"/>
                <w:tab w:val="decimal" w:pos="1020"/>
              </w:tabs>
            </w:pPr>
          </w:p>
        </w:tc>
      </w:tr>
      <w:tr w:rsidR="006B5C69" w:rsidRPr="00F30939" w14:paraId="479C9A62" w14:textId="77777777" w:rsidTr="00F1580E">
        <w:trPr>
          <w:cantSplit/>
          <w:trHeight w:val="454"/>
        </w:trPr>
        <w:tc>
          <w:tcPr>
            <w:tcW w:w="6062" w:type="dxa"/>
          </w:tcPr>
          <w:p w14:paraId="009F8A98" w14:textId="77777777" w:rsidR="006B5C69" w:rsidRPr="00F30939" w:rsidRDefault="006B5C69" w:rsidP="006B5C69">
            <w:r>
              <w:t>Restricted and a</w:t>
            </w:r>
            <w:r w:rsidRPr="009276BC">
              <w:t>ccumulated funds</w:t>
            </w:r>
          </w:p>
        </w:tc>
        <w:tc>
          <w:tcPr>
            <w:tcW w:w="1519" w:type="dxa"/>
          </w:tcPr>
          <w:p w14:paraId="0394A77D" w14:textId="048E873F" w:rsidR="006B5C69" w:rsidRPr="00F30939" w:rsidRDefault="009E0357" w:rsidP="006B5C69">
            <w:pPr>
              <w:tabs>
                <w:tab w:val="clear" w:pos="1378"/>
                <w:tab w:val="decimal" w:pos="1020"/>
              </w:tabs>
            </w:pPr>
            <w:r>
              <w:t>295,477</w:t>
            </w:r>
          </w:p>
        </w:tc>
        <w:tc>
          <w:tcPr>
            <w:tcW w:w="1519" w:type="dxa"/>
          </w:tcPr>
          <w:p w14:paraId="78EA17B6" w14:textId="25A8912C" w:rsidR="006B5C69" w:rsidRPr="00F30939" w:rsidRDefault="006B5C69" w:rsidP="006B5C69">
            <w:pPr>
              <w:tabs>
                <w:tab w:val="clear" w:pos="1378"/>
                <w:tab w:val="decimal" w:pos="1020"/>
              </w:tabs>
            </w:pPr>
            <w:r>
              <w:t>255,296</w:t>
            </w:r>
          </w:p>
        </w:tc>
      </w:tr>
      <w:tr w:rsidR="006B5C69" w:rsidRPr="00F30939" w14:paraId="16284AD2" w14:textId="77777777" w:rsidTr="00F1580E">
        <w:trPr>
          <w:cantSplit/>
          <w:trHeight w:val="454"/>
        </w:trPr>
        <w:tc>
          <w:tcPr>
            <w:tcW w:w="6062" w:type="dxa"/>
          </w:tcPr>
          <w:p w14:paraId="5DDB8687" w14:textId="77777777" w:rsidR="006B5C69" w:rsidRPr="00F30939" w:rsidRDefault="006B5C69" w:rsidP="006B5C69">
            <w:r>
              <w:t>Reserves</w:t>
            </w:r>
          </w:p>
        </w:tc>
        <w:tc>
          <w:tcPr>
            <w:tcW w:w="1519" w:type="dxa"/>
          </w:tcPr>
          <w:p w14:paraId="49C4DC95" w14:textId="7E5419E5" w:rsidR="006B5C69" w:rsidRPr="00F30939" w:rsidRDefault="009E0357" w:rsidP="006B5C69">
            <w:pPr>
              <w:tabs>
                <w:tab w:val="clear" w:pos="1378"/>
                <w:tab w:val="decimal" w:pos="1020"/>
              </w:tabs>
            </w:pPr>
            <w:r>
              <w:t>253,970</w:t>
            </w:r>
          </w:p>
        </w:tc>
        <w:tc>
          <w:tcPr>
            <w:tcW w:w="1519" w:type="dxa"/>
          </w:tcPr>
          <w:p w14:paraId="204F1D6B" w14:textId="04419AAB" w:rsidR="006B5C69" w:rsidRPr="00F30939" w:rsidRDefault="006B5C69" w:rsidP="006B5C69">
            <w:pPr>
              <w:tabs>
                <w:tab w:val="clear" w:pos="1378"/>
                <w:tab w:val="decimal" w:pos="1020"/>
              </w:tabs>
            </w:pPr>
            <w:r>
              <w:t>253,208</w:t>
            </w:r>
          </w:p>
        </w:tc>
      </w:tr>
      <w:tr w:rsidR="009E0357" w:rsidRPr="007165BD" w14:paraId="7E99254B" w14:textId="77777777" w:rsidTr="00F1580E">
        <w:trPr>
          <w:cantSplit/>
          <w:trHeight w:val="454"/>
        </w:trPr>
        <w:tc>
          <w:tcPr>
            <w:tcW w:w="6062" w:type="dxa"/>
            <w:tcBorders>
              <w:bottom w:val="single" w:sz="4" w:space="0" w:color="auto"/>
            </w:tcBorders>
          </w:tcPr>
          <w:p w14:paraId="22CB0F91" w14:textId="77777777" w:rsidR="009E0357" w:rsidRPr="007165BD" w:rsidRDefault="009E0357" w:rsidP="009E0357">
            <w:pPr>
              <w:rPr>
                <w:b/>
              </w:rPr>
            </w:pPr>
            <w:r w:rsidRPr="00E23AAF">
              <w:rPr>
                <w:b/>
              </w:rPr>
              <w:t>Equity</w:t>
            </w:r>
          </w:p>
        </w:tc>
        <w:tc>
          <w:tcPr>
            <w:tcW w:w="1519" w:type="dxa"/>
            <w:tcBorders>
              <w:bottom w:val="single" w:sz="4" w:space="0" w:color="auto"/>
            </w:tcBorders>
          </w:tcPr>
          <w:p w14:paraId="6320E6C5" w14:textId="0A01D974" w:rsidR="009E0357" w:rsidRPr="007165BD" w:rsidRDefault="009E0357" w:rsidP="009E0357">
            <w:pPr>
              <w:tabs>
                <w:tab w:val="clear" w:pos="1378"/>
                <w:tab w:val="decimal" w:pos="1020"/>
              </w:tabs>
              <w:rPr>
                <w:b/>
              </w:rPr>
            </w:pPr>
            <w:r>
              <w:rPr>
                <w:b/>
              </w:rPr>
              <w:t>549,447</w:t>
            </w:r>
          </w:p>
        </w:tc>
        <w:tc>
          <w:tcPr>
            <w:tcW w:w="1519" w:type="dxa"/>
            <w:tcBorders>
              <w:bottom w:val="single" w:sz="4" w:space="0" w:color="auto"/>
            </w:tcBorders>
          </w:tcPr>
          <w:p w14:paraId="0041FD25" w14:textId="5595A4BE" w:rsidR="009E0357" w:rsidRPr="007165BD" w:rsidRDefault="009E0357" w:rsidP="009E0357">
            <w:pPr>
              <w:tabs>
                <w:tab w:val="clear" w:pos="1378"/>
                <w:tab w:val="decimal" w:pos="1020"/>
              </w:tabs>
              <w:rPr>
                <w:b/>
              </w:rPr>
            </w:pPr>
            <w:r>
              <w:rPr>
                <w:b/>
              </w:rPr>
              <w:t>508,504</w:t>
            </w:r>
          </w:p>
        </w:tc>
      </w:tr>
    </w:tbl>
    <w:p w14:paraId="54389892" w14:textId="77777777" w:rsidR="006B5C69" w:rsidRPr="00F30939" w:rsidRDefault="006B5C69" w:rsidP="006B5C69"/>
    <w:p w14:paraId="1A41F7AD" w14:textId="4D7F23BC" w:rsidR="006B5C69" w:rsidRPr="000D515D" w:rsidRDefault="006B5C69" w:rsidP="006B5C69">
      <w:pPr>
        <w:pStyle w:val="Heading1"/>
      </w:pPr>
      <w:bookmarkStart w:id="11" w:name="_Ref48110860"/>
      <w:bookmarkStart w:id="12" w:name="_Ref38617110"/>
      <w:r>
        <w:t>Bridging the Gap Foundation</w:t>
      </w:r>
      <w:bookmarkEnd w:id="11"/>
      <w:r w:rsidR="00C23ED5">
        <w:t xml:space="preserve"> Limited</w:t>
      </w:r>
    </w:p>
    <w:p w14:paraId="6FC76B21" w14:textId="667E8EEB" w:rsidR="006B5C69" w:rsidRPr="000D515D" w:rsidRDefault="006B5C69" w:rsidP="006B5C69">
      <w:pPr>
        <w:pStyle w:val="Heading2"/>
      </w:pPr>
      <w:bookmarkStart w:id="13" w:name="_Ref48110865"/>
      <w:r w:rsidRPr="000D515D">
        <w:t xml:space="preserve">Audit Findings and Analysis of the Financial Statements for the Year Ended </w:t>
      </w:r>
      <w:r w:rsidR="00F1580E">
        <w:t>31 December 2020</w:t>
      </w:r>
      <w:bookmarkEnd w:id="13"/>
    </w:p>
    <w:p w14:paraId="5065D589" w14:textId="77777777" w:rsidR="006B5C69" w:rsidRPr="00F30939" w:rsidRDefault="006B5C69" w:rsidP="006B5C69">
      <w:pPr>
        <w:pStyle w:val="Heading3"/>
      </w:pPr>
      <w:r>
        <w:t>Background</w:t>
      </w:r>
    </w:p>
    <w:p w14:paraId="6DBDCF0B" w14:textId="2B0E76D3" w:rsidR="006B5C69" w:rsidRDefault="006B5C69" w:rsidP="006B5C69">
      <w:r>
        <w:t>Bridging the Gap Foundation</w:t>
      </w:r>
      <w:r w:rsidR="00C23ED5" w:rsidRPr="00C23ED5">
        <w:t xml:space="preserve"> </w:t>
      </w:r>
      <w:r w:rsidR="00C23ED5">
        <w:t>Limited</w:t>
      </w:r>
      <w:r>
        <w:t xml:space="preserve"> (the Foundation) is a company limited by guarantee</w:t>
      </w:r>
      <w:r w:rsidR="00C23ED5">
        <w:t xml:space="preserve"> that acted as trustee of the Bridging the Gap Foundation Trust until the Trust’s closure on 29 December 2020. Since 29 December 2020 the Foundation has acted as a charity in its own right.</w:t>
      </w:r>
    </w:p>
    <w:p w14:paraId="25BCD6E1" w14:textId="5FE62BFF" w:rsidR="006B5C69" w:rsidRPr="00BC772F" w:rsidRDefault="006B5C69" w:rsidP="006B5C69">
      <w:pPr>
        <w:rPr>
          <w:i/>
        </w:rPr>
      </w:pPr>
      <w:r>
        <w:t xml:space="preserve">The Foundation </w:t>
      </w:r>
      <w:r w:rsidR="00C23ED5">
        <w:t>is</w:t>
      </w:r>
      <w:r>
        <w:t xml:space="preserve"> a fundraising arm of the Menzies School of Health Research and </w:t>
      </w:r>
      <w:r w:rsidR="00C23ED5">
        <w:t>is</w:t>
      </w:r>
      <w:r w:rsidR="00802060">
        <w:t xml:space="preserve"> a controlled entity</w:t>
      </w:r>
      <w:r>
        <w:t xml:space="preserve"> of the University within the meaning of section 41 of the </w:t>
      </w:r>
      <w:r>
        <w:rPr>
          <w:i/>
        </w:rPr>
        <w:t>Charles Darwin University Act 2003.</w:t>
      </w:r>
    </w:p>
    <w:p w14:paraId="588C2F35" w14:textId="76BA2BA9" w:rsidR="006B5C69" w:rsidRDefault="006B5C69" w:rsidP="006B5C69">
      <w:r>
        <w:t>The</w:t>
      </w:r>
      <w:r w:rsidR="00802060">
        <w:t xml:space="preserve"> Foundation’s</w:t>
      </w:r>
      <w:r>
        <w:t xml:space="preserve"> purpose is to support and assist Menzies School of Health Research, Charles Darwin University and other such organisations in the health, research and education sectors </w:t>
      </w:r>
      <w:r w:rsidR="00802060">
        <w:t xml:space="preserve">and </w:t>
      </w:r>
      <w:r>
        <w:t xml:space="preserve">to encourage and foster the interest and financial support of those persons and organisations interested in assisting and promoting </w:t>
      </w:r>
      <w:r w:rsidR="00802060">
        <w:t>these entities</w:t>
      </w:r>
      <w:r>
        <w:t>.</w:t>
      </w:r>
    </w:p>
    <w:p w14:paraId="14FBEA4F" w14:textId="77777777" w:rsidR="006B5C69" w:rsidRDefault="006B5C69" w:rsidP="006B5C69">
      <w:pPr>
        <w:pStyle w:val="Heading3"/>
      </w:pPr>
      <w:r>
        <w:t>Scope and Objectives</w:t>
      </w:r>
    </w:p>
    <w:p w14:paraId="1F589B50" w14:textId="07E644D9" w:rsidR="006B5C69" w:rsidRPr="00C23ED5" w:rsidRDefault="006B5C69" w:rsidP="006B5C69">
      <w:r w:rsidRPr="00C23ED5">
        <w:t>The objective of the audit was to complete sufficient audit procedures to enable an opinion to be express</w:t>
      </w:r>
      <w:r w:rsidR="00C23ED5" w:rsidRPr="00C23ED5">
        <w:t>ed upon the financial statement</w:t>
      </w:r>
      <w:r w:rsidR="0067458D">
        <w:t>s</w:t>
      </w:r>
      <w:r w:rsidRPr="00C23ED5">
        <w:t xml:space="preserve"> of the Foundation for the year ended </w:t>
      </w:r>
      <w:r w:rsidR="00F1580E" w:rsidRPr="00C23ED5">
        <w:t>31 December 2020</w:t>
      </w:r>
      <w:r w:rsidRPr="00C23ED5">
        <w:t>.</w:t>
      </w:r>
    </w:p>
    <w:p w14:paraId="254B11E6" w14:textId="77777777" w:rsidR="006B5C69" w:rsidRPr="00C23ED5" w:rsidRDefault="006B5C69" w:rsidP="006B5C69">
      <w:pPr>
        <w:pStyle w:val="Heading3"/>
      </w:pPr>
      <w:r w:rsidRPr="00C23ED5">
        <w:t>Audit Opinion</w:t>
      </w:r>
    </w:p>
    <w:p w14:paraId="4BFA631F" w14:textId="288C8702" w:rsidR="006B5C69" w:rsidRPr="00C23ED5" w:rsidRDefault="00802060" w:rsidP="006B5C69">
      <w:r>
        <w:t>The audit</w:t>
      </w:r>
      <w:r w:rsidR="006B5C69" w:rsidRPr="00C23ED5">
        <w:t xml:space="preserve"> of the Foundation for the year ended </w:t>
      </w:r>
      <w:r w:rsidR="00F1580E" w:rsidRPr="00C23ED5">
        <w:t>31 December 2020</w:t>
      </w:r>
      <w:r w:rsidR="006B5C69" w:rsidRPr="00C23ED5">
        <w:t xml:space="preserve"> resulted in </w:t>
      </w:r>
      <w:r>
        <w:t xml:space="preserve">an </w:t>
      </w:r>
      <w:r w:rsidR="006B5C69" w:rsidRPr="00C23ED5">
        <w:t>unmod</w:t>
      </w:r>
      <w:r>
        <w:t>ified independent audit opinion</w:t>
      </w:r>
      <w:r w:rsidR="006B5C69" w:rsidRPr="00C23ED5">
        <w:t xml:space="preserve"> which </w:t>
      </w:r>
      <w:r>
        <w:t>was</w:t>
      </w:r>
      <w:r w:rsidR="006B5C69" w:rsidRPr="00C23ED5">
        <w:t xml:space="preserve"> issued on </w:t>
      </w:r>
      <w:r w:rsidR="00C23ED5" w:rsidRPr="00C23ED5">
        <w:t>19 April 2021</w:t>
      </w:r>
      <w:r w:rsidR="006B5C69" w:rsidRPr="00C23ED5">
        <w:t>.</w:t>
      </w:r>
    </w:p>
    <w:p w14:paraId="5FB96970" w14:textId="77777777" w:rsidR="006B5C69" w:rsidRPr="00C23ED5" w:rsidRDefault="006B5C69" w:rsidP="006B5C69">
      <w:pPr>
        <w:pStyle w:val="Heading3"/>
      </w:pPr>
      <w:r w:rsidRPr="00C23ED5">
        <w:t>Audit Observations</w:t>
      </w:r>
    </w:p>
    <w:p w14:paraId="670ECAF9" w14:textId="25B24D49" w:rsidR="006B5C69" w:rsidRPr="00C23ED5" w:rsidRDefault="00802060" w:rsidP="006B5C69">
      <w:r>
        <w:t>The audit</w:t>
      </w:r>
      <w:r w:rsidR="006B5C69" w:rsidRPr="00C23ED5">
        <w:t xml:space="preserve"> did not identify any material weaknesses in internal controls.</w:t>
      </w:r>
    </w:p>
    <w:p w14:paraId="3D8D91C4" w14:textId="77777777" w:rsidR="006B5C69" w:rsidRPr="00C23ED5" w:rsidRDefault="006B5C69" w:rsidP="006B5C69">
      <w:pPr>
        <w:pStyle w:val="Heading4"/>
      </w:pPr>
      <w:r w:rsidRPr="00C23ED5">
        <w:t>Performance Overview</w:t>
      </w:r>
    </w:p>
    <w:p w14:paraId="7B1DE7D6" w14:textId="77777777" w:rsidR="006B5C69" w:rsidRPr="00C23ED5" w:rsidRDefault="006B5C69" w:rsidP="006B5C69">
      <w:pPr>
        <w:pStyle w:val="Heading5"/>
      </w:pPr>
      <w:r w:rsidRPr="00C23ED5">
        <w:t>Financial Analysis</w:t>
      </w:r>
    </w:p>
    <w:p w14:paraId="644168E0" w14:textId="77777777" w:rsidR="00C23ED5" w:rsidRDefault="00C23ED5" w:rsidP="00C23ED5">
      <w:r>
        <w:t xml:space="preserve">The Foundation has two grant agreements with the Commonwealth Department of Health in the current year. The Foundation’s total income was $1,558,901 (2019: $1,857,368) derived from grant funding, donations and interest received during the period. </w:t>
      </w:r>
    </w:p>
    <w:p w14:paraId="3C613311" w14:textId="77777777" w:rsidR="00C23ED5" w:rsidRDefault="00C23ED5" w:rsidP="00C23ED5">
      <w:r>
        <w:t>The disbursement of grant payments was $1,407,283 (2019: $1,857,283).</w:t>
      </w:r>
    </w:p>
    <w:p w14:paraId="77F0D6E8" w14:textId="77777777" w:rsidR="00C23ED5" w:rsidRDefault="00C23ED5" w:rsidP="00C23ED5">
      <w:r>
        <w:t>The Foundation recorded a surplus of $151,618 (2019: $85).</w:t>
      </w:r>
    </w:p>
    <w:p w14:paraId="43A2E759" w14:textId="6D718A46" w:rsidR="006B5C69" w:rsidRDefault="00C23ED5" w:rsidP="00C23ED5">
      <w:pPr>
        <w:rPr>
          <w:i/>
        </w:rPr>
      </w:pPr>
      <w:r>
        <w:t>The Foundation’s cash balance at 31 December 2020 was $151,703 (2019: $128,510) and Trade Payables associated with grant expenditure was nil.</w:t>
      </w:r>
    </w:p>
    <w:p w14:paraId="10262D47" w14:textId="77777777" w:rsidR="006B5C69" w:rsidRDefault="006B5C69" w:rsidP="006B5C69">
      <w:pPr>
        <w:pStyle w:val="Heading5"/>
      </w:pPr>
      <w:r>
        <w:t>Cash donations</w:t>
      </w:r>
    </w:p>
    <w:p w14:paraId="1AC95861" w14:textId="0F6F3681" w:rsidR="00C23ED5" w:rsidRDefault="00C23ED5" w:rsidP="006B5C69">
      <w:r w:rsidRPr="00C23ED5">
        <w:t xml:space="preserve">The </w:t>
      </w:r>
      <w:r>
        <w:t>Bridging the Gap Foundation</w:t>
      </w:r>
      <w:r w:rsidRPr="00C23ED5">
        <w:t xml:space="preserve"> Trust</w:t>
      </w:r>
      <w:r>
        <w:t xml:space="preserve"> </w:t>
      </w:r>
      <w:r w:rsidRPr="00C23ED5">
        <w:t>closed on 29 December 2020 and the cash balance of the Trust was transferred on 29 December 2020 to the Foundation and recorded as a donation.</w:t>
      </w:r>
    </w:p>
    <w:p w14:paraId="0E553A18" w14:textId="77777777" w:rsidR="006B5C69" w:rsidRPr="00F30939" w:rsidRDefault="006B5C69" w:rsidP="006B5C69">
      <w:pPr>
        <w:pStyle w:val="Heading1-continued"/>
      </w:pPr>
      <w:r>
        <w:t>Bridging the Gap Foundation</w:t>
      </w:r>
      <w:r w:rsidRPr="00F30939">
        <w:t xml:space="preserve"> cont…</w:t>
      </w:r>
    </w:p>
    <w:p w14:paraId="76A26C81" w14:textId="025FC899" w:rsidR="006B5C69" w:rsidRPr="00F30939" w:rsidRDefault="006B5C69" w:rsidP="006B5C69">
      <w:pPr>
        <w:pStyle w:val="Heading2"/>
      </w:pPr>
      <w:r w:rsidRPr="00F30939">
        <w:t>Financial Performance for the year</w:t>
      </w:r>
    </w:p>
    <w:tbl>
      <w:tblPr>
        <w:tblW w:w="9242" w:type="dxa"/>
        <w:tblLayout w:type="fixed"/>
        <w:tblLook w:val="04A0" w:firstRow="1" w:lastRow="0" w:firstColumn="1" w:lastColumn="0" w:noHBand="0" w:noVBand="1"/>
        <w:tblCaption w:val="Financial Performance for the year"/>
        <w:tblDescription w:val="Financial performance information for the current and prior year"/>
      </w:tblPr>
      <w:tblGrid>
        <w:gridCol w:w="6204"/>
        <w:gridCol w:w="1519"/>
        <w:gridCol w:w="1519"/>
      </w:tblGrid>
      <w:tr w:rsidR="006B5C69" w:rsidRPr="00F30939" w14:paraId="3E506CE3" w14:textId="77777777" w:rsidTr="00F1580E">
        <w:trPr>
          <w:cantSplit/>
          <w:trHeight w:val="454"/>
          <w:tblHeader/>
        </w:trPr>
        <w:tc>
          <w:tcPr>
            <w:tcW w:w="6204" w:type="dxa"/>
            <w:tcBorders>
              <w:bottom w:val="single" w:sz="4" w:space="0" w:color="auto"/>
            </w:tcBorders>
          </w:tcPr>
          <w:p w14:paraId="50297D22" w14:textId="77777777" w:rsidR="006B5C69" w:rsidRPr="00F30939" w:rsidRDefault="006B5C69" w:rsidP="00F1580E"/>
        </w:tc>
        <w:tc>
          <w:tcPr>
            <w:tcW w:w="1519" w:type="dxa"/>
            <w:tcBorders>
              <w:bottom w:val="single" w:sz="4" w:space="0" w:color="auto"/>
            </w:tcBorders>
          </w:tcPr>
          <w:p w14:paraId="62B26D52" w14:textId="6CA878A2" w:rsidR="006B5C69" w:rsidRPr="007165BD" w:rsidRDefault="006B5C69" w:rsidP="006B5C69">
            <w:pPr>
              <w:jc w:val="center"/>
              <w:rPr>
                <w:b/>
              </w:rPr>
            </w:pPr>
            <w:r>
              <w:rPr>
                <w:b/>
              </w:rPr>
              <w:t>2020</w:t>
            </w:r>
          </w:p>
        </w:tc>
        <w:tc>
          <w:tcPr>
            <w:tcW w:w="1519" w:type="dxa"/>
            <w:tcBorders>
              <w:bottom w:val="single" w:sz="4" w:space="0" w:color="auto"/>
            </w:tcBorders>
          </w:tcPr>
          <w:p w14:paraId="7218D92C" w14:textId="1C179A7F" w:rsidR="006B5C69" w:rsidRPr="007165BD" w:rsidRDefault="006B5C69" w:rsidP="006B5C69">
            <w:pPr>
              <w:jc w:val="center"/>
              <w:rPr>
                <w:b/>
              </w:rPr>
            </w:pPr>
            <w:r w:rsidRPr="007165BD">
              <w:rPr>
                <w:b/>
              </w:rPr>
              <w:t>201</w:t>
            </w:r>
            <w:r>
              <w:rPr>
                <w:b/>
              </w:rPr>
              <w:t>9</w:t>
            </w:r>
          </w:p>
        </w:tc>
      </w:tr>
      <w:tr w:rsidR="006B5C69" w:rsidRPr="009524AF" w14:paraId="02B4B59E" w14:textId="77777777" w:rsidTr="00F1580E">
        <w:trPr>
          <w:cantSplit/>
          <w:trHeight w:val="454"/>
          <w:tblHeader/>
        </w:trPr>
        <w:tc>
          <w:tcPr>
            <w:tcW w:w="6204" w:type="dxa"/>
            <w:tcBorders>
              <w:top w:val="single" w:sz="4" w:space="0" w:color="auto"/>
            </w:tcBorders>
          </w:tcPr>
          <w:p w14:paraId="2E6E1CB4" w14:textId="77777777" w:rsidR="006B5C69" w:rsidRPr="00F30939" w:rsidRDefault="006B5C69" w:rsidP="00F1580E"/>
        </w:tc>
        <w:tc>
          <w:tcPr>
            <w:tcW w:w="1519" w:type="dxa"/>
            <w:tcBorders>
              <w:top w:val="single" w:sz="4" w:space="0" w:color="auto"/>
            </w:tcBorders>
          </w:tcPr>
          <w:p w14:paraId="514FEFDE" w14:textId="77777777" w:rsidR="006B5C69" w:rsidRPr="009524AF" w:rsidRDefault="006B5C69" w:rsidP="00F1580E">
            <w:pPr>
              <w:jc w:val="center"/>
              <w:rPr>
                <w:b/>
              </w:rPr>
            </w:pPr>
            <w:r w:rsidRPr="009524AF">
              <w:rPr>
                <w:b/>
              </w:rPr>
              <w:t>$’000</w:t>
            </w:r>
          </w:p>
        </w:tc>
        <w:tc>
          <w:tcPr>
            <w:tcW w:w="1519" w:type="dxa"/>
            <w:tcBorders>
              <w:top w:val="single" w:sz="4" w:space="0" w:color="auto"/>
            </w:tcBorders>
          </w:tcPr>
          <w:p w14:paraId="02B2069F" w14:textId="77777777" w:rsidR="006B5C69" w:rsidRPr="009524AF" w:rsidRDefault="006B5C69" w:rsidP="00F1580E">
            <w:pPr>
              <w:jc w:val="center"/>
              <w:rPr>
                <w:b/>
              </w:rPr>
            </w:pPr>
            <w:r w:rsidRPr="009524AF">
              <w:rPr>
                <w:b/>
              </w:rPr>
              <w:t>$’000</w:t>
            </w:r>
          </w:p>
        </w:tc>
      </w:tr>
      <w:tr w:rsidR="006B5C69" w:rsidRPr="009524AF" w14:paraId="61981155" w14:textId="77777777" w:rsidTr="00F1580E">
        <w:trPr>
          <w:cantSplit/>
          <w:trHeight w:val="454"/>
        </w:trPr>
        <w:tc>
          <w:tcPr>
            <w:tcW w:w="6204" w:type="dxa"/>
          </w:tcPr>
          <w:p w14:paraId="69A8162F" w14:textId="77777777" w:rsidR="006B5C69" w:rsidRPr="009524AF" w:rsidRDefault="006B5C69" w:rsidP="006B5C69">
            <w:r>
              <w:t>Grant i</w:t>
            </w:r>
            <w:r w:rsidRPr="009524AF">
              <w:t>ncome</w:t>
            </w:r>
          </w:p>
        </w:tc>
        <w:tc>
          <w:tcPr>
            <w:tcW w:w="1519" w:type="dxa"/>
          </w:tcPr>
          <w:p w14:paraId="70680B38" w14:textId="48686DEF" w:rsidR="006B5C69" w:rsidRPr="009524AF" w:rsidRDefault="00C23ED5" w:rsidP="006B5C69">
            <w:pPr>
              <w:tabs>
                <w:tab w:val="clear" w:pos="1378"/>
                <w:tab w:val="decimal" w:pos="1020"/>
              </w:tabs>
            </w:pPr>
            <w:r>
              <w:t>1,407</w:t>
            </w:r>
          </w:p>
        </w:tc>
        <w:tc>
          <w:tcPr>
            <w:tcW w:w="1519" w:type="dxa"/>
          </w:tcPr>
          <w:p w14:paraId="62834918" w14:textId="23BD45C1" w:rsidR="006B5C69" w:rsidRPr="009524AF" w:rsidRDefault="006B5C69" w:rsidP="006B5C69">
            <w:pPr>
              <w:tabs>
                <w:tab w:val="clear" w:pos="1378"/>
                <w:tab w:val="decimal" w:pos="1020"/>
              </w:tabs>
            </w:pPr>
            <w:r w:rsidRPr="009524AF">
              <w:t>1,857</w:t>
            </w:r>
          </w:p>
        </w:tc>
      </w:tr>
      <w:tr w:rsidR="00C23ED5" w:rsidRPr="009524AF" w14:paraId="1CE020C6" w14:textId="77777777" w:rsidTr="00F1580E">
        <w:trPr>
          <w:cantSplit/>
          <w:trHeight w:val="454"/>
        </w:trPr>
        <w:tc>
          <w:tcPr>
            <w:tcW w:w="6204" w:type="dxa"/>
          </w:tcPr>
          <w:p w14:paraId="71653A21" w14:textId="71F38EB8" w:rsidR="00C23ED5" w:rsidRPr="009524AF" w:rsidRDefault="00C23ED5" w:rsidP="006B5C69">
            <w:r>
              <w:t>Donations and Interest</w:t>
            </w:r>
          </w:p>
        </w:tc>
        <w:tc>
          <w:tcPr>
            <w:tcW w:w="1519" w:type="dxa"/>
          </w:tcPr>
          <w:p w14:paraId="5373F61A" w14:textId="7A007C27" w:rsidR="00C23ED5" w:rsidRPr="009524AF" w:rsidRDefault="00C23ED5" w:rsidP="006B5C69">
            <w:pPr>
              <w:tabs>
                <w:tab w:val="clear" w:pos="1378"/>
                <w:tab w:val="decimal" w:pos="1020"/>
              </w:tabs>
            </w:pPr>
            <w:r>
              <w:t>152</w:t>
            </w:r>
          </w:p>
        </w:tc>
        <w:tc>
          <w:tcPr>
            <w:tcW w:w="1519" w:type="dxa"/>
          </w:tcPr>
          <w:p w14:paraId="22B535DD" w14:textId="7D02AF29" w:rsidR="00C23ED5" w:rsidRPr="009524AF" w:rsidRDefault="009E0357" w:rsidP="006B5C69">
            <w:pPr>
              <w:tabs>
                <w:tab w:val="clear" w:pos="1378"/>
                <w:tab w:val="decimal" w:pos="1020"/>
              </w:tabs>
            </w:pPr>
            <w:r>
              <w:t>-</w:t>
            </w:r>
          </w:p>
        </w:tc>
      </w:tr>
      <w:tr w:rsidR="006B5C69" w:rsidRPr="009524AF" w14:paraId="0296BB99" w14:textId="77777777" w:rsidTr="00F1580E">
        <w:trPr>
          <w:cantSplit/>
          <w:trHeight w:val="454"/>
        </w:trPr>
        <w:tc>
          <w:tcPr>
            <w:tcW w:w="6204" w:type="dxa"/>
          </w:tcPr>
          <w:p w14:paraId="2C751035" w14:textId="77777777" w:rsidR="006B5C69" w:rsidRPr="009524AF" w:rsidRDefault="006B5C69" w:rsidP="006B5C69">
            <w:r>
              <w:t>Grant e</w:t>
            </w:r>
            <w:r w:rsidRPr="009524AF">
              <w:t>xpense</w:t>
            </w:r>
          </w:p>
        </w:tc>
        <w:tc>
          <w:tcPr>
            <w:tcW w:w="1519" w:type="dxa"/>
          </w:tcPr>
          <w:p w14:paraId="21FB9A7F" w14:textId="11132A26" w:rsidR="006B5C69" w:rsidRPr="009524AF" w:rsidRDefault="00C23ED5" w:rsidP="006B5C69">
            <w:pPr>
              <w:tabs>
                <w:tab w:val="clear" w:pos="1378"/>
                <w:tab w:val="decimal" w:pos="1020"/>
              </w:tabs>
            </w:pPr>
            <w:r>
              <w:t>(1,407)</w:t>
            </w:r>
          </w:p>
        </w:tc>
        <w:tc>
          <w:tcPr>
            <w:tcW w:w="1519" w:type="dxa"/>
          </w:tcPr>
          <w:p w14:paraId="4C62BA6D" w14:textId="3A4B72CA" w:rsidR="006B5C69" w:rsidRPr="009524AF" w:rsidRDefault="006B5C69" w:rsidP="006B5C69">
            <w:pPr>
              <w:tabs>
                <w:tab w:val="clear" w:pos="1378"/>
                <w:tab w:val="decimal" w:pos="1020"/>
              </w:tabs>
            </w:pPr>
            <w:r w:rsidRPr="009524AF">
              <w:t>(1,857)</w:t>
            </w:r>
          </w:p>
        </w:tc>
      </w:tr>
      <w:tr w:rsidR="006B5C69" w:rsidRPr="009524AF" w14:paraId="49AD24A6" w14:textId="77777777" w:rsidTr="00F1580E">
        <w:trPr>
          <w:cantSplit/>
          <w:trHeight w:val="454"/>
        </w:trPr>
        <w:tc>
          <w:tcPr>
            <w:tcW w:w="6204" w:type="dxa"/>
            <w:tcBorders>
              <w:top w:val="single" w:sz="4" w:space="0" w:color="auto"/>
              <w:bottom w:val="single" w:sz="4" w:space="0" w:color="auto"/>
            </w:tcBorders>
          </w:tcPr>
          <w:p w14:paraId="6BA78172" w14:textId="77777777" w:rsidR="006B5C69" w:rsidRPr="009524AF" w:rsidRDefault="006B5C69" w:rsidP="006B5C69">
            <w:pPr>
              <w:rPr>
                <w:b/>
              </w:rPr>
            </w:pPr>
            <w:r w:rsidRPr="009524AF">
              <w:rPr>
                <w:b/>
              </w:rPr>
              <w:t xml:space="preserve">Surplus </w:t>
            </w:r>
          </w:p>
        </w:tc>
        <w:tc>
          <w:tcPr>
            <w:tcW w:w="1519" w:type="dxa"/>
            <w:tcBorders>
              <w:top w:val="single" w:sz="4" w:space="0" w:color="auto"/>
              <w:bottom w:val="single" w:sz="4" w:space="0" w:color="auto"/>
            </w:tcBorders>
          </w:tcPr>
          <w:p w14:paraId="141DDA58" w14:textId="75E78007" w:rsidR="006B5C69" w:rsidRPr="009524AF" w:rsidRDefault="00C23ED5" w:rsidP="006B5C69">
            <w:pPr>
              <w:tabs>
                <w:tab w:val="clear" w:pos="1378"/>
                <w:tab w:val="decimal" w:pos="1020"/>
              </w:tabs>
              <w:rPr>
                <w:b/>
              </w:rPr>
            </w:pPr>
            <w:r>
              <w:rPr>
                <w:b/>
              </w:rPr>
              <w:t>152</w:t>
            </w:r>
          </w:p>
        </w:tc>
        <w:tc>
          <w:tcPr>
            <w:tcW w:w="1519" w:type="dxa"/>
            <w:tcBorders>
              <w:top w:val="single" w:sz="4" w:space="0" w:color="auto"/>
              <w:bottom w:val="single" w:sz="4" w:space="0" w:color="auto"/>
            </w:tcBorders>
          </w:tcPr>
          <w:p w14:paraId="584E29F9" w14:textId="68836D13" w:rsidR="006B5C69" w:rsidRPr="009524AF" w:rsidRDefault="006B5C69" w:rsidP="006B5C69">
            <w:pPr>
              <w:tabs>
                <w:tab w:val="clear" w:pos="1378"/>
                <w:tab w:val="decimal" w:pos="1020"/>
              </w:tabs>
              <w:rPr>
                <w:b/>
              </w:rPr>
            </w:pPr>
            <w:r w:rsidRPr="009524AF">
              <w:rPr>
                <w:b/>
              </w:rPr>
              <w:t>-</w:t>
            </w:r>
          </w:p>
        </w:tc>
      </w:tr>
    </w:tbl>
    <w:p w14:paraId="1263E36D" w14:textId="77777777" w:rsidR="006B5C69" w:rsidRPr="009524AF" w:rsidRDefault="006B5C69" w:rsidP="006B5C69"/>
    <w:p w14:paraId="24213AF0" w14:textId="77777777" w:rsidR="006B5C69" w:rsidRPr="00F30939" w:rsidRDefault="006B5C69" w:rsidP="006B5C69"/>
    <w:p w14:paraId="29DEDCCF" w14:textId="77777777" w:rsidR="006B5C69" w:rsidRPr="00F30939" w:rsidRDefault="006B5C69" w:rsidP="006B5C69"/>
    <w:p w14:paraId="65C9BFF2" w14:textId="77777777" w:rsidR="006B5C69" w:rsidRPr="00F30939" w:rsidRDefault="006B5C69" w:rsidP="006B5C69">
      <w:pPr>
        <w:pStyle w:val="Heading1-continued"/>
      </w:pPr>
      <w:r>
        <w:t>Bridging the Gap Foundation</w:t>
      </w:r>
      <w:r w:rsidRPr="00F30939">
        <w:t xml:space="preserve"> cont…</w:t>
      </w:r>
    </w:p>
    <w:p w14:paraId="07D5A373" w14:textId="7FA5FBD4" w:rsidR="006B5C69" w:rsidRPr="00F30939" w:rsidRDefault="006B5C69" w:rsidP="006B5C69">
      <w:pPr>
        <w:pStyle w:val="Heading2"/>
      </w:pPr>
      <w:r w:rsidRPr="00F30939">
        <w:t>Financial Position at year end</w:t>
      </w:r>
    </w:p>
    <w:tbl>
      <w:tblPr>
        <w:tblW w:w="9100" w:type="dxa"/>
        <w:tblLayout w:type="fixed"/>
        <w:tblLook w:val="04A0" w:firstRow="1" w:lastRow="0" w:firstColumn="1" w:lastColumn="0" w:noHBand="0" w:noVBand="1"/>
        <w:tblCaption w:val="Financial Position at year end"/>
        <w:tblDescription w:val="Financial position information for the current and prior year&#10;"/>
      </w:tblPr>
      <w:tblGrid>
        <w:gridCol w:w="6062"/>
        <w:gridCol w:w="1519"/>
        <w:gridCol w:w="1519"/>
      </w:tblGrid>
      <w:tr w:rsidR="006B5C69" w:rsidRPr="00F30939" w14:paraId="79F5971B" w14:textId="77777777" w:rsidTr="00F1580E">
        <w:trPr>
          <w:cantSplit/>
          <w:trHeight w:val="454"/>
          <w:tblHeader/>
        </w:trPr>
        <w:tc>
          <w:tcPr>
            <w:tcW w:w="6062" w:type="dxa"/>
            <w:tcBorders>
              <w:bottom w:val="single" w:sz="4" w:space="0" w:color="auto"/>
            </w:tcBorders>
          </w:tcPr>
          <w:p w14:paraId="29EC21E9" w14:textId="77777777" w:rsidR="006B5C69" w:rsidRPr="00F30939" w:rsidRDefault="006B5C69" w:rsidP="006B5C69"/>
        </w:tc>
        <w:tc>
          <w:tcPr>
            <w:tcW w:w="1519" w:type="dxa"/>
            <w:tcBorders>
              <w:bottom w:val="single" w:sz="4" w:space="0" w:color="auto"/>
            </w:tcBorders>
          </w:tcPr>
          <w:p w14:paraId="62DDA4C9" w14:textId="08789B22" w:rsidR="006B5C69" w:rsidRPr="007165BD" w:rsidRDefault="006B5C69" w:rsidP="006B5C69">
            <w:pPr>
              <w:jc w:val="center"/>
              <w:rPr>
                <w:b/>
              </w:rPr>
            </w:pPr>
            <w:r>
              <w:rPr>
                <w:b/>
              </w:rPr>
              <w:t>2020</w:t>
            </w:r>
          </w:p>
        </w:tc>
        <w:tc>
          <w:tcPr>
            <w:tcW w:w="1519" w:type="dxa"/>
            <w:tcBorders>
              <w:bottom w:val="single" w:sz="4" w:space="0" w:color="auto"/>
            </w:tcBorders>
          </w:tcPr>
          <w:p w14:paraId="6C079540" w14:textId="6CFF9080" w:rsidR="006B5C69" w:rsidRPr="007165BD" w:rsidRDefault="006B5C69" w:rsidP="006B5C69">
            <w:pPr>
              <w:jc w:val="center"/>
              <w:rPr>
                <w:b/>
              </w:rPr>
            </w:pPr>
            <w:r w:rsidRPr="007165BD">
              <w:rPr>
                <w:b/>
              </w:rPr>
              <w:t>201</w:t>
            </w:r>
            <w:r>
              <w:rPr>
                <w:b/>
              </w:rPr>
              <w:t>9</w:t>
            </w:r>
          </w:p>
        </w:tc>
      </w:tr>
      <w:tr w:rsidR="006B5C69" w:rsidRPr="00F30939" w14:paraId="26EF3C7F" w14:textId="77777777" w:rsidTr="00F1580E">
        <w:trPr>
          <w:cantSplit/>
          <w:trHeight w:val="454"/>
          <w:tblHeader/>
        </w:trPr>
        <w:tc>
          <w:tcPr>
            <w:tcW w:w="6062" w:type="dxa"/>
            <w:tcBorders>
              <w:top w:val="single" w:sz="4" w:space="0" w:color="auto"/>
            </w:tcBorders>
          </w:tcPr>
          <w:p w14:paraId="5DB2E583" w14:textId="77777777" w:rsidR="006B5C69" w:rsidRPr="00F30939" w:rsidRDefault="006B5C69" w:rsidP="00F1580E"/>
        </w:tc>
        <w:tc>
          <w:tcPr>
            <w:tcW w:w="1519" w:type="dxa"/>
            <w:tcBorders>
              <w:top w:val="single" w:sz="4" w:space="0" w:color="auto"/>
            </w:tcBorders>
          </w:tcPr>
          <w:p w14:paraId="331BB26D" w14:textId="77777777" w:rsidR="006B5C69" w:rsidRPr="007165BD" w:rsidRDefault="006B5C69" w:rsidP="00F1580E">
            <w:pPr>
              <w:jc w:val="center"/>
              <w:rPr>
                <w:b/>
              </w:rPr>
            </w:pPr>
            <w:r w:rsidRPr="007165BD">
              <w:rPr>
                <w:b/>
              </w:rPr>
              <w:t>$’000</w:t>
            </w:r>
          </w:p>
        </w:tc>
        <w:tc>
          <w:tcPr>
            <w:tcW w:w="1519" w:type="dxa"/>
            <w:tcBorders>
              <w:top w:val="single" w:sz="4" w:space="0" w:color="auto"/>
            </w:tcBorders>
          </w:tcPr>
          <w:p w14:paraId="4898BF49" w14:textId="77777777" w:rsidR="006B5C69" w:rsidRPr="007165BD" w:rsidRDefault="006B5C69" w:rsidP="00F1580E">
            <w:pPr>
              <w:jc w:val="center"/>
              <w:rPr>
                <w:b/>
              </w:rPr>
            </w:pPr>
            <w:r w:rsidRPr="007165BD">
              <w:rPr>
                <w:b/>
              </w:rPr>
              <w:t>$’000</w:t>
            </w:r>
          </w:p>
        </w:tc>
      </w:tr>
      <w:tr w:rsidR="006B5C69" w:rsidRPr="009524AF" w14:paraId="59424B58" w14:textId="77777777" w:rsidTr="00F1580E">
        <w:trPr>
          <w:cantSplit/>
          <w:trHeight w:val="454"/>
        </w:trPr>
        <w:tc>
          <w:tcPr>
            <w:tcW w:w="6062" w:type="dxa"/>
          </w:tcPr>
          <w:p w14:paraId="42F099F8" w14:textId="77777777" w:rsidR="006B5C69" w:rsidRPr="009524AF" w:rsidRDefault="006B5C69" w:rsidP="006B5C69">
            <w:r w:rsidRPr="009524AF">
              <w:t>Cash and cash equivalents</w:t>
            </w:r>
          </w:p>
        </w:tc>
        <w:tc>
          <w:tcPr>
            <w:tcW w:w="1519" w:type="dxa"/>
          </w:tcPr>
          <w:p w14:paraId="234FA406" w14:textId="0C4B84FF" w:rsidR="006B5C69" w:rsidRPr="009524AF" w:rsidRDefault="00C23ED5" w:rsidP="006B5C69">
            <w:pPr>
              <w:tabs>
                <w:tab w:val="clear" w:pos="1378"/>
                <w:tab w:val="decimal" w:pos="1020"/>
              </w:tabs>
            </w:pPr>
            <w:r>
              <w:t>152</w:t>
            </w:r>
          </w:p>
        </w:tc>
        <w:tc>
          <w:tcPr>
            <w:tcW w:w="1519" w:type="dxa"/>
          </w:tcPr>
          <w:p w14:paraId="4154475B" w14:textId="28C4B4D8" w:rsidR="006B5C69" w:rsidRPr="009524AF" w:rsidRDefault="006B5C69" w:rsidP="006B5C69">
            <w:pPr>
              <w:tabs>
                <w:tab w:val="clear" w:pos="1378"/>
                <w:tab w:val="decimal" w:pos="1020"/>
              </w:tabs>
            </w:pPr>
            <w:r w:rsidRPr="009524AF">
              <w:t>129</w:t>
            </w:r>
          </w:p>
        </w:tc>
      </w:tr>
      <w:tr w:rsidR="006B5C69" w:rsidRPr="009524AF" w14:paraId="5B053E72" w14:textId="77777777" w:rsidTr="00F1580E">
        <w:trPr>
          <w:cantSplit/>
          <w:trHeight w:val="454"/>
        </w:trPr>
        <w:tc>
          <w:tcPr>
            <w:tcW w:w="6062" w:type="dxa"/>
          </w:tcPr>
          <w:p w14:paraId="5F514E47" w14:textId="77777777" w:rsidR="006B5C69" w:rsidRPr="009524AF" w:rsidRDefault="006B5C69" w:rsidP="006B5C69">
            <w:r w:rsidRPr="009524AF">
              <w:t>Receivables and other current assets</w:t>
            </w:r>
          </w:p>
        </w:tc>
        <w:tc>
          <w:tcPr>
            <w:tcW w:w="1519" w:type="dxa"/>
          </w:tcPr>
          <w:p w14:paraId="4D34D56E" w14:textId="3FC6FA7D" w:rsidR="006B5C69" w:rsidRPr="009524AF" w:rsidRDefault="00C23ED5" w:rsidP="006B5C69">
            <w:pPr>
              <w:tabs>
                <w:tab w:val="clear" w:pos="1378"/>
                <w:tab w:val="decimal" w:pos="1020"/>
              </w:tabs>
            </w:pPr>
            <w:r>
              <w:t>-</w:t>
            </w:r>
          </w:p>
        </w:tc>
        <w:tc>
          <w:tcPr>
            <w:tcW w:w="1519" w:type="dxa"/>
          </w:tcPr>
          <w:p w14:paraId="7EECBC6B" w14:textId="37E6577A" w:rsidR="006B5C69" w:rsidRPr="009524AF" w:rsidRDefault="006B5C69" w:rsidP="006B5C69">
            <w:pPr>
              <w:tabs>
                <w:tab w:val="clear" w:pos="1378"/>
                <w:tab w:val="decimal" w:pos="1020"/>
              </w:tabs>
            </w:pPr>
            <w:r w:rsidRPr="009524AF">
              <w:t>-</w:t>
            </w:r>
          </w:p>
        </w:tc>
      </w:tr>
      <w:tr w:rsidR="006B5C69" w:rsidRPr="009524AF" w14:paraId="3A57A70D" w14:textId="77777777" w:rsidTr="00F1580E">
        <w:trPr>
          <w:cantSplit/>
          <w:trHeight w:val="454"/>
        </w:trPr>
        <w:tc>
          <w:tcPr>
            <w:tcW w:w="6062" w:type="dxa"/>
          </w:tcPr>
          <w:p w14:paraId="733972B4" w14:textId="77777777" w:rsidR="006B5C69" w:rsidRPr="009524AF" w:rsidRDefault="006B5C69" w:rsidP="006B5C69">
            <w:r w:rsidRPr="009524AF">
              <w:t>Less current liabilities</w:t>
            </w:r>
          </w:p>
        </w:tc>
        <w:tc>
          <w:tcPr>
            <w:tcW w:w="1519" w:type="dxa"/>
          </w:tcPr>
          <w:p w14:paraId="7DF254AE" w14:textId="4888DD04" w:rsidR="006B5C69" w:rsidRPr="009524AF" w:rsidRDefault="00C23ED5" w:rsidP="006B5C69">
            <w:pPr>
              <w:tabs>
                <w:tab w:val="clear" w:pos="1378"/>
                <w:tab w:val="decimal" w:pos="1020"/>
              </w:tabs>
            </w:pPr>
            <w:r>
              <w:t>-</w:t>
            </w:r>
          </w:p>
        </w:tc>
        <w:tc>
          <w:tcPr>
            <w:tcW w:w="1519" w:type="dxa"/>
          </w:tcPr>
          <w:p w14:paraId="54A789A0" w14:textId="6D057C46" w:rsidR="006B5C69" w:rsidRPr="009524AF" w:rsidRDefault="006B5C69" w:rsidP="006B5C69">
            <w:pPr>
              <w:tabs>
                <w:tab w:val="clear" w:pos="1378"/>
                <w:tab w:val="decimal" w:pos="1020"/>
              </w:tabs>
            </w:pPr>
            <w:r w:rsidRPr="009524AF">
              <w:t>(129)</w:t>
            </w:r>
          </w:p>
        </w:tc>
      </w:tr>
      <w:tr w:rsidR="006B5C69" w:rsidRPr="009524AF" w14:paraId="20E1BAB9" w14:textId="77777777" w:rsidTr="00F1580E">
        <w:trPr>
          <w:cantSplit/>
          <w:trHeight w:val="454"/>
        </w:trPr>
        <w:tc>
          <w:tcPr>
            <w:tcW w:w="6062" w:type="dxa"/>
            <w:tcBorders>
              <w:bottom w:val="single" w:sz="4" w:space="0" w:color="auto"/>
            </w:tcBorders>
          </w:tcPr>
          <w:p w14:paraId="4FB07517" w14:textId="77777777" w:rsidR="006B5C69" w:rsidRPr="009524AF" w:rsidRDefault="006B5C69" w:rsidP="00F1580E">
            <w:pPr>
              <w:rPr>
                <w:b/>
              </w:rPr>
            </w:pPr>
            <w:r w:rsidRPr="009524AF">
              <w:rPr>
                <w:b/>
              </w:rPr>
              <w:t xml:space="preserve">Working </w:t>
            </w:r>
            <w:r>
              <w:rPr>
                <w:b/>
              </w:rPr>
              <w:t>c</w:t>
            </w:r>
            <w:r w:rsidRPr="009524AF">
              <w:rPr>
                <w:b/>
              </w:rPr>
              <w:t>apital</w:t>
            </w:r>
          </w:p>
        </w:tc>
        <w:tc>
          <w:tcPr>
            <w:tcW w:w="1519" w:type="dxa"/>
            <w:tcBorders>
              <w:bottom w:val="single" w:sz="4" w:space="0" w:color="auto"/>
            </w:tcBorders>
          </w:tcPr>
          <w:p w14:paraId="3F88C541" w14:textId="17477B85" w:rsidR="006B5C69" w:rsidRPr="009524AF" w:rsidRDefault="00C23ED5" w:rsidP="00F1580E">
            <w:pPr>
              <w:tabs>
                <w:tab w:val="clear" w:pos="1378"/>
                <w:tab w:val="decimal" w:pos="1020"/>
              </w:tabs>
              <w:rPr>
                <w:b/>
              </w:rPr>
            </w:pPr>
            <w:r>
              <w:rPr>
                <w:b/>
              </w:rPr>
              <w:t>152</w:t>
            </w:r>
          </w:p>
        </w:tc>
        <w:tc>
          <w:tcPr>
            <w:tcW w:w="1519" w:type="dxa"/>
            <w:tcBorders>
              <w:bottom w:val="single" w:sz="4" w:space="0" w:color="auto"/>
            </w:tcBorders>
          </w:tcPr>
          <w:p w14:paraId="7D04168B" w14:textId="77777777" w:rsidR="006B5C69" w:rsidRPr="009524AF" w:rsidRDefault="006B5C69" w:rsidP="00F1580E">
            <w:pPr>
              <w:tabs>
                <w:tab w:val="clear" w:pos="1378"/>
                <w:tab w:val="decimal" w:pos="1020"/>
              </w:tabs>
              <w:rPr>
                <w:b/>
              </w:rPr>
            </w:pPr>
            <w:r w:rsidRPr="009524AF">
              <w:rPr>
                <w:b/>
              </w:rPr>
              <w:t>-</w:t>
            </w:r>
          </w:p>
        </w:tc>
      </w:tr>
      <w:tr w:rsidR="006B5C69" w:rsidRPr="009524AF" w14:paraId="069671F6" w14:textId="77777777" w:rsidTr="00F1580E">
        <w:trPr>
          <w:cantSplit/>
          <w:trHeight w:val="454"/>
        </w:trPr>
        <w:tc>
          <w:tcPr>
            <w:tcW w:w="6062" w:type="dxa"/>
          </w:tcPr>
          <w:p w14:paraId="0EC51829" w14:textId="77777777" w:rsidR="006B5C69" w:rsidRPr="009524AF" w:rsidRDefault="006B5C69" w:rsidP="00F1580E">
            <w:r w:rsidRPr="009524AF">
              <w:t>Add non-current assets</w:t>
            </w:r>
          </w:p>
        </w:tc>
        <w:tc>
          <w:tcPr>
            <w:tcW w:w="1519" w:type="dxa"/>
          </w:tcPr>
          <w:p w14:paraId="3A3CA547" w14:textId="210B9A3A" w:rsidR="006B5C69" w:rsidRPr="009524AF" w:rsidRDefault="00C23ED5" w:rsidP="00F1580E">
            <w:pPr>
              <w:tabs>
                <w:tab w:val="clear" w:pos="1378"/>
                <w:tab w:val="decimal" w:pos="1020"/>
              </w:tabs>
            </w:pPr>
            <w:r>
              <w:t>-</w:t>
            </w:r>
          </w:p>
        </w:tc>
        <w:tc>
          <w:tcPr>
            <w:tcW w:w="1519" w:type="dxa"/>
          </w:tcPr>
          <w:p w14:paraId="439D5A1A" w14:textId="77777777" w:rsidR="006B5C69" w:rsidRPr="009524AF" w:rsidRDefault="006B5C69" w:rsidP="00F1580E">
            <w:pPr>
              <w:tabs>
                <w:tab w:val="clear" w:pos="1378"/>
                <w:tab w:val="decimal" w:pos="1020"/>
              </w:tabs>
            </w:pPr>
            <w:r w:rsidRPr="009524AF">
              <w:t>-</w:t>
            </w:r>
          </w:p>
        </w:tc>
      </w:tr>
      <w:tr w:rsidR="006B5C69" w:rsidRPr="009524AF" w14:paraId="6A02BC9D" w14:textId="77777777" w:rsidTr="00F1580E">
        <w:trPr>
          <w:cantSplit/>
          <w:trHeight w:val="454"/>
        </w:trPr>
        <w:tc>
          <w:tcPr>
            <w:tcW w:w="6062" w:type="dxa"/>
            <w:tcBorders>
              <w:bottom w:val="single" w:sz="4" w:space="0" w:color="auto"/>
            </w:tcBorders>
          </w:tcPr>
          <w:p w14:paraId="549EAE07" w14:textId="77777777" w:rsidR="006B5C69" w:rsidRPr="009524AF" w:rsidRDefault="006B5C69" w:rsidP="00F1580E">
            <w:pPr>
              <w:rPr>
                <w:b/>
              </w:rPr>
            </w:pPr>
            <w:r w:rsidRPr="009524AF">
              <w:rPr>
                <w:b/>
              </w:rPr>
              <w:t xml:space="preserve">Net </w:t>
            </w:r>
            <w:r>
              <w:rPr>
                <w:b/>
              </w:rPr>
              <w:t>a</w:t>
            </w:r>
            <w:r w:rsidRPr="009524AF">
              <w:rPr>
                <w:b/>
              </w:rPr>
              <w:t>ssets</w:t>
            </w:r>
          </w:p>
        </w:tc>
        <w:tc>
          <w:tcPr>
            <w:tcW w:w="1519" w:type="dxa"/>
            <w:tcBorders>
              <w:bottom w:val="single" w:sz="4" w:space="0" w:color="auto"/>
            </w:tcBorders>
          </w:tcPr>
          <w:p w14:paraId="66871D34" w14:textId="57D4F7F5" w:rsidR="006B5C69" w:rsidRPr="009524AF" w:rsidRDefault="00C23ED5" w:rsidP="00F1580E">
            <w:pPr>
              <w:tabs>
                <w:tab w:val="clear" w:pos="1378"/>
                <w:tab w:val="decimal" w:pos="1020"/>
              </w:tabs>
              <w:rPr>
                <w:b/>
              </w:rPr>
            </w:pPr>
            <w:r>
              <w:rPr>
                <w:b/>
              </w:rPr>
              <w:t>-</w:t>
            </w:r>
          </w:p>
        </w:tc>
        <w:tc>
          <w:tcPr>
            <w:tcW w:w="1519" w:type="dxa"/>
            <w:tcBorders>
              <w:bottom w:val="single" w:sz="4" w:space="0" w:color="auto"/>
            </w:tcBorders>
          </w:tcPr>
          <w:p w14:paraId="68784BD9" w14:textId="77777777" w:rsidR="006B5C69" w:rsidRPr="009524AF" w:rsidRDefault="006B5C69" w:rsidP="00F1580E">
            <w:pPr>
              <w:tabs>
                <w:tab w:val="clear" w:pos="1378"/>
                <w:tab w:val="decimal" w:pos="1020"/>
              </w:tabs>
              <w:rPr>
                <w:b/>
              </w:rPr>
            </w:pPr>
            <w:r w:rsidRPr="009524AF">
              <w:rPr>
                <w:b/>
              </w:rPr>
              <w:t>-</w:t>
            </w:r>
          </w:p>
        </w:tc>
      </w:tr>
      <w:tr w:rsidR="006B5C69" w:rsidRPr="009524AF" w14:paraId="16E2AF85" w14:textId="77777777" w:rsidTr="00F1580E">
        <w:trPr>
          <w:cantSplit/>
          <w:trHeight w:val="454"/>
        </w:trPr>
        <w:tc>
          <w:tcPr>
            <w:tcW w:w="6062" w:type="dxa"/>
            <w:tcBorders>
              <w:top w:val="single" w:sz="4" w:space="0" w:color="auto"/>
            </w:tcBorders>
          </w:tcPr>
          <w:p w14:paraId="060ACBC0" w14:textId="77777777" w:rsidR="006B5C69" w:rsidRPr="009524AF" w:rsidRDefault="006B5C69" w:rsidP="00F1580E">
            <w:r w:rsidRPr="009524AF">
              <w:t>Represented by:</w:t>
            </w:r>
          </w:p>
        </w:tc>
        <w:tc>
          <w:tcPr>
            <w:tcW w:w="1519" w:type="dxa"/>
            <w:tcBorders>
              <w:top w:val="single" w:sz="4" w:space="0" w:color="auto"/>
            </w:tcBorders>
          </w:tcPr>
          <w:p w14:paraId="673729C3" w14:textId="77777777" w:rsidR="006B5C69" w:rsidRPr="009524AF" w:rsidRDefault="006B5C69" w:rsidP="00F1580E">
            <w:pPr>
              <w:tabs>
                <w:tab w:val="clear" w:pos="1378"/>
                <w:tab w:val="decimal" w:pos="1020"/>
              </w:tabs>
            </w:pPr>
          </w:p>
        </w:tc>
        <w:tc>
          <w:tcPr>
            <w:tcW w:w="1519" w:type="dxa"/>
            <w:tcBorders>
              <w:top w:val="single" w:sz="4" w:space="0" w:color="auto"/>
            </w:tcBorders>
          </w:tcPr>
          <w:p w14:paraId="4A4A13B4" w14:textId="77777777" w:rsidR="006B5C69" w:rsidRPr="009524AF" w:rsidRDefault="006B5C69" w:rsidP="00F1580E">
            <w:pPr>
              <w:tabs>
                <w:tab w:val="clear" w:pos="1378"/>
                <w:tab w:val="decimal" w:pos="1020"/>
              </w:tabs>
            </w:pPr>
          </w:p>
        </w:tc>
      </w:tr>
      <w:tr w:rsidR="006B5C69" w:rsidRPr="009524AF" w14:paraId="4163C81A" w14:textId="77777777" w:rsidTr="00F1580E">
        <w:trPr>
          <w:cantSplit/>
          <w:trHeight w:val="454"/>
        </w:trPr>
        <w:tc>
          <w:tcPr>
            <w:tcW w:w="6062" w:type="dxa"/>
          </w:tcPr>
          <w:p w14:paraId="11742D9A" w14:textId="77777777" w:rsidR="006B5C69" w:rsidRPr="009524AF" w:rsidRDefault="006B5C69" w:rsidP="00F1580E">
            <w:r w:rsidRPr="009524AF">
              <w:t>Retained earnings</w:t>
            </w:r>
          </w:p>
        </w:tc>
        <w:tc>
          <w:tcPr>
            <w:tcW w:w="1519" w:type="dxa"/>
          </w:tcPr>
          <w:p w14:paraId="31062DD6" w14:textId="6CA2A0DB" w:rsidR="006B5C69" w:rsidRPr="009524AF" w:rsidRDefault="00C23ED5" w:rsidP="00F1580E">
            <w:pPr>
              <w:tabs>
                <w:tab w:val="clear" w:pos="1378"/>
                <w:tab w:val="decimal" w:pos="1020"/>
              </w:tabs>
            </w:pPr>
            <w:r>
              <w:t>152</w:t>
            </w:r>
          </w:p>
        </w:tc>
        <w:tc>
          <w:tcPr>
            <w:tcW w:w="1519" w:type="dxa"/>
          </w:tcPr>
          <w:p w14:paraId="551929C2" w14:textId="77777777" w:rsidR="006B5C69" w:rsidRPr="009524AF" w:rsidRDefault="006B5C69" w:rsidP="00F1580E">
            <w:pPr>
              <w:tabs>
                <w:tab w:val="clear" w:pos="1378"/>
                <w:tab w:val="decimal" w:pos="1020"/>
              </w:tabs>
            </w:pPr>
            <w:r w:rsidRPr="009524AF">
              <w:t>-</w:t>
            </w:r>
          </w:p>
        </w:tc>
      </w:tr>
      <w:tr w:rsidR="006B5C69" w:rsidRPr="009524AF" w14:paraId="67624E70" w14:textId="77777777" w:rsidTr="00F1580E">
        <w:trPr>
          <w:cantSplit/>
          <w:trHeight w:val="454"/>
        </w:trPr>
        <w:tc>
          <w:tcPr>
            <w:tcW w:w="6062" w:type="dxa"/>
          </w:tcPr>
          <w:p w14:paraId="2C005202" w14:textId="77777777" w:rsidR="006B5C69" w:rsidRPr="009524AF" w:rsidRDefault="006B5C69" w:rsidP="00F1580E">
            <w:r w:rsidRPr="009524AF">
              <w:t>Contributed sum</w:t>
            </w:r>
          </w:p>
        </w:tc>
        <w:tc>
          <w:tcPr>
            <w:tcW w:w="1519" w:type="dxa"/>
          </w:tcPr>
          <w:p w14:paraId="2356D1EC" w14:textId="5895F061" w:rsidR="006B5C69" w:rsidRPr="009524AF" w:rsidRDefault="00C23ED5" w:rsidP="00F1580E">
            <w:pPr>
              <w:tabs>
                <w:tab w:val="clear" w:pos="1378"/>
                <w:tab w:val="decimal" w:pos="1020"/>
              </w:tabs>
            </w:pPr>
            <w:r>
              <w:t>-</w:t>
            </w:r>
          </w:p>
        </w:tc>
        <w:tc>
          <w:tcPr>
            <w:tcW w:w="1519" w:type="dxa"/>
          </w:tcPr>
          <w:p w14:paraId="54C0113E" w14:textId="77777777" w:rsidR="006B5C69" w:rsidRPr="009524AF" w:rsidRDefault="006B5C69" w:rsidP="00F1580E">
            <w:pPr>
              <w:tabs>
                <w:tab w:val="clear" w:pos="1378"/>
                <w:tab w:val="decimal" w:pos="1020"/>
              </w:tabs>
            </w:pPr>
            <w:r w:rsidRPr="009524AF">
              <w:t>-</w:t>
            </w:r>
          </w:p>
        </w:tc>
      </w:tr>
      <w:tr w:rsidR="006B5C69" w:rsidRPr="007165BD" w14:paraId="25F4573C" w14:textId="77777777" w:rsidTr="00F1580E">
        <w:trPr>
          <w:cantSplit/>
          <w:trHeight w:val="454"/>
        </w:trPr>
        <w:tc>
          <w:tcPr>
            <w:tcW w:w="6062" w:type="dxa"/>
            <w:tcBorders>
              <w:bottom w:val="single" w:sz="4" w:space="0" w:color="auto"/>
            </w:tcBorders>
          </w:tcPr>
          <w:p w14:paraId="41681380" w14:textId="77777777" w:rsidR="006B5C69" w:rsidRPr="009524AF" w:rsidRDefault="006B5C69" w:rsidP="00F1580E">
            <w:pPr>
              <w:rPr>
                <w:b/>
              </w:rPr>
            </w:pPr>
            <w:r w:rsidRPr="009524AF">
              <w:rPr>
                <w:b/>
              </w:rPr>
              <w:t>Equity</w:t>
            </w:r>
          </w:p>
        </w:tc>
        <w:tc>
          <w:tcPr>
            <w:tcW w:w="1519" w:type="dxa"/>
            <w:tcBorders>
              <w:bottom w:val="single" w:sz="4" w:space="0" w:color="auto"/>
            </w:tcBorders>
          </w:tcPr>
          <w:p w14:paraId="50C0F628" w14:textId="3E00C66B" w:rsidR="006B5C69" w:rsidRPr="009524AF" w:rsidRDefault="00C23ED5" w:rsidP="00F1580E">
            <w:pPr>
              <w:tabs>
                <w:tab w:val="clear" w:pos="1378"/>
                <w:tab w:val="decimal" w:pos="1020"/>
              </w:tabs>
              <w:rPr>
                <w:b/>
              </w:rPr>
            </w:pPr>
            <w:r>
              <w:rPr>
                <w:b/>
              </w:rPr>
              <w:t>152</w:t>
            </w:r>
          </w:p>
        </w:tc>
        <w:tc>
          <w:tcPr>
            <w:tcW w:w="1519" w:type="dxa"/>
            <w:tcBorders>
              <w:bottom w:val="single" w:sz="4" w:space="0" w:color="auto"/>
            </w:tcBorders>
          </w:tcPr>
          <w:p w14:paraId="15B04283" w14:textId="77777777" w:rsidR="006B5C69" w:rsidRPr="007165BD" w:rsidRDefault="006B5C69" w:rsidP="00F1580E">
            <w:pPr>
              <w:tabs>
                <w:tab w:val="clear" w:pos="1378"/>
                <w:tab w:val="decimal" w:pos="1020"/>
              </w:tabs>
              <w:rPr>
                <w:b/>
              </w:rPr>
            </w:pPr>
            <w:r w:rsidRPr="009524AF">
              <w:rPr>
                <w:b/>
              </w:rPr>
              <w:t>-</w:t>
            </w:r>
          </w:p>
        </w:tc>
      </w:tr>
    </w:tbl>
    <w:p w14:paraId="29C362C1" w14:textId="77777777" w:rsidR="006B5C69" w:rsidRDefault="006B5C69" w:rsidP="006B5C69"/>
    <w:p w14:paraId="619AB150" w14:textId="77777777" w:rsidR="006B5C69" w:rsidRPr="000D515D" w:rsidRDefault="006B5C69" w:rsidP="006B5C69">
      <w:pPr>
        <w:pStyle w:val="Heading1"/>
      </w:pPr>
      <w:bookmarkStart w:id="14" w:name="_Ref48110988"/>
      <w:r>
        <w:t>CDU Amenities Limited</w:t>
      </w:r>
      <w:bookmarkEnd w:id="12"/>
      <w:bookmarkEnd w:id="14"/>
    </w:p>
    <w:p w14:paraId="06914027" w14:textId="55C400D1" w:rsidR="006B5C69" w:rsidRPr="000D515D" w:rsidRDefault="006B5C69" w:rsidP="006B5C69">
      <w:pPr>
        <w:pStyle w:val="Heading2"/>
      </w:pPr>
      <w:bookmarkStart w:id="15" w:name="_Ref53555166"/>
      <w:r w:rsidRPr="000D515D">
        <w:t xml:space="preserve">Audit Findings and Analysis of the Financial Statements for the Year Ended </w:t>
      </w:r>
      <w:r w:rsidR="00F1580E">
        <w:t>31 December 2020</w:t>
      </w:r>
      <w:bookmarkEnd w:id="15"/>
    </w:p>
    <w:p w14:paraId="0D56D5D6" w14:textId="77777777" w:rsidR="006B5C69" w:rsidRPr="00F30939" w:rsidRDefault="006B5C69" w:rsidP="006B5C69">
      <w:pPr>
        <w:pStyle w:val="Heading3"/>
      </w:pPr>
      <w:r>
        <w:t>Background</w:t>
      </w:r>
    </w:p>
    <w:p w14:paraId="57563906" w14:textId="77777777" w:rsidR="006B5C69" w:rsidRPr="007F5C38" w:rsidRDefault="006B5C69" w:rsidP="006B5C69">
      <w:r w:rsidRPr="007F5C38">
        <w:t>CDU Amenities Limited (the Company) is a company limited by guarantee with the liability of each member being limited to an amount of $20. The sole member of the company is Charles Darwin University.</w:t>
      </w:r>
    </w:p>
    <w:p w14:paraId="21D6838F" w14:textId="77777777" w:rsidR="006B5C69" w:rsidRPr="007F5C38" w:rsidRDefault="006B5C69" w:rsidP="006B5C69">
      <w:r w:rsidRPr="007F5C38">
        <w:t>The Company was formed in March 2007 to coordinate support activities for students and student organisations.</w:t>
      </w:r>
    </w:p>
    <w:p w14:paraId="34B25D97" w14:textId="77777777" w:rsidR="006B5C69" w:rsidRPr="007F5C38" w:rsidRDefault="006B5C69" w:rsidP="006B5C69">
      <w:pPr>
        <w:pStyle w:val="Heading3"/>
      </w:pPr>
      <w:r w:rsidRPr="007F5C38">
        <w:t>Scope and Objectives</w:t>
      </w:r>
    </w:p>
    <w:p w14:paraId="39BD3409" w14:textId="0CB1B5F6" w:rsidR="006B5C69" w:rsidRPr="007F5C38" w:rsidRDefault="006B5C69" w:rsidP="006B5C69">
      <w:r w:rsidRPr="007F5C38">
        <w:t xml:space="preserve">The objective of the audit was to complete sufficient audit procedures to enable an opinion to be expressed upon the financial statements of CDU Amenities Limited for the year ended </w:t>
      </w:r>
      <w:r w:rsidR="007F5C38" w:rsidRPr="007F5C38">
        <w:t>31 </w:t>
      </w:r>
      <w:r w:rsidR="00F1580E" w:rsidRPr="007F5C38">
        <w:t>December 2020</w:t>
      </w:r>
      <w:r w:rsidRPr="007F5C38">
        <w:t>.</w:t>
      </w:r>
    </w:p>
    <w:p w14:paraId="2A82105E" w14:textId="77777777" w:rsidR="006B5C69" w:rsidRPr="007F5C38" w:rsidRDefault="006B5C69" w:rsidP="006B5C69">
      <w:pPr>
        <w:pStyle w:val="Heading3"/>
      </w:pPr>
      <w:r w:rsidRPr="007F5C38">
        <w:t>Audit Opinion</w:t>
      </w:r>
    </w:p>
    <w:p w14:paraId="5ABAAA7B" w14:textId="7A3D3F7B" w:rsidR="006B5C69" w:rsidRPr="007F5C38" w:rsidRDefault="006B5C69" w:rsidP="006B5C69">
      <w:r w:rsidRPr="007F5C38">
        <w:t xml:space="preserve">The audit of CDU Amenities Limited for the year ended </w:t>
      </w:r>
      <w:r w:rsidR="00F1580E" w:rsidRPr="007F5C38">
        <w:t>31 December 2020</w:t>
      </w:r>
      <w:r w:rsidRPr="007F5C38">
        <w:t xml:space="preserve"> resulted in an unmodified independent audit opinion, which was issued on </w:t>
      </w:r>
      <w:r w:rsidR="007F5C38" w:rsidRPr="007F5C38">
        <w:t>7 April 2021</w:t>
      </w:r>
      <w:r w:rsidRPr="007F5C38">
        <w:t>.</w:t>
      </w:r>
    </w:p>
    <w:p w14:paraId="462B23B3" w14:textId="77777777" w:rsidR="006B5C69" w:rsidRPr="007F5C38" w:rsidRDefault="006B5C69" w:rsidP="006B5C69">
      <w:pPr>
        <w:pStyle w:val="Heading3"/>
      </w:pPr>
      <w:r w:rsidRPr="007F5C38">
        <w:t>Audit Observations</w:t>
      </w:r>
    </w:p>
    <w:p w14:paraId="00055CE7" w14:textId="77777777" w:rsidR="006B5C69" w:rsidRPr="007F5C38" w:rsidRDefault="006B5C69" w:rsidP="006B5C69">
      <w:r w:rsidRPr="007F5C38">
        <w:t>The audit did not identify any material weaknesses in internal controls.</w:t>
      </w:r>
    </w:p>
    <w:p w14:paraId="68C9B958" w14:textId="77777777" w:rsidR="006B5C69" w:rsidRPr="007F5C38" w:rsidRDefault="006B5C69" w:rsidP="006B5C69">
      <w:pPr>
        <w:pStyle w:val="Heading4"/>
      </w:pPr>
      <w:r w:rsidRPr="007F5C38">
        <w:t>Performance Overview</w:t>
      </w:r>
    </w:p>
    <w:p w14:paraId="5A53A5AD" w14:textId="77777777" w:rsidR="007F5C38" w:rsidRDefault="007F5C38" w:rsidP="007F5C38">
      <w:r>
        <w:t>The Company reported a deficit of $107,673 for the year ended 31 December 2020 compared to a deficit of $64,278 for the previous year. The Company reported income of $115,371, this was offset by impairment losses of $223,044 for the year ended 31 December 2020.</w:t>
      </w:r>
    </w:p>
    <w:p w14:paraId="5607CEFD" w14:textId="29140A45" w:rsidR="007F5C38" w:rsidRDefault="007F5C38" w:rsidP="007F5C38">
      <w:r>
        <w:t>The Company has a net asset position of $0 as at 31 December 2020, compared with a net asset position of $107,673 disclosed as at 31 December 2019. The reduction in net assets to nil reflects the winding back of the Company’s operations and the sale of its related entities. On 19 November 2020, the Directors classifi</w:t>
      </w:r>
      <w:r w:rsidR="00802060">
        <w:t>ed</w:t>
      </w:r>
      <w:r>
        <w:t xml:space="preserve"> the Co</w:t>
      </w:r>
      <w:r w:rsidR="00A715EB">
        <w:t>mpany as a non</w:t>
      </w:r>
      <w:r w:rsidR="00A715EB">
        <w:noBreakHyphen/>
        <w:t>trading entity.</w:t>
      </w:r>
    </w:p>
    <w:p w14:paraId="049CA465" w14:textId="10A48B26" w:rsidR="007F5C38" w:rsidRDefault="007F5C38" w:rsidP="007F5C38">
      <w:r>
        <w:t xml:space="preserve">The most significant movement between balance dates is a reduction in ‘assets classified as held for sale’ from $1,270,925 to nil, and a reduction in related party payables from $1,149,252 to nil. The sale proceeds from disposal of the assets held for sale were </w:t>
      </w:r>
      <w:r w:rsidR="00802060">
        <w:t>u</w:t>
      </w:r>
      <w:r>
        <w:t xml:space="preserve">sed to fund the repayment of related party payables. </w:t>
      </w:r>
    </w:p>
    <w:p w14:paraId="085B5A10" w14:textId="353EBC0F" w:rsidR="007F5C38" w:rsidRDefault="007F5C38" w:rsidP="007F5C38">
      <w:r>
        <w:t>A</w:t>
      </w:r>
      <w:r w:rsidR="00802060">
        <w:t xml:space="preserve"> related party</w:t>
      </w:r>
      <w:r>
        <w:t xml:space="preserve"> transaction to the value of $49,500 was identified in association with the sale of subsidiaries. At the time of transaction, the supplier was managed by a council member of the Company’s ultimate parent entity, Charles Darwin University. This </w:t>
      </w:r>
      <w:r w:rsidR="007C33D9">
        <w:t xml:space="preserve">transaction </w:t>
      </w:r>
      <w:r>
        <w:t xml:space="preserve">is adequately disclosed in the 2020 financial statements. </w:t>
      </w:r>
    </w:p>
    <w:p w14:paraId="02617B09" w14:textId="77777777" w:rsidR="007F5C38" w:rsidRPr="00F30939" w:rsidRDefault="007F5C38" w:rsidP="007F5C38">
      <w:pPr>
        <w:pStyle w:val="Heading1-continued"/>
      </w:pPr>
      <w:r>
        <w:t>CDU Amenities Limited</w:t>
      </w:r>
      <w:r w:rsidRPr="00F30939">
        <w:t xml:space="preserve"> cont…</w:t>
      </w:r>
    </w:p>
    <w:p w14:paraId="76BC5851" w14:textId="7A6C8ADD" w:rsidR="00802060" w:rsidRPr="00AE3D6C" w:rsidRDefault="00802060" w:rsidP="00802060">
      <w:pPr>
        <w:pStyle w:val="Heading5"/>
      </w:pPr>
      <w:r w:rsidRPr="00AE3D6C">
        <w:t>Disposal of controlled entities</w:t>
      </w:r>
    </w:p>
    <w:p w14:paraId="786BB0D0" w14:textId="16B0E717" w:rsidR="00802060" w:rsidRPr="00AE3D6C" w:rsidRDefault="00802060" w:rsidP="007F5C38">
      <w:r w:rsidRPr="00AE3D6C">
        <w:t>During the year ended 31 December 2020, the Company disposed of its four controlled entities, those being:</w:t>
      </w:r>
    </w:p>
    <w:p w14:paraId="1B9E27B0" w14:textId="701740D9" w:rsidR="00802060" w:rsidRPr="00AE3D6C" w:rsidRDefault="00802060" w:rsidP="00802060">
      <w:pPr>
        <w:pStyle w:val="ListBullet"/>
      </w:pPr>
      <w:r w:rsidRPr="00AE3D6C">
        <w:t>International College of Hotel Management Pty Ltd (ICHM)</w:t>
      </w:r>
    </w:p>
    <w:p w14:paraId="471FAEA1" w14:textId="364BFCB4" w:rsidR="00802060" w:rsidRPr="00AE3D6C" w:rsidRDefault="00802060" w:rsidP="00802060">
      <w:pPr>
        <w:pStyle w:val="ListBullet"/>
      </w:pPr>
      <w:r w:rsidRPr="00AE3D6C">
        <w:t>Cairns Education Australia</w:t>
      </w:r>
      <w:r w:rsidR="00FF3B24">
        <w:t xml:space="preserve"> </w:t>
      </w:r>
      <w:r w:rsidR="00FF3B24" w:rsidRPr="00AE3D6C">
        <w:t>Pty Ltd</w:t>
      </w:r>
      <w:r w:rsidRPr="00AE3D6C">
        <w:t xml:space="preserve"> (CEA)</w:t>
      </w:r>
    </w:p>
    <w:p w14:paraId="4717EA06" w14:textId="781E58E0" w:rsidR="00802060" w:rsidRPr="00AE3D6C" w:rsidRDefault="00802060" w:rsidP="00802060">
      <w:pPr>
        <w:pStyle w:val="ListBullet"/>
      </w:pPr>
      <w:r w:rsidRPr="00AE3D6C">
        <w:t>Cairns Business College</w:t>
      </w:r>
      <w:r w:rsidR="00FF3B24">
        <w:t xml:space="preserve"> </w:t>
      </w:r>
      <w:r w:rsidR="00FF3B24" w:rsidRPr="00AE3D6C">
        <w:t>Pty Ltd</w:t>
      </w:r>
      <w:r w:rsidRPr="00AE3D6C">
        <w:t xml:space="preserve"> (CBC)</w:t>
      </w:r>
    </w:p>
    <w:p w14:paraId="478BB698" w14:textId="657A0A22" w:rsidR="00802060" w:rsidRPr="00AE3D6C" w:rsidRDefault="00802060" w:rsidP="00802060">
      <w:pPr>
        <w:pStyle w:val="ListBullet"/>
      </w:pPr>
      <w:r w:rsidRPr="00AE3D6C">
        <w:t>Cairns Language Centre</w:t>
      </w:r>
      <w:r w:rsidR="00FF3B24">
        <w:t xml:space="preserve"> </w:t>
      </w:r>
      <w:r w:rsidR="00FF3B24" w:rsidRPr="00AE3D6C">
        <w:t>Pty Ltd</w:t>
      </w:r>
      <w:r w:rsidRPr="00AE3D6C">
        <w:t xml:space="preserve"> (CLC)</w:t>
      </w:r>
    </w:p>
    <w:p w14:paraId="339AC119" w14:textId="0A52363C" w:rsidR="007F5C38" w:rsidRPr="00AE3D6C" w:rsidRDefault="009250CE" w:rsidP="007F5C38">
      <w:r w:rsidRPr="00AE3D6C">
        <w:t xml:space="preserve">As at 31 December 2019, ICHM was considered an ‘asset held for sale’ with a carrying amount of $1,270,925. </w:t>
      </w:r>
      <w:r w:rsidR="007F5C38" w:rsidRPr="00AE3D6C">
        <w:t xml:space="preserve">On 14 February 2020, the Company finalised a Share Sale agreement with </w:t>
      </w:r>
      <w:r w:rsidRPr="00AE3D6C">
        <w:t>a</w:t>
      </w:r>
      <w:r w:rsidR="007F5C38" w:rsidRPr="00AE3D6C">
        <w:t xml:space="preserve"> buyer for the purchase of ICHM </w:t>
      </w:r>
      <w:r w:rsidRPr="00AE3D6C">
        <w:t>for</w:t>
      </w:r>
      <w:r w:rsidR="007F5C38" w:rsidRPr="00AE3D6C">
        <w:t xml:space="preserve"> $3,000,000. </w:t>
      </w:r>
      <w:r w:rsidRPr="00AE3D6C">
        <w:t>Prior to finalisation of completion accounts, the Company subscribed to an additional 400,000 shares at a purchase price of $400,000 resulting in a carrying value of $1,670,925 prior to year</w:t>
      </w:r>
      <w:r w:rsidRPr="00AE3D6C">
        <w:noBreakHyphen/>
        <w:t xml:space="preserve">end. </w:t>
      </w:r>
      <w:r w:rsidR="007F5C38" w:rsidRPr="00AE3D6C">
        <w:t>An initial adjustment amount of $1,075,873 was calculated</w:t>
      </w:r>
      <w:r w:rsidRPr="00AE3D6C">
        <w:t xml:space="preserve"> and applied and t</w:t>
      </w:r>
      <w:r w:rsidR="007F5C38" w:rsidRPr="00AE3D6C">
        <w:t xml:space="preserve">ransaction costs of $220,000 were </w:t>
      </w:r>
      <w:r w:rsidRPr="00AE3D6C">
        <w:t>incurred</w:t>
      </w:r>
      <w:r w:rsidR="007F5C38" w:rsidRPr="00AE3D6C">
        <w:t xml:space="preserve">. </w:t>
      </w:r>
      <w:r w:rsidR="0000672D" w:rsidRPr="00AE3D6C">
        <w:t>R</w:t>
      </w:r>
      <w:r w:rsidR="007F5C38" w:rsidRPr="00AE3D6C">
        <w:t xml:space="preserve">eview of </w:t>
      </w:r>
      <w:r w:rsidR="0000672D" w:rsidRPr="00AE3D6C">
        <w:t xml:space="preserve">the </w:t>
      </w:r>
      <w:r w:rsidR="00FF3B24">
        <w:t>completion accounts</w:t>
      </w:r>
      <w:r w:rsidR="007F5C38" w:rsidRPr="00AE3D6C">
        <w:t xml:space="preserve"> </w:t>
      </w:r>
      <w:r w:rsidR="0000672D" w:rsidRPr="00AE3D6C">
        <w:t xml:space="preserve">resulted in </w:t>
      </w:r>
      <w:r w:rsidR="007F5C38" w:rsidRPr="00AE3D6C">
        <w:t>the parties agree</w:t>
      </w:r>
      <w:r w:rsidR="0000672D" w:rsidRPr="00AE3D6C">
        <w:t>ing</w:t>
      </w:r>
      <w:r w:rsidR="007F5C38" w:rsidRPr="00AE3D6C">
        <w:t xml:space="preserve"> a further payment of $63,083 to the Company, resulting in a fair value less cost to sell of $1,767,210. Ultimately a gain on disposal of $96,285 was recognised.</w:t>
      </w:r>
    </w:p>
    <w:p w14:paraId="52EEB924" w14:textId="0ED6114A" w:rsidR="007F5C38" w:rsidRPr="00AE3D6C" w:rsidRDefault="007F5C38" w:rsidP="007F5C38">
      <w:r w:rsidRPr="00AE3D6C">
        <w:t xml:space="preserve">On 1 July 2020, the Company completed a Share Sale Agreement with a buyer for the purchase of CEA and CBC for a purchase price of $50,000. As at 30 December 2019, CEA and CBC had a combined carrying value of $30,914. A $19,086 gain on disposal was recognised. </w:t>
      </w:r>
    </w:p>
    <w:p w14:paraId="2B418AD9" w14:textId="3F4C8CF7" w:rsidR="007F5C38" w:rsidRPr="00AE3D6C" w:rsidRDefault="007F5C38" w:rsidP="007F5C38">
      <w:r w:rsidRPr="00AE3D6C">
        <w:t>On 23 March 2020, the Directors passed a resolution to commence the closure of CLC. Loan balances receivable from CLC were written off and CLC was wound up on 31 October 2020.</w:t>
      </w:r>
    </w:p>
    <w:p w14:paraId="03705014" w14:textId="777164F8" w:rsidR="006B5C69" w:rsidRDefault="007F5C38" w:rsidP="007F5C38">
      <w:r w:rsidRPr="00AE3D6C">
        <w:t xml:space="preserve">The </w:t>
      </w:r>
      <w:r w:rsidR="0000672D" w:rsidRPr="00AE3D6C">
        <w:t>C</w:t>
      </w:r>
      <w:r w:rsidRPr="00AE3D6C">
        <w:t>ompany is conside</w:t>
      </w:r>
      <w:r w:rsidR="00FF3B24">
        <w:t>red a non-trading entity and had</w:t>
      </w:r>
      <w:r w:rsidRPr="00AE3D6C">
        <w:t xml:space="preserve"> no liabilities as at the balance date 31 December 2020. The ultimate parent entity, Charles Darwin University, has provided the entity with a Deed of Guarantee agreeing to provide the Company with financial support for the operations to enable the payment of debts as and when they fall due and to continue to trade. The ultimate parent has the capacity to provide the aforementioned financial support for a period of at least twelve months from the date that the financial statements were signed. The nature and extent of financial support that can be provided is outlined in the executed Deed of Guarantee. Notably, the guarantee provided by the Deed is unconditional</w:t>
      </w:r>
      <w:r>
        <w:t xml:space="preserve"> (limited only by the liability of the </w:t>
      </w:r>
      <w:r w:rsidR="00C903D7">
        <w:t>C</w:t>
      </w:r>
      <w:r>
        <w:t>ompany) and is not limited in time, such that the Deed may only be terminated with the written agreement of the ultimate parent and Company. As a result the financial statements have been prepared on a going concern basis.</w:t>
      </w:r>
    </w:p>
    <w:p w14:paraId="06BCB21C" w14:textId="77777777" w:rsidR="006B5C69" w:rsidRDefault="006B5C69" w:rsidP="006B5C69"/>
    <w:p w14:paraId="7E6DEC4B" w14:textId="77777777" w:rsidR="006B5C69" w:rsidRPr="00F30939" w:rsidRDefault="006B5C69" w:rsidP="006B5C69">
      <w:pPr>
        <w:pStyle w:val="Heading1-continued"/>
      </w:pPr>
      <w:r>
        <w:t>CDU Amenities Limited</w:t>
      </w:r>
      <w:r w:rsidRPr="00F30939">
        <w:t xml:space="preserve"> cont…</w:t>
      </w:r>
    </w:p>
    <w:p w14:paraId="5A0EF9E6" w14:textId="77777777" w:rsidR="006B5C69" w:rsidRPr="00F30939" w:rsidRDefault="006B5C69" w:rsidP="006B5C69">
      <w:pPr>
        <w:pStyle w:val="Heading2"/>
      </w:pPr>
      <w:r w:rsidRPr="00F30939">
        <w:t>Financial Performance for the year</w:t>
      </w:r>
    </w:p>
    <w:tbl>
      <w:tblPr>
        <w:tblW w:w="9242" w:type="dxa"/>
        <w:tblLayout w:type="fixed"/>
        <w:tblLook w:val="04A0" w:firstRow="1" w:lastRow="0" w:firstColumn="1" w:lastColumn="0" w:noHBand="0" w:noVBand="1"/>
        <w:tblCaption w:val="Financial Performance for the year"/>
        <w:tblDescription w:val="Financial performance information for the current and prior year"/>
      </w:tblPr>
      <w:tblGrid>
        <w:gridCol w:w="6204"/>
        <w:gridCol w:w="1519"/>
        <w:gridCol w:w="1519"/>
      </w:tblGrid>
      <w:tr w:rsidR="006B5C69" w:rsidRPr="00F30939" w14:paraId="07DC9701" w14:textId="77777777" w:rsidTr="00F1580E">
        <w:trPr>
          <w:cantSplit/>
          <w:trHeight w:val="454"/>
          <w:tblHeader/>
        </w:trPr>
        <w:tc>
          <w:tcPr>
            <w:tcW w:w="6204" w:type="dxa"/>
            <w:tcBorders>
              <w:bottom w:val="single" w:sz="4" w:space="0" w:color="auto"/>
            </w:tcBorders>
          </w:tcPr>
          <w:p w14:paraId="0B95C1C0" w14:textId="77777777" w:rsidR="006B5C69" w:rsidRPr="00F30939" w:rsidRDefault="006B5C69" w:rsidP="00F1580E"/>
        </w:tc>
        <w:tc>
          <w:tcPr>
            <w:tcW w:w="1519" w:type="dxa"/>
            <w:tcBorders>
              <w:bottom w:val="single" w:sz="4" w:space="0" w:color="auto"/>
            </w:tcBorders>
          </w:tcPr>
          <w:p w14:paraId="0B36AA63" w14:textId="69B84F87" w:rsidR="006B5C69" w:rsidRPr="007165BD" w:rsidRDefault="006B5C69" w:rsidP="00F1580E">
            <w:pPr>
              <w:jc w:val="center"/>
              <w:rPr>
                <w:b/>
              </w:rPr>
            </w:pPr>
            <w:r>
              <w:rPr>
                <w:b/>
              </w:rPr>
              <w:t>2020</w:t>
            </w:r>
          </w:p>
        </w:tc>
        <w:tc>
          <w:tcPr>
            <w:tcW w:w="1519" w:type="dxa"/>
            <w:tcBorders>
              <w:bottom w:val="single" w:sz="4" w:space="0" w:color="auto"/>
            </w:tcBorders>
          </w:tcPr>
          <w:p w14:paraId="4B333DF4" w14:textId="7C837FA5" w:rsidR="006B5C69" w:rsidRPr="007165BD" w:rsidRDefault="006B5C69" w:rsidP="00F1580E">
            <w:pPr>
              <w:jc w:val="center"/>
              <w:rPr>
                <w:b/>
              </w:rPr>
            </w:pPr>
            <w:r>
              <w:rPr>
                <w:b/>
              </w:rPr>
              <w:t>2019</w:t>
            </w:r>
          </w:p>
        </w:tc>
      </w:tr>
      <w:tr w:rsidR="006B5C69" w:rsidRPr="00F30939" w14:paraId="3726BD76" w14:textId="77777777" w:rsidTr="00F1580E">
        <w:trPr>
          <w:cantSplit/>
          <w:trHeight w:val="454"/>
          <w:tblHeader/>
        </w:trPr>
        <w:tc>
          <w:tcPr>
            <w:tcW w:w="6204" w:type="dxa"/>
            <w:tcBorders>
              <w:top w:val="single" w:sz="4" w:space="0" w:color="auto"/>
            </w:tcBorders>
          </w:tcPr>
          <w:p w14:paraId="3499C147" w14:textId="77777777" w:rsidR="006B5C69" w:rsidRPr="00F30939" w:rsidRDefault="006B5C69" w:rsidP="00F1580E"/>
        </w:tc>
        <w:tc>
          <w:tcPr>
            <w:tcW w:w="1519" w:type="dxa"/>
            <w:tcBorders>
              <w:top w:val="single" w:sz="4" w:space="0" w:color="auto"/>
            </w:tcBorders>
          </w:tcPr>
          <w:p w14:paraId="09989850" w14:textId="77777777" w:rsidR="006B5C69" w:rsidRPr="007165BD" w:rsidRDefault="006B5C69" w:rsidP="00F1580E">
            <w:pPr>
              <w:jc w:val="center"/>
              <w:rPr>
                <w:b/>
              </w:rPr>
            </w:pPr>
            <w:r w:rsidRPr="007165BD">
              <w:rPr>
                <w:b/>
              </w:rPr>
              <w:t>$’000</w:t>
            </w:r>
          </w:p>
        </w:tc>
        <w:tc>
          <w:tcPr>
            <w:tcW w:w="1519" w:type="dxa"/>
            <w:tcBorders>
              <w:top w:val="single" w:sz="4" w:space="0" w:color="auto"/>
            </w:tcBorders>
          </w:tcPr>
          <w:p w14:paraId="3E17EE88" w14:textId="77777777" w:rsidR="006B5C69" w:rsidRPr="007165BD" w:rsidRDefault="006B5C69" w:rsidP="00F1580E">
            <w:pPr>
              <w:jc w:val="center"/>
              <w:rPr>
                <w:b/>
              </w:rPr>
            </w:pPr>
            <w:r w:rsidRPr="007165BD">
              <w:rPr>
                <w:b/>
              </w:rPr>
              <w:t>$’000</w:t>
            </w:r>
          </w:p>
        </w:tc>
      </w:tr>
      <w:tr w:rsidR="006B5C69" w:rsidRPr="007165BD" w14:paraId="20047D48" w14:textId="77777777" w:rsidTr="00F1580E">
        <w:trPr>
          <w:cantSplit/>
          <w:trHeight w:val="454"/>
        </w:trPr>
        <w:tc>
          <w:tcPr>
            <w:tcW w:w="6204" w:type="dxa"/>
          </w:tcPr>
          <w:p w14:paraId="643F1A7A" w14:textId="6570AAAE" w:rsidR="006B5C69" w:rsidRPr="007165BD" w:rsidRDefault="006B5C69" w:rsidP="006F43C2">
            <w:pPr>
              <w:rPr>
                <w:b/>
              </w:rPr>
            </w:pPr>
            <w:r>
              <w:rPr>
                <w:b/>
              </w:rPr>
              <w:t xml:space="preserve">Revenue </w:t>
            </w:r>
          </w:p>
        </w:tc>
        <w:tc>
          <w:tcPr>
            <w:tcW w:w="1519" w:type="dxa"/>
          </w:tcPr>
          <w:p w14:paraId="63E7A684" w14:textId="77777777" w:rsidR="006B5C69" w:rsidRPr="007165BD" w:rsidRDefault="006B5C69" w:rsidP="00F1580E">
            <w:pPr>
              <w:tabs>
                <w:tab w:val="clear" w:pos="1378"/>
                <w:tab w:val="decimal" w:pos="1020"/>
              </w:tabs>
              <w:rPr>
                <w:b/>
              </w:rPr>
            </w:pPr>
          </w:p>
        </w:tc>
        <w:tc>
          <w:tcPr>
            <w:tcW w:w="1519" w:type="dxa"/>
          </w:tcPr>
          <w:p w14:paraId="48EBFAE2" w14:textId="77777777" w:rsidR="006B5C69" w:rsidRPr="007165BD" w:rsidRDefault="006B5C69" w:rsidP="00F1580E">
            <w:pPr>
              <w:tabs>
                <w:tab w:val="clear" w:pos="1378"/>
                <w:tab w:val="decimal" w:pos="1020"/>
              </w:tabs>
              <w:rPr>
                <w:b/>
              </w:rPr>
            </w:pPr>
          </w:p>
        </w:tc>
      </w:tr>
      <w:tr w:rsidR="006B5C69" w:rsidRPr="00F30939" w14:paraId="05FAB618" w14:textId="77777777" w:rsidTr="00F1580E">
        <w:trPr>
          <w:cantSplit/>
          <w:trHeight w:val="454"/>
        </w:trPr>
        <w:tc>
          <w:tcPr>
            <w:tcW w:w="6204" w:type="dxa"/>
          </w:tcPr>
          <w:p w14:paraId="6746EA14" w14:textId="2812E92F" w:rsidR="006B5C69" w:rsidRPr="00F30939" w:rsidRDefault="006F43C2" w:rsidP="006B5C69">
            <w:r>
              <w:t>Gain on disposal of investments in subsidiaries</w:t>
            </w:r>
          </w:p>
        </w:tc>
        <w:tc>
          <w:tcPr>
            <w:tcW w:w="1519" w:type="dxa"/>
          </w:tcPr>
          <w:p w14:paraId="268EE094" w14:textId="419B405B" w:rsidR="006B5C69" w:rsidRPr="00F30939" w:rsidRDefault="006F43C2" w:rsidP="006B5C69">
            <w:pPr>
              <w:tabs>
                <w:tab w:val="clear" w:pos="1378"/>
                <w:tab w:val="decimal" w:pos="1020"/>
              </w:tabs>
            </w:pPr>
            <w:r>
              <w:t>115</w:t>
            </w:r>
          </w:p>
        </w:tc>
        <w:tc>
          <w:tcPr>
            <w:tcW w:w="1519" w:type="dxa"/>
          </w:tcPr>
          <w:p w14:paraId="524A430A" w14:textId="50D615D2" w:rsidR="006B5C69" w:rsidRPr="00F30939" w:rsidRDefault="006B5C69" w:rsidP="006B5C69">
            <w:pPr>
              <w:tabs>
                <w:tab w:val="clear" w:pos="1378"/>
                <w:tab w:val="decimal" w:pos="1020"/>
              </w:tabs>
            </w:pPr>
            <w:r>
              <w:t>-</w:t>
            </w:r>
          </w:p>
        </w:tc>
      </w:tr>
      <w:tr w:rsidR="006B5C69" w:rsidRPr="00F30939" w14:paraId="73BE293B" w14:textId="77777777" w:rsidTr="00F1580E">
        <w:trPr>
          <w:cantSplit/>
          <w:trHeight w:val="454"/>
        </w:trPr>
        <w:tc>
          <w:tcPr>
            <w:tcW w:w="6204" w:type="dxa"/>
          </w:tcPr>
          <w:p w14:paraId="7E2879ED" w14:textId="77777777" w:rsidR="006B5C69" w:rsidRDefault="006B5C69" w:rsidP="006B5C69">
            <w:r>
              <w:t>Other revenue</w:t>
            </w:r>
          </w:p>
        </w:tc>
        <w:tc>
          <w:tcPr>
            <w:tcW w:w="1519" w:type="dxa"/>
          </w:tcPr>
          <w:p w14:paraId="71DA76AD" w14:textId="57D41366" w:rsidR="006B5C69" w:rsidRDefault="007F5C38" w:rsidP="006B5C69">
            <w:pPr>
              <w:tabs>
                <w:tab w:val="clear" w:pos="1378"/>
                <w:tab w:val="decimal" w:pos="1020"/>
              </w:tabs>
            </w:pPr>
            <w:r>
              <w:t>-</w:t>
            </w:r>
          </w:p>
        </w:tc>
        <w:tc>
          <w:tcPr>
            <w:tcW w:w="1519" w:type="dxa"/>
          </w:tcPr>
          <w:p w14:paraId="6507B52B" w14:textId="3FD22072" w:rsidR="006B5C69" w:rsidRDefault="006B5C69" w:rsidP="006B5C69">
            <w:pPr>
              <w:tabs>
                <w:tab w:val="clear" w:pos="1378"/>
                <w:tab w:val="decimal" w:pos="1020"/>
              </w:tabs>
            </w:pPr>
            <w:r>
              <w:t>-</w:t>
            </w:r>
          </w:p>
        </w:tc>
      </w:tr>
      <w:tr w:rsidR="006B5C69" w:rsidRPr="007165BD" w14:paraId="3D0FD683" w14:textId="77777777" w:rsidTr="00F1580E">
        <w:trPr>
          <w:cantSplit/>
          <w:trHeight w:val="454"/>
        </w:trPr>
        <w:tc>
          <w:tcPr>
            <w:tcW w:w="6204" w:type="dxa"/>
            <w:tcBorders>
              <w:bottom w:val="single" w:sz="4" w:space="0" w:color="auto"/>
            </w:tcBorders>
          </w:tcPr>
          <w:p w14:paraId="6140AAE0" w14:textId="0C371F23" w:rsidR="006B5C69" w:rsidRPr="007165BD" w:rsidRDefault="006B5C69" w:rsidP="006F43C2">
            <w:pPr>
              <w:rPr>
                <w:b/>
              </w:rPr>
            </w:pPr>
            <w:r w:rsidRPr="00FA53C4">
              <w:rPr>
                <w:b/>
              </w:rPr>
              <w:t xml:space="preserve">Total </w:t>
            </w:r>
            <w:r>
              <w:rPr>
                <w:b/>
              </w:rPr>
              <w:t xml:space="preserve">revenue </w:t>
            </w:r>
          </w:p>
        </w:tc>
        <w:tc>
          <w:tcPr>
            <w:tcW w:w="1519" w:type="dxa"/>
            <w:tcBorders>
              <w:bottom w:val="single" w:sz="4" w:space="0" w:color="auto"/>
            </w:tcBorders>
          </w:tcPr>
          <w:p w14:paraId="08E849B1" w14:textId="44421439" w:rsidR="006B5C69" w:rsidRPr="007165BD" w:rsidRDefault="006F43C2" w:rsidP="006B5C69">
            <w:pPr>
              <w:tabs>
                <w:tab w:val="clear" w:pos="1378"/>
                <w:tab w:val="decimal" w:pos="1020"/>
              </w:tabs>
              <w:rPr>
                <w:b/>
              </w:rPr>
            </w:pPr>
            <w:r>
              <w:rPr>
                <w:b/>
              </w:rPr>
              <w:t>115</w:t>
            </w:r>
          </w:p>
        </w:tc>
        <w:tc>
          <w:tcPr>
            <w:tcW w:w="1519" w:type="dxa"/>
            <w:tcBorders>
              <w:bottom w:val="single" w:sz="4" w:space="0" w:color="auto"/>
            </w:tcBorders>
          </w:tcPr>
          <w:p w14:paraId="525FB782" w14:textId="012E8344" w:rsidR="006B5C69" w:rsidRPr="007165BD" w:rsidRDefault="006B5C69" w:rsidP="006B5C69">
            <w:pPr>
              <w:tabs>
                <w:tab w:val="clear" w:pos="1378"/>
                <w:tab w:val="decimal" w:pos="1020"/>
              </w:tabs>
              <w:rPr>
                <w:b/>
              </w:rPr>
            </w:pPr>
            <w:r>
              <w:rPr>
                <w:b/>
              </w:rPr>
              <w:t>-</w:t>
            </w:r>
          </w:p>
        </w:tc>
      </w:tr>
      <w:tr w:rsidR="006B5C69" w:rsidRPr="007165BD" w14:paraId="339C5D50" w14:textId="77777777" w:rsidTr="00F1580E">
        <w:trPr>
          <w:cantSplit/>
          <w:trHeight w:val="454"/>
        </w:trPr>
        <w:tc>
          <w:tcPr>
            <w:tcW w:w="6204" w:type="dxa"/>
            <w:tcBorders>
              <w:top w:val="single" w:sz="4" w:space="0" w:color="auto"/>
            </w:tcBorders>
          </w:tcPr>
          <w:p w14:paraId="23A522BA" w14:textId="0C64312C" w:rsidR="006B5C69" w:rsidRPr="007165BD" w:rsidRDefault="006B5C69" w:rsidP="006F43C2">
            <w:pPr>
              <w:rPr>
                <w:b/>
              </w:rPr>
            </w:pPr>
            <w:r>
              <w:rPr>
                <w:b/>
              </w:rPr>
              <w:t xml:space="preserve">Less expenses </w:t>
            </w:r>
          </w:p>
        </w:tc>
        <w:tc>
          <w:tcPr>
            <w:tcW w:w="1519" w:type="dxa"/>
            <w:tcBorders>
              <w:top w:val="single" w:sz="4" w:space="0" w:color="auto"/>
            </w:tcBorders>
          </w:tcPr>
          <w:p w14:paraId="113209D2" w14:textId="77777777" w:rsidR="006B5C69" w:rsidRPr="007165BD" w:rsidRDefault="006B5C69" w:rsidP="006B5C69">
            <w:pPr>
              <w:tabs>
                <w:tab w:val="clear" w:pos="1378"/>
                <w:tab w:val="decimal" w:pos="1020"/>
              </w:tabs>
              <w:rPr>
                <w:b/>
              </w:rPr>
            </w:pPr>
          </w:p>
        </w:tc>
        <w:tc>
          <w:tcPr>
            <w:tcW w:w="1519" w:type="dxa"/>
            <w:tcBorders>
              <w:top w:val="single" w:sz="4" w:space="0" w:color="auto"/>
            </w:tcBorders>
          </w:tcPr>
          <w:p w14:paraId="47AF855F" w14:textId="77777777" w:rsidR="006B5C69" w:rsidRPr="007165BD" w:rsidRDefault="006B5C69" w:rsidP="006B5C69">
            <w:pPr>
              <w:tabs>
                <w:tab w:val="clear" w:pos="1378"/>
                <w:tab w:val="decimal" w:pos="1020"/>
              </w:tabs>
              <w:rPr>
                <w:b/>
              </w:rPr>
            </w:pPr>
          </w:p>
        </w:tc>
      </w:tr>
      <w:tr w:rsidR="006B5C69" w:rsidRPr="00F30939" w14:paraId="40A929E1" w14:textId="77777777" w:rsidTr="00F1580E">
        <w:trPr>
          <w:cantSplit/>
          <w:trHeight w:val="454"/>
        </w:trPr>
        <w:tc>
          <w:tcPr>
            <w:tcW w:w="6204" w:type="dxa"/>
          </w:tcPr>
          <w:p w14:paraId="10B48AB3" w14:textId="77777777" w:rsidR="006B5C69" w:rsidRPr="00F30939" w:rsidRDefault="006B5C69" w:rsidP="006B5C69">
            <w:r w:rsidRPr="00F4517F">
              <w:t>Employee related costs</w:t>
            </w:r>
          </w:p>
        </w:tc>
        <w:tc>
          <w:tcPr>
            <w:tcW w:w="1519" w:type="dxa"/>
          </w:tcPr>
          <w:p w14:paraId="7939B730" w14:textId="2FF196E0" w:rsidR="006B5C69" w:rsidRPr="00F30939" w:rsidRDefault="006F43C2" w:rsidP="006B5C69">
            <w:pPr>
              <w:tabs>
                <w:tab w:val="clear" w:pos="1378"/>
                <w:tab w:val="decimal" w:pos="1020"/>
              </w:tabs>
            </w:pPr>
            <w:r>
              <w:t>-</w:t>
            </w:r>
          </w:p>
        </w:tc>
        <w:tc>
          <w:tcPr>
            <w:tcW w:w="1519" w:type="dxa"/>
          </w:tcPr>
          <w:p w14:paraId="36359530" w14:textId="5BABCC09" w:rsidR="006B5C69" w:rsidRPr="00F30939" w:rsidRDefault="006B5C69" w:rsidP="006B5C69">
            <w:pPr>
              <w:tabs>
                <w:tab w:val="clear" w:pos="1378"/>
                <w:tab w:val="decimal" w:pos="1020"/>
              </w:tabs>
            </w:pPr>
            <w:r>
              <w:t>(2)</w:t>
            </w:r>
          </w:p>
        </w:tc>
      </w:tr>
      <w:tr w:rsidR="006F43C2" w:rsidRPr="00F30939" w14:paraId="0917AFB2" w14:textId="77777777" w:rsidTr="00F1580E">
        <w:trPr>
          <w:cantSplit/>
          <w:trHeight w:val="454"/>
        </w:trPr>
        <w:tc>
          <w:tcPr>
            <w:tcW w:w="6204" w:type="dxa"/>
          </w:tcPr>
          <w:p w14:paraId="693B34BE" w14:textId="1B77DDB6" w:rsidR="006F43C2" w:rsidRPr="00F4517F" w:rsidRDefault="006F43C2" w:rsidP="006B5C69">
            <w:r>
              <w:t>Impairment losses</w:t>
            </w:r>
          </w:p>
        </w:tc>
        <w:tc>
          <w:tcPr>
            <w:tcW w:w="1519" w:type="dxa"/>
          </w:tcPr>
          <w:p w14:paraId="1F63562F" w14:textId="399E9B1C" w:rsidR="006F43C2" w:rsidRPr="00F30939" w:rsidRDefault="006F43C2" w:rsidP="006B5C69">
            <w:pPr>
              <w:tabs>
                <w:tab w:val="clear" w:pos="1378"/>
                <w:tab w:val="decimal" w:pos="1020"/>
              </w:tabs>
            </w:pPr>
            <w:r>
              <w:t>(223)</w:t>
            </w:r>
          </w:p>
        </w:tc>
        <w:tc>
          <w:tcPr>
            <w:tcW w:w="1519" w:type="dxa"/>
          </w:tcPr>
          <w:p w14:paraId="40EE17E6" w14:textId="4F76AEE3" w:rsidR="006F43C2" w:rsidRDefault="006F43C2" w:rsidP="006B5C69">
            <w:pPr>
              <w:tabs>
                <w:tab w:val="clear" w:pos="1378"/>
                <w:tab w:val="decimal" w:pos="1020"/>
              </w:tabs>
            </w:pPr>
            <w:r>
              <w:t>-</w:t>
            </w:r>
          </w:p>
        </w:tc>
      </w:tr>
      <w:tr w:rsidR="006B5C69" w:rsidRPr="00F30939" w14:paraId="7B8719DA" w14:textId="77777777" w:rsidTr="00F1580E">
        <w:trPr>
          <w:cantSplit/>
          <w:trHeight w:val="454"/>
        </w:trPr>
        <w:tc>
          <w:tcPr>
            <w:tcW w:w="6204" w:type="dxa"/>
          </w:tcPr>
          <w:p w14:paraId="34B8759B" w14:textId="77777777" w:rsidR="006B5C69" w:rsidRPr="00F30939" w:rsidRDefault="006B5C69" w:rsidP="006B5C69">
            <w:r w:rsidRPr="00F4517F">
              <w:t>Administration, operational and other expenses</w:t>
            </w:r>
          </w:p>
        </w:tc>
        <w:tc>
          <w:tcPr>
            <w:tcW w:w="1519" w:type="dxa"/>
          </w:tcPr>
          <w:p w14:paraId="23847F1F" w14:textId="60840B13" w:rsidR="006B5C69" w:rsidRPr="00F30939" w:rsidRDefault="006F43C2" w:rsidP="006B5C69">
            <w:pPr>
              <w:tabs>
                <w:tab w:val="clear" w:pos="1378"/>
                <w:tab w:val="decimal" w:pos="1020"/>
              </w:tabs>
            </w:pPr>
            <w:r>
              <w:t>-</w:t>
            </w:r>
          </w:p>
        </w:tc>
        <w:tc>
          <w:tcPr>
            <w:tcW w:w="1519" w:type="dxa"/>
          </w:tcPr>
          <w:p w14:paraId="2D0D8A80" w14:textId="0FA3A754" w:rsidR="006B5C69" w:rsidRPr="00F30939" w:rsidRDefault="006B5C69" w:rsidP="006B5C69">
            <w:pPr>
              <w:tabs>
                <w:tab w:val="clear" w:pos="1378"/>
                <w:tab w:val="decimal" w:pos="1020"/>
              </w:tabs>
            </w:pPr>
            <w:r>
              <w:t>(62)</w:t>
            </w:r>
          </w:p>
        </w:tc>
      </w:tr>
      <w:tr w:rsidR="006B5C69" w:rsidRPr="00F30939" w14:paraId="246A9F54" w14:textId="77777777" w:rsidTr="00F1580E">
        <w:trPr>
          <w:cantSplit/>
          <w:trHeight w:val="454"/>
        </w:trPr>
        <w:tc>
          <w:tcPr>
            <w:tcW w:w="6204" w:type="dxa"/>
            <w:tcBorders>
              <w:bottom w:val="single" w:sz="4" w:space="0" w:color="auto"/>
            </w:tcBorders>
          </w:tcPr>
          <w:p w14:paraId="08F7B9BC" w14:textId="129CC5AF" w:rsidR="006B5C69" w:rsidRPr="00FA53C4" w:rsidRDefault="006B5C69" w:rsidP="006F43C2">
            <w:pPr>
              <w:rPr>
                <w:b/>
              </w:rPr>
            </w:pPr>
            <w:r w:rsidRPr="00FA53C4">
              <w:rPr>
                <w:b/>
              </w:rPr>
              <w:t xml:space="preserve">Total </w:t>
            </w:r>
            <w:r>
              <w:rPr>
                <w:b/>
              </w:rPr>
              <w:t xml:space="preserve">expenses </w:t>
            </w:r>
          </w:p>
        </w:tc>
        <w:tc>
          <w:tcPr>
            <w:tcW w:w="1519" w:type="dxa"/>
            <w:tcBorders>
              <w:bottom w:val="single" w:sz="4" w:space="0" w:color="auto"/>
            </w:tcBorders>
          </w:tcPr>
          <w:p w14:paraId="229D0663" w14:textId="296C17F4" w:rsidR="006B5C69" w:rsidRPr="00FA53C4" w:rsidRDefault="006F43C2" w:rsidP="006B5C69">
            <w:pPr>
              <w:tabs>
                <w:tab w:val="clear" w:pos="1378"/>
                <w:tab w:val="decimal" w:pos="1020"/>
              </w:tabs>
              <w:rPr>
                <w:b/>
              </w:rPr>
            </w:pPr>
            <w:r>
              <w:rPr>
                <w:b/>
              </w:rPr>
              <w:t>(108)</w:t>
            </w:r>
          </w:p>
        </w:tc>
        <w:tc>
          <w:tcPr>
            <w:tcW w:w="1519" w:type="dxa"/>
            <w:tcBorders>
              <w:bottom w:val="single" w:sz="4" w:space="0" w:color="auto"/>
            </w:tcBorders>
          </w:tcPr>
          <w:p w14:paraId="7D0ADA6E" w14:textId="67913F7A" w:rsidR="006B5C69" w:rsidRPr="00FA53C4" w:rsidRDefault="006B5C69" w:rsidP="006B5C69">
            <w:pPr>
              <w:tabs>
                <w:tab w:val="clear" w:pos="1378"/>
                <w:tab w:val="decimal" w:pos="1020"/>
              </w:tabs>
              <w:rPr>
                <w:b/>
              </w:rPr>
            </w:pPr>
            <w:r>
              <w:rPr>
                <w:b/>
              </w:rPr>
              <w:t>(64)</w:t>
            </w:r>
          </w:p>
        </w:tc>
      </w:tr>
      <w:tr w:rsidR="006B5C69" w:rsidRPr="00F30939" w14:paraId="74A52220" w14:textId="77777777" w:rsidTr="00F1580E">
        <w:trPr>
          <w:cantSplit/>
          <w:trHeight w:val="454"/>
        </w:trPr>
        <w:tc>
          <w:tcPr>
            <w:tcW w:w="6204" w:type="dxa"/>
            <w:tcBorders>
              <w:top w:val="single" w:sz="4" w:space="0" w:color="auto"/>
            </w:tcBorders>
          </w:tcPr>
          <w:p w14:paraId="296F2C9D" w14:textId="76EB7960" w:rsidR="006B5C69" w:rsidRPr="00FA53C4" w:rsidRDefault="00FB10DC" w:rsidP="006B5C69">
            <w:pPr>
              <w:rPr>
                <w:b/>
              </w:rPr>
            </w:pPr>
            <w:r>
              <w:rPr>
                <w:b/>
              </w:rPr>
              <w:t>Deficit</w:t>
            </w:r>
            <w:r w:rsidR="006B5C69" w:rsidRPr="00FA53C4">
              <w:rPr>
                <w:b/>
              </w:rPr>
              <w:t xml:space="preserve"> before income tax expense</w:t>
            </w:r>
          </w:p>
        </w:tc>
        <w:tc>
          <w:tcPr>
            <w:tcW w:w="1519" w:type="dxa"/>
            <w:tcBorders>
              <w:top w:val="single" w:sz="4" w:space="0" w:color="auto"/>
            </w:tcBorders>
          </w:tcPr>
          <w:p w14:paraId="290F475F" w14:textId="227ECAAB" w:rsidR="006B5C69" w:rsidRPr="00FA53C4" w:rsidRDefault="006F43C2" w:rsidP="006B5C69">
            <w:pPr>
              <w:tabs>
                <w:tab w:val="clear" w:pos="1378"/>
                <w:tab w:val="decimal" w:pos="1020"/>
              </w:tabs>
              <w:rPr>
                <w:b/>
              </w:rPr>
            </w:pPr>
            <w:r>
              <w:rPr>
                <w:b/>
              </w:rPr>
              <w:t>(108)</w:t>
            </w:r>
          </w:p>
        </w:tc>
        <w:tc>
          <w:tcPr>
            <w:tcW w:w="1519" w:type="dxa"/>
            <w:tcBorders>
              <w:top w:val="single" w:sz="4" w:space="0" w:color="auto"/>
            </w:tcBorders>
          </w:tcPr>
          <w:p w14:paraId="4A31D42A" w14:textId="25881EB4" w:rsidR="006B5C69" w:rsidRPr="00FA53C4" w:rsidRDefault="006B5C69" w:rsidP="006B5C69">
            <w:pPr>
              <w:tabs>
                <w:tab w:val="clear" w:pos="1378"/>
                <w:tab w:val="decimal" w:pos="1020"/>
              </w:tabs>
              <w:rPr>
                <w:b/>
              </w:rPr>
            </w:pPr>
            <w:r>
              <w:rPr>
                <w:b/>
              </w:rPr>
              <w:t>(64)</w:t>
            </w:r>
          </w:p>
        </w:tc>
      </w:tr>
      <w:tr w:rsidR="006B5C69" w:rsidRPr="00AD3933" w14:paraId="5C2EF7A0" w14:textId="77777777" w:rsidTr="00F1580E">
        <w:trPr>
          <w:cantSplit/>
          <w:trHeight w:val="454"/>
        </w:trPr>
        <w:tc>
          <w:tcPr>
            <w:tcW w:w="6204" w:type="dxa"/>
          </w:tcPr>
          <w:p w14:paraId="7E1B21C7" w14:textId="77777777" w:rsidR="006B5C69" w:rsidRPr="00AD3933" w:rsidRDefault="006B5C69" w:rsidP="006B5C69">
            <w:pPr>
              <w:rPr>
                <w:b/>
              </w:rPr>
            </w:pPr>
            <w:r>
              <w:t>Income t</w:t>
            </w:r>
            <w:r w:rsidRPr="009276BC">
              <w:t xml:space="preserve">ax </w:t>
            </w:r>
            <w:r>
              <w:t>e</w:t>
            </w:r>
            <w:r w:rsidRPr="009276BC">
              <w:t>xpense</w:t>
            </w:r>
          </w:p>
        </w:tc>
        <w:tc>
          <w:tcPr>
            <w:tcW w:w="1519" w:type="dxa"/>
          </w:tcPr>
          <w:p w14:paraId="71EBCEBE" w14:textId="73319592" w:rsidR="006B5C69" w:rsidRPr="0073130B" w:rsidRDefault="006F43C2" w:rsidP="006B5C69">
            <w:pPr>
              <w:tabs>
                <w:tab w:val="clear" w:pos="1378"/>
                <w:tab w:val="decimal" w:pos="1020"/>
              </w:tabs>
              <w:rPr>
                <w:b/>
              </w:rPr>
            </w:pPr>
            <w:r>
              <w:rPr>
                <w:b/>
              </w:rPr>
              <w:t>-</w:t>
            </w:r>
          </w:p>
        </w:tc>
        <w:tc>
          <w:tcPr>
            <w:tcW w:w="1519" w:type="dxa"/>
          </w:tcPr>
          <w:p w14:paraId="7E674E2C" w14:textId="34645D7A" w:rsidR="006B5C69" w:rsidRPr="0073130B" w:rsidRDefault="006B5C69" w:rsidP="006B5C69">
            <w:pPr>
              <w:tabs>
                <w:tab w:val="clear" w:pos="1378"/>
                <w:tab w:val="decimal" w:pos="1020"/>
              </w:tabs>
              <w:rPr>
                <w:b/>
              </w:rPr>
            </w:pPr>
            <w:r>
              <w:rPr>
                <w:b/>
              </w:rPr>
              <w:t>-</w:t>
            </w:r>
          </w:p>
        </w:tc>
      </w:tr>
      <w:tr w:rsidR="006B5C69" w:rsidRPr="007165BD" w14:paraId="68F06494" w14:textId="77777777" w:rsidTr="00F1580E">
        <w:trPr>
          <w:cantSplit/>
          <w:trHeight w:val="454"/>
        </w:trPr>
        <w:tc>
          <w:tcPr>
            <w:tcW w:w="6204" w:type="dxa"/>
            <w:tcBorders>
              <w:bottom w:val="single" w:sz="4" w:space="0" w:color="auto"/>
            </w:tcBorders>
          </w:tcPr>
          <w:p w14:paraId="10DEA8E4" w14:textId="054FFBA8" w:rsidR="006B5C69" w:rsidRPr="007165BD" w:rsidRDefault="00FB10DC" w:rsidP="006B5C69">
            <w:pPr>
              <w:rPr>
                <w:b/>
              </w:rPr>
            </w:pPr>
            <w:r>
              <w:rPr>
                <w:b/>
              </w:rPr>
              <w:t>Deficit</w:t>
            </w:r>
            <w:r w:rsidR="006B5C69" w:rsidRPr="00FA53C4">
              <w:rPr>
                <w:b/>
              </w:rPr>
              <w:t xml:space="preserve"> after income tax expense</w:t>
            </w:r>
          </w:p>
        </w:tc>
        <w:tc>
          <w:tcPr>
            <w:tcW w:w="1519" w:type="dxa"/>
            <w:tcBorders>
              <w:bottom w:val="single" w:sz="4" w:space="0" w:color="auto"/>
            </w:tcBorders>
          </w:tcPr>
          <w:p w14:paraId="4901FEA8" w14:textId="2916FE91" w:rsidR="006B5C69" w:rsidRPr="007165BD" w:rsidRDefault="006F43C2" w:rsidP="006B5C69">
            <w:pPr>
              <w:tabs>
                <w:tab w:val="clear" w:pos="1378"/>
                <w:tab w:val="decimal" w:pos="1020"/>
              </w:tabs>
              <w:rPr>
                <w:b/>
              </w:rPr>
            </w:pPr>
            <w:r>
              <w:rPr>
                <w:b/>
              </w:rPr>
              <w:t>(108)</w:t>
            </w:r>
          </w:p>
        </w:tc>
        <w:tc>
          <w:tcPr>
            <w:tcW w:w="1519" w:type="dxa"/>
            <w:tcBorders>
              <w:bottom w:val="single" w:sz="4" w:space="0" w:color="auto"/>
            </w:tcBorders>
          </w:tcPr>
          <w:p w14:paraId="6C9345F9" w14:textId="30BC6E66" w:rsidR="006B5C69" w:rsidRPr="007165BD" w:rsidRDefault="006B5C69" w:rsidP="006B5C69">
            <w:pPr>
              <w:tabs>
                <w:tab w:val="clear" w:pos="1378"/>
                <w:tab w:val="decimal" w:pos="1020"/>
              </w:tabs>
              <w:rPr>
                <w:b/>
              </w:rPr>
            </w:pPr>
            <w:r>
              <w:rPr>
                <w:b/>
              </w:rPr>
              <w:t>(64)</w:t>
            </w:r>
          </w:p>
        </w:tc>
      </w:tr>
    </w:tbl>
    <w:p w14:paraId="62055E59" w14:textId="77777777" w:rsidR="006B5C69" w:rsidRPr="00F30939" w:rsidRDefault="006B5C69" w:rsidP="006B5C69"/>
    <w:p w14:paraId="0301775E" w14:textId="77777777" w:rsidR="006B5C69" w:rsidRPr="00F30939" w:rsidRDefault="006B5C69" w:rsidP="006B5C69">
      <w:pPr>
        <w:pStyle w:val="Heading1-continued"/>
      </w:pPr>
      <w:r>
        <w:t>CDU Amenities Limited</w:t>
      </w:r>
      <w:r w:rsidRPr="00F30939">
        <w:t xml:space="preserve"> cont…</w:t>
      </w:r>
    </w:p>
    <w:p w14:paraId="6A4D0E5D" w14:textId="77777777" w:rsidR="006B5C69" w:rsidRPr="00F30939" w:rsidRDefault="006B5C69" w:rsidP="006B5C69">
      <w:pPr>
        <w:pStyle w:val="Heading2"/>
      </w:pPr>
      <w:r w:rsidRPr="00F30939">
        <w:t>Financial Position at year end</w:t>
      </w:r>
    </w:p>
    <w:tbl>
      <w:tblPr>
        <w:tblW w:w="9100" w:type="dxa"/>
        <w:tblLayout w:type="fixed"/>
        <w:tblLook w:val="04A0" w:firstRow="1" w:lastRow="0" w:firstColumn="1" w:lastColumn="0" w:noHBand="0" w:noVBand="1"/>
        <w:tblCaption w:val="Financial Position at year end"/>
        <w:tblDescription w:val="Financial position information for the current and prior year&#10;"/>
      </w:tblPr>
      <w:tblGrid>
        <w:gridCol w:w="6062"/>
        <w:gridCol w:w="1519"/>
        <w:gridCol w:w="1519"/>
      </w:tblGrid>
      <w:tr w:rsidR="006B5C69" w:rsidRPr="00F30939" w14:paraId="662FCFB9" w14:textId="77777777" w:rsidTr="00F1580E">
        <w:trPr>
          <w:cantSplit/>
          <w:trHeight w:val="454"/>
          <w:tblHeader/>
        </w:trPr>
        <w:tc>
          <w:tcPr>
            <w:tcW w:w="6062" w:type="dxa"/>
            <w:tcBorders>
              <w:bottom w:val="single" w:sz="4" w:space="0" w:color="auto"/>
            </w:tcBorders>
          </w:tcPr>
          <w:p w14:paraId="292CEEFD" w14:textId="77777777" w:rsidR="006B5C69" w:rsidRPr="00F30939" w:rsidRDefault="006B5C69" w:rsidP="00F1580E"/>
        </w:tc>
        <w:tc>
          <w:tcPr>
            <w:tcW w:w="1519" w:type="dxa"/>
            <w:tcBorders>
              <w:bottom w:val="single" w:sz="4" w:space="0" w:color="auto"/>
            </w:tcBorders>
          </w:tcPr>
          <w:p w14:paraId="3BD92B4A" w14:textId="0258423B" w:rsidR="006B5C69" w:rsidRPr="007165BD" w:rsidRDefault="006B5C69" w:rsidP="00F1580E">
            <w:pPr>
              <w:jc w:val="center"/>
              <w:rPr>
                <w:b/>
              </w:rPr>
            </w:pPr>
            <w:r>
              <w:rPr>
                <w:b/>
              </w:rPr>
              <w:t>2020</w:t>
            </w:r>
          </w:p>
        </w:tc>
        <w:tc>
          <w:tcPr>
            <w:tcW w:w="1519" w:type="dxa"/>
            <w:tcBorders>
              <w:bottom w:val="single" w:sz="4" w:space="0" w:color="auto"/>
            </w:tcBorders>
          </w:tcPr>
          <w:p w14:paraId="155E8562" w14:textId="1DF87B86" w:rsidR="006B5C69" w:rsidRPr="007165BD" w:rsidRDefault="006B5C69" w:rsidP="00F1580E">
            <w:pPr>
              <w:jc w:val="center"/>
              <w:rPr>
                <w:b/>
              </w:rPr>
            </w:pPr>
            <w:r>
              <w:rPr>
                <w:b/>
              </w:rPr>
              <w:t>2019</w:t>
            </w:r>
          </w:p>
        </w:tc>
      </w:tr>
      <w:tr w:rsidR="006B5C69" w:rsidRPr="00F30939" w14:paraId="3910CE43" w14:textId="77777777" w:rsidTr="00F1580E">
        <w:trPr>
          <w:cantSplit/>
          <w:trHeight w:val="454"/>
          <w:tblHeader/>
        </w:trPr>
        <w:tc>
          <w:tcPr>
            <w:tcW w:w="6062" w:type="dxa"/>
            <w:tcBorders>
              <w:top w:val="single" w:sz="4" w:space="0" w:color="auto"/>
            </w:tcBorders>
          </w:tcPr>
          <w:p w14:paraId="5340E537" w14:textId="77777777" w:rsidR="006B5C69" w:rsidRPr="00F30939" w:rsidRDefault="006B5C69" w:rsidP="00F1580E"/>
        </w:tc>
        <w:tc>
          <w:tcPr>
            <w:tcW w:w="1519" w:type="dxa"/>
            <w:tcBorders>
              <w:top w:val="single" w:sz="4" w:space="0" w:color="auto"/>
            </w:tcBorders>
          </w:tcPr>
          <w:p w14:paraId="7BA6563A" w14:textId="77777777" w:rsidR="006B5C69" w:rsidRPr="007165BD" w:rsidRDefault="006B5C69" w:rsidP="00F1580E">
            <w:pPr>
              <w:jc w:val="center"/>
              <w:rPr>
                <w:b/>
              </w:rPr>
            </w:pPr>
            <w:r w:rsidRPr="007165BD">
              <w:rPr>
                <w:b/>
              </w:rPr>
              <w:t>$’000</w:t>
            </w:r>
          </w:p>
        </w:tc>
        <w:tc>
          <w:tcPr>
            <w:tcW w:w="1519" w:type="dxa"/>
            <w:tcBorders>
              <w:top w:val="single" w:sz="4" w:space="0" w:color="auto"/>
            </w:tcBorders>
          </w:tcPr>
          <w:p w14:paraId="3746FAD0" w14:textId="77777777" w:rsidR="006B5C69" w:rsidRPr="007165BD" w:rsidRDefault="006B5C69" w:rsidP="00F1580E">
            <w:pPr>
              <w:jc w:val="center"/>
              <w:rPr>
                <w:b/>
              </w:rPr>
            </w:pPr>
            <w:r w:rsidRPr="007165BD">
              <w:rPr>
                <w:b/>
              </w:rPr>
              <w:t>$’000</w:t>
            </w:r>
          </w:p>
        </w:tc>
      </w:tr>
      <w:tr w:rsidR="006B5C69" w:rsidRPr="00F30939" w14:paraId="1D77F7C6" w14:textId="77777777" w:rsidTr="00F1580E">
        <w:trPr>
          <w:cantSplit/>
          <w:trHeight w:val="454"/>
        </w:trPr>
        <w:tc>
          <w:tcPr>
            <w:tcW w:w="6062" w:type="dxa"/>
          </w:tcPr>
          <w:p w14:paraId="54C5ABDE" w14:textId="77777777" w:rsidR="006B5C69" w:rsidRPr="00F30939" w:rsidRDefault="006B5C69" w:rsidP="006B5C69">
            <w:r w:rsidRPr="00F30939">
              <w:t>Cash and cash equivalents</w:t>
            </w:r>
          </w:p>
        </w:tc>
        <w:tc>
          <w:tcPr>
            <w:tcW w:w="1519" w:type="dxa"/>
          </w:tcPr>
          <w:p w14:paraId="3E5F4116" w14:textId="1DFA07D5" w:rsidR="006B5C69" w:rsidRPr="00F30939" w:rsidRDefault="006F43C2" w:rsidP="006B5C69">
            <w:pPr>
              <w:tabs>
                <w:tab w:val="clear" w:pos="1378"/>
                <w:tab w:val="decimal" w:pos="1020"/>
              </w:tabs>
            </w:pPr>
            <w:r>
              <w:t>-</w:t>
            </w:r>
          </w:p>
        </w:tc>
        <w:tc>
          <w:tcPr>
            <w:tcW w:w="1519" w:type="dxa"/>
          </w:tcPr>
          <w:p w14:paraId="6750AFDF" w14:textId="57CB7CEF" w:rsidR="006B5C69" w:rsidRPr="00F30939" w:rsidRDefault="006B5C69" w:rsidP="006B5C69">
            <w:pPr>
              <w:tabs>
                <w:tab w:val="clear" w:pos="1378"/>
                <w:tab w:val="decimal" w:pos="1020"/>
              </w:tabs>
            </w:pPr>
            <w:r>
              <w:t>-</w:t>
            </w:r>
          </w:p>
        </w:tc>
      </w:tr>
      <w:tr w:rsidR="006B5C69" w:rsidRPr="00F30939" w14:paraId="46EAA0DE" w14:textId="77777777" w:rsidTr="00F1580E">
        <w:trPr>
          <w:cantSplit/>
          <w:trHeight w:val="454"/>
        </w:trPr>
        <w:tc>
          <w:tcPr>
            <w:tcW w:w="6062" w:type="dxa"/>
          </w:tcPr>
          <w:p w14:paraId="1E6920C7" w14:textId="77777777" w:rsidR="006B5C69" w:rsidRPr="00F30939" w:rsidRDefault="006B5C69" w:rsidP="006B5C69">
            <w:r w:rsidRPr="00F30939">
              <w:t>Receivables and other current assets</w:t>
            </w:r>
          </w:p>
        </w:tc>
        <w:tc>
          <w:tcPr>
            <w:tcW w:w="1519" w:type="dxa"/>
          </w:tcPr>
          <w:p w14:paraId="421B2E76" w14:textId="00040D40" w:rsidR="006B5C69" w:rsidRPr="00F30939" w:rsidRDefault="006F43C2" w:rsidP="006B5C69">
            <w:pPr>
              <w:tabs>
                <w:tab w:val="clear" w:pos="1378"/>
                <w:tab w:val="decimal" w:pos="1020"/>
              </w:tabs>
            </w:pPr>
            <w:r>
              <w:t>-</w:t>
            </w:r>
          </w:p>
        </w:tc>
        <w:tc>
          <w:tcPr>
            <w:tcW w:w="1519" w:type="dxa"/>
          </w:tcPr>
          <w:p w14:paraId="27D2393D" w14:textId="639F7B13" w:rsidR="006B5C69" w:rsidRPr="00F30939" w:rsidRDefault="006B5C69" w:rsidP="006B5C69">
            <w:pPr>
              <w:tabs>
                <w:tab w:val="clear" w:pos="1378"/>
                <w:tab w:val="decimal" w:pos="1020"/>
              </w:tabs>
            </w:pPr>
            <w:r>
              <w:t>1,271</w:t>
            </w:r>
          </w:p>
        </w:tc>
      </w:tr>
      <w:tr w:rsidR="006B5C69" w:rsidRPr="00F30939" w14:paraId="0FE9DA67" w14:textId="77777777" w:rsidTr="00F1580E">
        <w:trPr>
          <w:cantSplit/>
          <w:trHeight w:val="454"/>
        </w:trPr>
        <w:tc>
          <w:tcPr>
            <w:tcW w:w="6062" w:type="dxa"/>
          </w:tcPr>
          <w:p w14:paraId="322A37F8" w14:textId="77777777" w:rsidR="006B5C69" w:rsidRPr="00F30939" w:rsidRDefault="006B5C69" w:rsidP="006B5C69">
            <w:r w:rsidRPr="00F30939">
              <w:t>Less current liabilities</w:t>
            </w:r>
          </w:p>
        </w:tc>
        <w:tc>
          <w:tcPr>
            <w:tcW w:w="1519" w:type="dxa"/>
          </w:tcPr>
          <w:p w14:paraId="18B1FE56" w14:textId="2B3B4C37" w:rsidR="006B5C69" w:rsidRPr="00F30939" w:rsidRDefault="006F43C2" w:rsidP="006B5C69">
            <w:pPr>
              <w:tabs>
                <w:tab w:val="clear" w:pos="1378"/>
                <w:tab w:val="decimal" w:pos="1020"/>
              </w:tabs>
            </w:pPr>
            <w:r>
              <w:t>-</w:t>
            </w:r>
          </w:p>
        </w:tc>
        <w:tc>
          <w:tcPr>
            <w:tcW w:w="1519" w:type="dxa"/>
          </w:tcPr>
          <w:p w14:paraId="7F76E987" w14:textId="7FAE636D" w:rsidR="006B5C69" w:rsidRPr="00F30939" w:rsidRDefault="006B5C69" w:rsidP="006B5C69">
            <w:pPr>
              <w:tabs>
                <w:tab w:val="clear" w:pos="1378"/>
                <w:tab w:val="decimal" w:pos="1020"/>
              </w:tabs>
            </w:pPr>
            <w:r>
              <w:t>(1,163)</w:t>
            </w:r>
          </w:p>
        </w:tc>
      </w:tr>
      <w:tr w:rsidR="006B5C69" w:rsidRPr="007165BD" w14:paraId="45286CA1" w14:textId="77777777" w:rsidTr="00F1580E">
        <w:trPr>
          <w:cantSplit/>
          <w:trHeight w:val="454"/>
        </w:trPr>
        <w:tc>
          <w:tcPr>
            <w:tcW w:w="6062" w:type="dxa"/>
            <w:tcBorders>
              <w:bottom w:val="single" w:sz="4" w:space="0" w:color="auto"/>
            </w:tcBorders>
          </w:tcPr>
          <w:p w14:paraId="196C6CB9" w14:textId="77777777" w:rsidR="006B5C69" w:rsidRPr="007165BD" w:rsidRDefault="006B5C69" w:rsidP="006B5C69">
            <w:pPr>
              <w:rPr>
                <w:b/>
              </w:rPr>
            </w:pPr>
            <w:r w:rsidRPr="007165BD">
              <w:rPr>
                <w:b/>
              </w:rPr>
              <w:t xml:space="preserve">Working </w:t>
            </w:r>
            <w:r>
              <w:rPr>
                <w:b/>
              </w:rPr>
              <w:t>c</w:t>
            </w:r>
            <w:r w:rsidRPr="007165BD">
              <w:rPr>
                <w:b/>
              </w:rPr>
              <w:t>apital</w:t>
            </w:r>
          </w:p>
        </w:tc>
        <w:tc>
          <w:tcPr>
            <w:tcW w:w="1519" w:type="dxa"/>
            <w:tcBorders>
              <w:bottom w:val="single" w:sz="4" w:space="0" w:color="auto"/>
            </w:tcBorders>
          </w:tcPr>
          <w:p w14:paraId="6F93BDBC" w14:textId="2216D832" w:rsidR="006B5C69" w:rsidRPr="007165BD" w:rsidRDefault="006F43C2" w:rsidP="006B5C69">
            <w:pPr>
              <w:tabs>
                <w:tab w:val="clear" w:pos="1378"/>
                <w:tab w:val="decimal" w:pos="1020"/>
              </w:tabs>
              <w:rPr>
                <w:b/>
              </w:rPr>
            </w:pPr>
            <w:r>
              <w:rPr>
                <w:b/>
              </w:rPr>
              <w:t>-</w:t>
            </w:r>
          </w:p>
        </w:tc>
        <w:tc>
          <w:tcPr>
            <w:tcW w:w="1519" w:type="dxa"/>
            <w:tcBorders>
              <w:bottom w:val="single" w:sz="4" w:space="0" w:color="auto"/>
            </w:tcBorders>
          </w:tcPr>
          <w:p w14:paraId="11E2CEE9" w14:textId="2843CAF3" w:rsidR="006B5C69" w:rsidRPr="007165BD" w:rsidRDefault="006B5C69" w:rsidP="006B5C69">
            <w:pPr>
              <w:tabs>
                <w:tab w:val="clear" w:pos="1378"/>
                <w:tab w:val="decimal" w:pos="1020"/>
              </w:tabs>
              <w:rPr>
                <w:b/>
              </w:rPr>
            </w:pPr>
            <w:r>
              <w:rPr>
                <w:b/>
              </w:rPr>
              <w:t>108</w:t>
            </w:r>
          </w:p>
        </w:tc>
      </w:tr>
      <w:tr w:rsidR="006B5C69" w:rsidRPr="00F30939" w14:paraId="419F741B" w14:textId="77777777" w:rsidTr="00F1580E">
        <w:trPr>
          <w:cantSplit/>
          <w:trHeight w:val="454"/>
        </w:trPr>
        <w:tc>
          <w:tcPr>
            <w:tcW w:w="6062" w:type="dxa"/>
          </w:tcPr>
          <w:p w14:paraId="3ADC27DE" w14:textId="77777777" w:rsidR="006B5C69" w:rsidRPr="00F30939" w:rsidRDefault="006B5C69" w:rsidP="006B5C69">
            <w:r w:rsidRPr="00F30939">
              <w:t>Add non-current assets</w:t>
            </w:r>
          </w:p>
        </w:tc>
        <w:tc>
          <w:tcPr>
            <w:tcW w:w="1519" w:type="dxa"/>
          </w:tcPr>
          <w:p w14:paraId="2AF23F26" w14:textId="3FC7C063" w:rsidR="006B5C69" w:rsidRPr="00F30939" w:rsidRDefault="006F43C2" w:rsidP="006B5C69">
            <w:pPr>
              <w:tabs>
                <w:tab w:val="clear" w:pos="1378"/>
                <w:tab w:val="decimal" w:pos="1020"/>
              </w:tabs>
            </w:pPr>
            <w:r>
              <w:t>-</w:t>
            </w:r>
          </w:p>
        </w:tc>
        <w:tc>
          <w:tcPr>
            <w:tcW w:w="1519" w:type="dxa"/>
          </w:tcPr>
          <w:p w14:paraId="2A6D63EE" w14:textId="299053E9" w:rsidR="006B5C69" w:rsidRPr="00F30939" w:rsidRDefault="006B5C69" w:rsidP="006B5C69">
            <w:pPr>
              <w:tabs>
                <w:tab w:val="clear" w:pos="1378"/>
                <w:tab w:val="decimal" w:pos="1020"/>
              </w:tabs>
            </w:pPr>
            <w:r>
              <w:t>-</w:t>
            </w:r>
          </w:p>
        </w:tc>
      </w:tr>
      <w:tr w:rsidR="006B5C69" w:rsidRPr="00F30939" w14:paraId="29F33024" w14:textId="77777777" w:rsidTr="00F1580E">
        <w:trPr>
          <w:cantSplit/>
          <w:trHeight w:val="454"/>
        </w:trPr>
        <w:tc>
          <w:tcPr>
            <w:tcW w:w="6062" w:type="dxa"/>
          </w:tcPr>
          <w:p w14:paraId="1D361710" w14:textId="77777777" w:rsidR="006B5C69" w:rsidRPr="00F30939" w:rsidRDefault="006B5C69" w:rsidP="006B5C69">
            <w:r w:rsidRPr="00F30939">
              <w:t>Less non-current liabilities</w:t>
            </w:r>
          </w:p>
        </w:tc>
        <w:tc>
          <w:tcPr>
            <w:tcW w:w="1519" w:type="dxa"/>
          </w:tcPr>
          <w:p w14:paraId="3F1F7FD4" w14:textId="170F13F8" w:rsidR="006B5C69" w:rsidRPr="00F30939" w:rsidRDefault="006F43C2" w:rsidP="006B5C69">
            <w:pPr>
              <w:tabs>
                <w:tab w:val="clear" w:pos="1378"/>
                <w:tab w:val="decimal" w:pos="1020"/>
              </w:tabs>
            </w:pPr>
            <w:r>
              <w:t>-</w:t>
            </w:r>
          </w:p>
        </w:tc>
        <w:tc>
          <w:tcPr>
            <w:tcW w:w="1519" w:type="dxa"/>
          </w:tcPr>
          <w:p w14:paraId="3677B8A4" w14:textId="2D8338BB" w:rsidR="006B5C69" w:rsidRPr="00F30939" w:rsidRDefault="006B5C69" w:rsidP="006B5C69">
            <w:pPr>
              <w:tabs>
                <w:tab w:val="clear" w:pos="1378"/>
                <w:tab w:val="decimal" w:pos="1020"/>
              </w:tabs>
            </w:pPr>
            <w:r>
              <w:t>-</w:t>
            </w:r>
          </w:p>
        </w:tc>
      </w:tr>
      <w:tr w:rsidR="006B5C69" w:rsidRPr="007165BD" w14:paraId="5151FB34" w14:textId="77777777" w:rsidTr="00F1580E">
        <w:trPr>
          <w:cantSplit/>
          <w:trHeight w:val="454"/>
        </w:trPr>
        <w:tc>
          <w:tcPr>
            <w:tcW w:w="6062" w:type="dxa"/>
            <w:tcBorders>
              <w:bottom w:val="single" w:sz="4" w:space="0" w:color="auto"/>
            </w:tcBorders>
          </w:tcPr>
          <w:p w14:paraId="718A9045" w14:textId="77777777" w:rsidR="006B5C69" w:rsidRPr="007165BD" w:rsidRDefault="006B5C69" w:rsidP="006B5C69">
            <w:pPr>
              <w:rPr>
                <w:b/>
              </w:rPr>
            </w:pPr>
            <w:r w:rsidRPr="007165BD">
              <w:rPr>
                <w:b/>
              </w:rPr>
              <w:t xml:space="preserve">Net </w:t>
            </w:r>
            <w:r>
              <w:rPr>
                <w:b/>
              </w:rPr>
              <w:t>a</w:t>
            </w:r>
            <w:r w:rsidRPr="007165BD">
              <w:rPr>
                <w:b/>
              </w:rPr>
              <w:t>ssets</w:t>
            </w:r>
          </w:p>
        </w:tc>
        <w:tc>
          <w:tcPr>
            <w:tcW w:w="1519" w:type="dxa"/>
            <w:tcBorders>
              <w:bottom w:val="single" w:sz="4" w:space="0" w:color="auto"/>
            </w:tcBorders>
          </w:tcPr>
          <w:p w14:paraId="6BCD93EF" w14:textId="3832BC5B" w:rsidR="006B5C69" w:rsidRPr="007165BD" w:rsidRDefault="006F43C2" w:rsidP="006B5C69">
            <w:pPr>
              <w:tabs>
                <w:tab w:val="clear" w:pos="1378"/>
                <w:tab w:val="decimal" w:pos="1020"/>
              </w:tabs>
              <w:rPr>
                <w:b/>
              </w:rPr>
            </w:pPr>
            <w:r>
              <w:rPr>
                <w:b/>
              </w:rPr>
              <w:t>-</w:t>
            </w:r>
          </w:p>
        </w:tc>
        <w:tc>
          <w:tcPr>
            <w:tcW w:w="1519" w:type="dxa"/>
            <w:tcBorders>
              <w:bottom w:val="single" w:sz="4" w:space="0" w:color="auto"/>
            </w:tcBorders>
          </w:tcPr>
          <w:p w14:paraId="48B1352E" w14:textId="6D37A737" w:rsidR="006B5C69" w:rsidRPr="007165BD" w:rsidRDefault="006B5C69" w:rsidP="006B5C69">
            <w:pPr>
              <w:tabs>
                <w:tab w:val="clear" w:pos="1378"/>
                <w:tab w:val="decimal" w:pos="1020"/>
              </w:tabs>
              <w:rPr>
                <w:b/>
              </w:rPr>
            </w:pPr>
            <w:r>
              <w:rPr>
                <w:b/>
              </w:rPr>
              <w:t>108</w:t>
            </w:r>
          </w:p>
        </w:tc>
      </w:tr>
      <w:tr w:rsidR="006B5C69" w:rsidRPr="00F30939" w14:paraId="71C6E068" w14:textId="77777777" w:rsidTr="00F1580E">
        <w:trPr>
          <w:cantSplit/>
          <w:trHeight w:val="454"/>
        </w:trPr>
        <w:tc>
          <w:tcPr>
            <w:tcW w:w="6062" w:type="dxa"/>
            <w:tcBorders>
              <w:top w:val="single" w:sz="4" w:space="0" w:color="auto"/>
            </w:tcBorders>
          </w:tcPr>
          <w:p w14:paraId="511EDD65" w14:textId="77777777" w:rsidR="006B5C69" w:rsidRPr="00F30939" w:rsidRDefault="006B5C69" w:rsidP="006B5C69">
            <w:r w:rsidRPr="00F30939">
              <w:t>Represented by:</w:t>
            </w:r>
          </w:p>
        </w:tc>
        <w:tc>
          <w:tcPr>
            <w:tcW w:w="1519" w:type="dxa"/>
            <w:tcBorders>
              <w:top w:val="single" w:sz="4" w:space="0" w:color="auto"/>
            </w:tcBorders>
          </w:tcPr>
          <w:p w14:paraId="28204DED" w14:textId="77777777" w:rsidR="006B5C69" w:rsidRPr="00F30939" w:rsidRDefault="006B5C69" w:rsidP="006B5C69">
            <w:pPr>
              <w:tabs>
                <w:tab w:val="clear" w:pos="1378"/>
                <w:tab w:val="decimal" w:pos="1020"/>
              </w:tabs>
            </w:pPr>
          </w:p>
        </w:tc>
        <w:tc>
          <w:tcPr>
            <w:tcW w:w="1519" w:type="dxa"/>
            <w:tcBorders>
              <w:top w:val="single" w:sz="4" w:space="0" w:color="auto"/>
            </w:tcBorders>
          </w:tcPr>
          <w:p w14:paraId="7A5A3597" w14:textId="77777777" w:rsidR="006B5C69" w:rsidRPr="00F30939" w:rsidRDefault="006B5C69" w:rsidP="006B5C69">
            <w:pPr>
              <w:tabs>
                <w:tab w:val="clear" w:pos="1378"/>
                <w:tab w:val="decimal" w:pos="1020"/>
              </w:tabs>
            </w:pPr>
          </w:p>
        </w:tc>
      </w:tr>
      <w:tr w:rsidR="006B5C69" w:rsidRPr="00F30939" w14:paraId="19C9FDDE" w14:textId="77777777" w:rsidTr="00F1580E">
        <w:trPr>
          <w:cantSplit/>
          <w:trHeight w:val="454"/>
        </w:trPr>
        <w:tc>
          <w:tcPr>
            <w:tcW w:w="6062" w:type="dxa"/>
          </w:tcPr>
          <w:p w14:paraId="759BEE0A" w14:textId="77777777" w:rsidR="006B5C69" w:rsidRPr="00F30939" w:rsidRDefault="006B5C69" w:rsidP="006B5C69">
            <w:r w:rsidRPr="00F30939">
              <w:t xml:space="preserve">Accumulated </w:t>
            </w:r>
            <w:r>
              <w:t>funds</w:t>
            </w:r>
          </w:p>
        </w:tc>
        <w:tc>
          <w:tcPr>
            <w:tcW w:w="1519" w:type="dxa"/>
          </w:tcPr>
          <w:p w14:paraId="7A07E400" w14:textId="2448CD1A" w:rsidR="006B5C69" w:rsidRPr="00F30939" w:rsidRDefault="006F43C2" w:rsidP="006B5C69">
            <w:pPr>
              <w:tabs>
                <w:tab w:val="clear" w:pos="1378"/>
                <w:tab w:val="decimal" w:pos="1020"/>
              </w:tabs>
            </w:pPr>
            <w:r>
              <w:t>-</w:t>
            </w:r>
          </w:p>
        </w:tc>
        <w:tc>
          <w:tcPr>
            <w:tcW w:w="1519" w:type="dxa"/>
          </w:tcPr>
          <w:p w14:paraId="1BC2C345" w14:textId="03F79B8F" w:rsidR="006B5C69" w:rsidRPr="00F30939" w:rsidRDefault="006B5C69" w:rsidP="006B5C69">
            <w:pPr>
              <w:tabs>
                <w:tab w:val="clear" w:pos="1378"/>
                <w:tab w:val="decimal" w:pos="1020"/>
              </w:tabs>
            </w:pPr>
            <w:r>
              <w:t>108</w:t>
            </w:r>
          </w:p>
        </w:tc>
      </w:tr>
      <w:tr w:rsidR="006B5C69" w:rsidRPr="00F30939" w14:paraId="30453F9B" w14:textId="77777777" w:rsidTr="00F1580E">
        <w:trPr>
          <w:cantSplit/>
          <w:trHeight w:val="454"/>
        </w:trPr>
        <w:tc>
          <w:tcPr>
            <w:tcW w:w="6062" w:type="dxa"/>
            <w:tcBorders>
              <w:bottom w:val="single" w:sz="4" w:space="0" w:color="auto"/>
            </w:tcBorders>
          </w:tcPr>
          <w:p w14:paraId="751CF248" w14:textId="77777777" w:rsidR="006B5C69" w:rsidRPr="00B57E94" w:rsidRDefault="006B5C69" w:rsidP="006B5C69">
            <w:pPr>
              <w:rPr>
                <w:b/>
              </w:rPr>
            </w:pPr>
            <w:r w:rsidRPr="007165BD">
              <w:rPr>
                <w:b/>
              </w:rPr>
              <w:t>Equity</w:t>
            </w:r>
          </w:p>
        </w:tc>
        <w:tc>
          <w:tcPr>
            <w:tcW w:w="1519" w:type="dxa"/>
            <w:tcBorders>
              <w:bottom w:val="single" w:sz="4" w:space="0" w:color="auto"/>
            </w:tcBorders>
          </w:tcPr>
          <w:p w14:paraId="72879CAE" w14:textId="1E19DA6C" w:rsidR="006B5C69" w:rsidRPr="00B57E94" w:rsidRDefault="006F43C2" w:rsidP="006B5C69">
            <w:pPr>
              <w:tabs>
                <w:tab w:val="clear" w:pos="1378"/>
                <w:tab w:val="decimal" w:pos="1020"/>
              </w:tabs>
              <w:rPr>
                <w:b/>
              </w:rPr>
            </w:pPr>
            <w:r>
              <w:rPr>
                <w:b/>
              </w:rPr>
              <w:t>-</w:t>
            </w:r>
          </w:p>
        </w:tc>
        <w:tc>
          <w:tcPr>
            <w:tcW w:w="1519" w:type="dxa"/>
            <w:tcBorders>
              <w:bottom w:val="single" w:sz="4" w:space="0" w:color="auto"/>
            </w:tcBorders>
          </w:tcPr>
          <w:p w14:paraId="5792A809" w14:textId="174976E2" w:rsidR="006B5C69" w:rsidRPr="00B57E94" w:rsidRDefault="006B5C69" w:rsidP="006B5C69">
            <w:pPr>
              <w:tabs>
                <w:tab w:val="clear" w:pos="1378"/>
                <w:tab w:val="decimal" w:pos="1020"/>
              </w:tabs>
              <w:rPr>
                <w:b/>
              </w:rPr>
            </w:pPr>
            <w:r>
              <w:rPr>
                <w:b/>
              </w:rPr>
              <w:t>108</w:t>
            </w:r>
          </w:p>
        </w:tc>
      </w:tr>
    </w:tbl>
    <w:p w14:paraId="6BA5EB15" w14:textId="77777777" w:rsidR="006B5C69" w:rsidRPr="00F30939" w:rsidRDefault="006B5C69" w:rsidP="006B5C69"/>
    <w:p w14:paraId="0C91B2ED" w14:textId="77777777" w:rsidR="006B5C69" w:rsidRPr="000D515D" w:rsidRDefault="006B5C69" w:rsidP="006B5C69">
      <w:pPr>
        <w:pStyle w:val="Heading1"/>
      </w:pPr>
      <w:bookmarkStart w:id="16" w:name="_Ref34309266"/>
      <w:r>
        <w:t>Charles Darwin University Foundation</w:t>
      </w:r>
      <w:bookmarkEnd w:id="16"/>
    </w:p>
    <w:p w14:paraId="4C89EBD7" w14:textId="564562CC" w:rsidR="006B5C69" w:rsidRPr="000D515D" w:rsidRDefault="006B5C69" w:rsidP="006B5C69">
      <w:pPr>
        <w:pStyle w:val="Heading2"/>
      </w:pPr>
      <w:bookmarkStart w:id="17" w:name="_Ref34309462"/>
      <w:r w:rsidRPr="000D515D">
        <w:t xml:space="preserve">Audit Findings and Analysis of the Financial Statements for the Year Ended </w:t>
      </w:r>
      <w:r w:rsidR="00F1580E">
        <w:t>31 December 2020</w:t>
      </w:r>
      <w:bookmarkEnd w:id="17"/>
    </w:p>
    <w:p w14:paraId="6229645B" w14:textId="77777777" w:rsidR="006B5C69" w:rsidRPr="00F30939" w:rsidRDefault="006B5C69" w:rsidP="006B5C69">
      <w:pPr>
        <w:pStyle w:val="Heading3"/>
      </w:pPr>
      <w:r>
        <w:t>Background</w:t>
      </w:r>
    </w:p>
    <w:p w14:paraId="68FBDB4F" w14:textId="77777777" w:rsidR="006B5C69" w:rsidRPr="00F43A94" w:rsidRDefault="006B5C69" w:rsidP="006B5C69">
      <w:r w:rsidRPr="00F43A94">
        <w:t>The Charles Darwin University Foundation (the Foundation) is a company limited by guarantee that acts as trustee of the Charles Darwin University Foundation Trust (the Trust). The Foundation incurs liabilities on behalf of the Trust and discharges those liabilities out of the assets of the Trust.</w:t>
      </w:r>
    </w:p>
    <w:p w14:paraId="21196741" w14:textId="77777777" w:rsidR="006B5C69" w:rsidRPr="00F43A94" w:rsidRDefault="006B5C69" w:rsidP="006B5C69">
      <w:r w:rsidRPr="00F43A94">
        <w:t xml:space="preserve">The Foundation and the Trust were established as the fundraising arm of Charles Darwin University (the University) and both are controlled entities of the University within the meaning of section 41 of the </w:t>
      </w:r>
      <w:r w:rsidRPr="00F43A94">
        <w:rPr>
          <w:i/>
        </w:rPr>
        <w:t>Charles Darwin University Act 2003</w:t>
      </w:r>
      <w:r w:rsidRPr="00F43A94">
        <w:t>.</w:t>
      </w:r>
    </w:p>
    <w:p w14:paraId="669ADE43" w14:textId="77777777" w:rsidR="006B5C69" w:rsidRPr="00F43A94" w:rsidRDefault="006B5C69" w:rsidP="006B5C69">
      <w:r w:rsidRPr="00F43A94">
        <w:t>The purpose of the Foundation is to enhance the relationship between the University and the wider Northern Territory community, and to raise funds for the University. In pursuit of this objective, the Foundation seeks donations and other contributions while also providing assurance to donors that bequests and donations will be applied in accordance with the wishes of the testator or donor.</w:t>
      </w:r>
    </w:p>
    <w:p w14:paraId="5E4D8C46" w14:textId="77777777" w:rsidR="006B5C69" w:rsidRPr="00F43A94" w:rsidRDefault="006B5C69" w:rsidP="006B5C69">
      <w:pPr>
        <w:pStyle w:val="Heading3"/>
      </w:pPr>
      <w:r w:rsidRPr="00F43A94">
        <w:t>Scope and Objectives</w:t>
      </w:r>
    </w:p>
    <w:p w14:paraId="600B54C3" w14:textId="06D445FF" w:rsidR="006B5C69" w:rsidRPr="00F43A94" w:rsidRDefault="006B5C69" w:rsidP="006B5C69">
      <w:r w:rsidRPr="00F43A94">
        <w:t xml:space="preserve">The objective of the audit was to complete sufficient audit procedures to enable an opinion to be expressed upon the financial statements of the Foundation and the Trust for the year ended </w:t>
      </w:r>
      <w:r w:rsidR="00F43A94" w:rsidRPr="00F43A94">
        <w:t>31 </w:t>
      </w:r>
      <w:r w:rsidR="00F1580E" w:rsidRPr="00F43A94">
        <w:t>December 2020</w:t>
      </w:r>
      <w:r w:rsidRPr="00F43A94">
        <w:t>.</w:t>
      </w:r>
    </w:p>
    <w:p w14:paraId="2DBF95EE" w14:textId="77777777" w:rsidR="006B5C69" w:rsidRPr="00F43A94" w:rsidRDefault="006B5C69" w:rsidP="006B5C69">
      <w:pPr>
        <w:pStyle w:val="Heading3"/>
      </w:pPr>
      <w:r w:rsidRPr="00F43A94">
        <w:t>Audit Opinion</w:t>
      </w:r>
    </w:p>
    <w:p w14:paraId="29E7A42D" w14:textId="1A420B24" w:rsidR="006B5C69" w:rsidRPr="00F43A94" w:rsidRDefault="006B5C69" w:rsidP="006B5C69">
      <w:r w:rsidRPr="00F43A94">
        <w:t xml:space="preserve">The audits of the Foundation and Trust for the year ended </w:t>
      </w:r>
      <w:r w:rsidR="00F1580E" w:rsidRPr="00F43A94">
        <w:t>31 December 2020</w:t>
      </w:r>
      <w:r w:rsidRPr="00F43A94">
        <w:t xml:space="preserve"> resulted in unmodified independent audit opinions for both entities, which were issued on </w:t>
      </w:r>
      <w:r w:rsidR="00F43A94" w:rsidRPr="00F43A94">
        <w:t>29 March 2021</w:t>
      </w:r>
      <w:r w:rsidRPr="00F43A94">
        <w:t>.</w:t>
      </w:r>
    </w:p>
    <w:p w14:paraId="36922E96" w14:textId="77777777" w:rsidR="006B5C69" w:rsidRPr="00F43A94" w:rsidRDefault="006B5C69" w:rsidP="006B5C69">
      <w:pPr>
        <w:pStyle w:val="Heading3"/>
      </w:pPr>
      <w:r w:rsidRPr="00F43A94">
        <w:t>Audit Observations</w:t>
      </w:r>
    </w:p>
    <w:p w14:paraId="66F7C8E1" w14:textId="77777777" w:rsidR="00F43A94" w:rsidRPr="00786B24" w:rsidRDefault="00F43A94" w:rsidP="00F43A94">
      <w:pPr>
        <w:pStyle w:val="Heading5"/>
      </w:pPr>
      <w:r>
        <w:t xml:space="preserve">Attendance at Directors’ </w:t>
      </w:r>
      <w:r w:rsidRPr="00786B24">
        <w:t>meetings</w:t>
      </w:r>
    </w:p>
    <w:p w14:paraId="4AE2511B" w14:textId="2610E7BF" w:rsidR="00F43A94" w:rsidRPr="00786B24" w:rsidRDefault="00F43A94" w:rsidP="00F43A94">
      <w:r w:rsidRPr="00786B24">
        <w:t xml:space="preserve">Corporate records show that one Director did not attend any of the three Directors’ meetings held during the financial year. </w:t>
      </w:r>
      <w:r w:rsidR="00D13A4E" w:rsidRPr="00786B24">
        <w:t>C</w:t>
      </w:r>
      <w:r w:rsidRPr="00786B24">
        <w:t xml:space="preserve">lause 13 (d) of the Constitution </w:t>
      </w:r>
      <w:r w:rsidR="00D13A4E" w:rsidRPr="00786B24">
        <w:t>requires a</w:t>
      </w:r>
      <w:r w:rsidRPr="00786B24">
        <w:t xml:space="preserve"> “special leave of absence” </w:t>
      </w:r>
      <w:r w:rsidR="00D13A4E" w:rsidRPr="00786B24">
        <w:t>to be</w:t>
      </w:r>
      <w:r w:rsidRPr="00786B24">
        <w:t xml:space="preserve"> granted </w:t>
      </w:r>
      <w:r w:rsidR="00D13A4E" w:rsidRPr="00786B24">
        <w:t>in such circumstances to ensure fiduciary obligations are met</w:t>
      </w:r>
      <w:r w:rsidRPr="00786B24">
        <w:t>.</w:t>
      </w:r>
    </w:p>
    <w:p w14:paraId="23061D67" w14:textId="77777777" w:rsidR="00F43A94" w:rsidRPr="00786B24" w:rsidRDefault="00F43A94" w:rsidP="00F43A94">
      <w:pPr>
        <w:pStyle w:val="Heading5"/>
      </w:pPr>
      <w:r w:rsidRPr="00786B24">
        <w:t>Research Fellowship</w:t>
      </w:r>
    </w:p>
    <w:p w14:paraId="3CA2CBE3" w14:textId="58D79731" w:rsidR="00F43A94" w:rsidRPr="00220F5E" w:rsidRDefault="00F43A94" w:rsidP="00F43A94">
      <w:r w:rsidRPr="00786B24">
        <w:t xml:space="preserve">The Foundation </w:t>
      </w:r>
      <w:r w:rsidR="00D13A4E" w:rsidRPr="00786B24">
        <w:t xml:space="preserve">was unable to provide </w:t>
      </w:r>
      <w:r w:rsidRPr="00786B24">
        <w:t>documentary evidence that a donor agreed to the application of their donation</w:t>
      </w:r>
      <w:r w:rsidR="00D13A4E" w:rsidRPr="00786B24">
        <w:t xml:space="preserve"> for a specific purpose</w:t>
      </w:r>
      <w:r w:rsidRPr="00786B24">
        <w:t>.</w:t>
      </w:r>
      <w:r w:rsidR="00D13A4E" w:rsidRPr="00786B24">
        <w:t xml:space="preserve"> As some ongoing bequests and scholarships can extend beyond a decade, I recommended the F</w:t>
      </w:r>
      <w:r w:rsidR="00D13A4E">
        <w:t>oundation review its record</w:t>
      </w:r>
      <w:r w:rsidR="00D13A4E">
        <w:noBreakHyphen/>
        <w:t xml:space="preserve">keeping practices to ensure </w:t>
      </w:r>
      <w:r w:rsidR="00CA1EFB">
        <w:t>evidence is retained of</w:t>
      </w:r>
      <w:r w:rsidR="00D13A4E">
        <w:t xml:space="preserve"> longer term arrangements notwithstanding any minimum record retention requirements.</w:t>
      </w:r>
    </w:p>
    <w:p w14:paraId="49D5EB10" w14:textId="77777777" w:rsidR="006B5C69" w:rsidRPr="00F43A94" w:rsidRDefault="006B5C69" w:rsidP="006B5C69">
      <w:pPr>
        <w:pStyle w:val="Heading4"/>
      </w:pPr>
      <w:r w:rsidRPr="00F43A94">
        <w:t>Performance Overview</w:t>
      </w:r>
    </w:p>
    <w:p w14:paraId="2EA79F07" w14:textId="37D80F39" w:rsidR="006B5C69" w:rsidRDefault="006B5C69" w:rsidP="006B5C69">
      <w:pPr>
        <w:pStyle w:val="Heading5"/>
      </w:pPr>
      <w:r w:rsidRPr="00F43A94">
        <w:t>Financial Analysis</w:t>
      </w:r>
    </w:p>
    <w:p w14:paraId="484E7CCA" w14:textId="54882DCB" w:rsidR="00F43A94" w:rsidRDefault="00CA1EFB" w:rsidP="00F43A94">
      <w:r>
        <w:t>The Trust recorded a deficit of $815,086 in 2020 (2019: $53,758 surplus). T</w:t>
      </w:r>
      <w:r w:rsidR="00F43A94">
        <w:t xml:space="preserve">otal </w:t>
      </w:r>
      <w:r w:rsidR="00D13A4E">
        <w:t xml:space="preserve">income </w:t>
      </w:r>
      <w:r w:rsidR="00F43A94">
        <w:t>decreased from $1,056,206 in 2019 to $904,708 in 2020</w:t>
      </w:r>
      <w:r w:rsidR="00D13A4E">
        <w:t xml:space="preserve"> as both donation and investment income decreased</w:t>
      </w:r>
      <w:r w:rsidR="00F43A94">
        <w:t xml:space="preserve">. </w:t>
      </w:r>
    </w:p>
    <w:p w14:paraId="06163E1C" w14:textId="11A8C62C" w:rsidR="00F43A94" w:rsidRDefault="00F43A94" w:rsidP="00F43A94">
      <w:r>
        <w:t>Total expenses of the Trust increased from $1,002,448 in 2019 to $1,719,794 in 2020</w:t>
      </w:r>
      <w:r w:rsidR="00D13A4E">
        <w:t xml:space="preserve"> </w:t>
      </w:r>
      <w:r>
        <w:t xml:space="preserve">mainly due to </w:t>
      </w:r>
      <w:r w:rsidR="00D13A4E">
        <w:t>payments of</w:t>
      </w:r>
      <w:r>
        <w:t xml:space="preserve"> Special Project “Emerging Needs” disbursements to Charles Darwin University for</w:t>
      </w:r>
      <w:r w:rsidR="00E52993">
        <w:t xml:space="preserve"> tuition scholarships and COVID</w:t>
      </w:r>
      <w:r w:rsidR="00E52993">
        <w:noBreakHyphen/>
      </w:r>
      <w:r>
        <w:t xml:space="preserve">19 student support. </w:t>
      </w:r>
    </w:p>
    <w:p w14:paraId="68A3BEA2" w14:textId="77777777" w:rsidR="00F43A94" w:rsidRPr="00F43A94" w:rsidRDefault="00F43A94" w:rsidP="00F43A94">
      <w:pPr>
        <w:pStyle w:val="Heading1-continued"/>
      </w:pPr>
      <w:r w:rsidRPr="00F43A94">
        <w:t>Charles Darwin University Foundation cont…</w:t>
      </w:r>
    </w:p>
    <w:p w14:paraId="2A1AA764" w14:textId="77777777" w:rsidR="006B5C69" w:rsidRPr="00F43A94" w:rsidRDefault="006B5C69" w:rsidP="006B5C69">
      <w:pPr>
        <w:pStyle w:val="Heading5"/>
      </w:pPr>
      <w:r w:rsidRPr="00F43A94">
        <w:t>Cash donations</w:t>
      </w:r>
    </w:p>
    <w:p w14:paraId="5B9463F2" w14:textId="77777777" w:rsidR="006B5C69" w:rsidRPr="00F43A94" w:rsidRDefault="006B5C69" w:rsidP="006B5C69">
      <w:r w:rsidRPr="00F43A94">
        <w:t xml:space="preserve">The Trust has determined that it is impractical to establish control over the collection of cash donations received ‘over the counter’ prior to entry of the donation onto its financial records. My understanding is that the only control regarding cash donations received is that donors generally request a receipt for tax purposes, however, this is not always the case. </w:t>
      </w:r>
    </w:p>
    <w:p w14:paraId="66CB12BA" w14:textId="479E7DFB" w:rsidR="006B5C69" w:rsidRDefault="006B5C69" w:rsidP="006B5C69">
      <w:r w:rsidRPr="00F43A94">
        <w:t xml:space="preserve">As the evidence available to me regarding revenue from this source was limited, my audit procedures with respect to over the counter cash donations had to be restricted to the amounts recorded in the financial records. As the number of individual cash donations made to the Trust is not significant, I </w:t>
      </w:r>
      <w:r w:rsidR="008B1507">
        <w:t>determined</w:t>
      </w:r>
      <w:r w:rsidRPr="00F43A94">
        <w:t xml:space="preserve"> that </w:t>
      </w:r>
      <w:r w:rsidR="008B1507">
        <w:t xml:space="preserve">it was </w:t>
      </w:r>
      <w:r w:rsidRPr="00F43A94">
        <w:t>not necessary to issue a modified audit opinion in relation to completeness of revenue.</w:t>
      </w:r>
    </w:p>
    <w:p w14:paraId="179A6548" w14:textId="77777777" w:rsidR="006B5C69" w:rsidRPr="00F30939" w:rsidRDefault="006B5C69" w:rsidP="006B5C69">
      <w:pPr>
        <w:pStyle w:val="Heading1-continued"/>
      </w:pPr>
      <w:r>
        <w:t>Charles Darwin University Foundation</w:t>
      </w:r>
      <w:r w:rsidRPr="00F30939">
        <w:t xml:space="preserve"> cont…</w:t>
      </w:r>
    </w:p>
    <w:p w14:paraId="192C2A5D" w14:textId="77777777" w:rsidR="006B5C69" w:rsidRPr="00F30939" w:rsidRDefault="006B5C69" w:rsidP="006B5C69">
      <w:pPr>
        <w:pStyle w:val="Heading2"/>
      </w:pPr>
      <w:r w:rsidRPr="00F30939">
        <w:t>Financial Performance for the year</w:t>
      </w:r>
    </w:p>
    <w:tbl>
      <w:tblPr>
        <w:tblW w:w="9242" w:type="dxa"/>
        <w:tblLayout w:type="fixed"/>
        <w:tblLook w:val="04A0" w:firstRow="1" w:lastRow="0" w:firstColumn="1" w:lastColumn="0" w:noHBand="0" w:noVBand="1"/>
        <w:tblCaption w:val="Financial Performance for the year"/>
        <w:tblDescription w:val="Financial performance information for the current and prior year"/>
      </w:tblPr>
      <w:tblGrid>
        <w:gridCol w:w="6204"/>
        <w:gridCol w:w="1519"/>
        <w:gridCol w:w="1519"/>
      </w:tblGrid>
      <w:tr w:rsidR="006B5C69" w:rsidRPr="00F30939" w14:paraId="4F999AEC" w14:textId="77777777" w:rsidTr="00F1580E">
        <w:trPr>
          <w:cantSplit/>
          <w:trHeight w:val="454"/>
          <w:tblHeader/>
        </w:trPr>
        <w:tc>
          <w:tcPr>
            <w:tcW w:w="6204" w:type="dxa"/>
            <w:tcBorders>
              <w:bottom w:val="single" w:sz="4" w:space="0" w:color="auto"/>
            </w:tcBorders>
          </w:tcPr>
          <w:p w14:paraId="4E61F5E5" w14:textId="77777777" w:rsidR="006B5C69" w:rsidRPr="00F30939" w:rsidRDefault="006B5C69" w:rsidP="00F1580E"/>
        </w:tc>
        <w:tc>
          <w:tcPr>
            <w:tcW w:w="1519" w:type="dxa"/>
            <w:tcBorders>
              <w:bottom w:val="single" w:sz="4" w:space="0" w:color="auto"/>
            </w:tcBorders>
          </w:tcPr>
          <w:p w14:paraId="1F23304E" w14:textId="2DCC52A8" w:rsidR="006B5C69" w:rsidRPr="007165BD" w:rsidRDefault="006B5C69" w:rsidP="00F1580E">
            <w:pPr>
              <w:jc w:val="center"/>
              <w:rPr>
                <w:b/>
              </w:rPr>
            </w:pPr>
            <w:r>
              <w:rPr>
                <w:b/>
              </w:rPr>
              <w:t>2020</w:t>
            </w:r>
          </w:p>
        </w:tc>
        <w:tc>
          <w:tcPr>
            <w:tcW w:w="1519" w:type="dxa"/>
            <w:tcBorders>
              <w:bottom w:val="single" w:sz="4" w:space="0" w:color="auto"/>
            </w:tcBorders>
          </w:tcPr>
          <w:p w14:paraId="2400D935" w14:textId="7A77B67B" w:rsidR="006B5C69" w:rsidRPr="007165BD" w:rsidRDefault="006B5C69" w:rsidP="00F1580E">
            <w:pPr>
              <w:jc w:val="center"/>
              <w:rPr>
                <w:b/>
              </w:rPr>
            </w:pPr>
            <w:r>
              <w:rPr>
                <w:b/>
              </w:rPr>
              <w:t>2019</w:t>
            </w:r>
          </w:p>
        </w:tc>
      </w:tr>
      <w:tr w:rsidR="006B5C69" w:rsidRPr="00F30939" w14:paraId="71CF9DE7" w14:textId="77777777" w:rsidTr="00F1580E">
        <w:trPr>
          <w:cantSplit/>
          <w:trHeight w:val="454"/>
          <w:tblHeader/>
        </w:trPr>
        <w:tc>
          <w:tcPr>
            <w:tcW w:w="6204" w:type="dxa"/>
            <w:tcBorders>
              <w:top w:val="single" w:sz="4" w:space="0" w:color="auto"/>
            </w:tcBorders>
          </w:tcPr>
          <w:p w14:paraId="52D93350" w14:textId="77777777" w:rsidR="006B5C69" w:rsidRPr="00F30939" w:rsidRDefault="006B5C69" w:rsidP="00F1580E"/>
        </w:tc>
        <w:tc>
          <w:tcPr>
            <w:tcW w:w="1519" w:type="dxa"/>
            <w:tcBorders>
              <w:top w:val="single" w:sz="4" w:space="0" w:color="auto"/>
            </w:tcBorders>
          </w:tcPr>
          <w:p w14:paraId="71926D42" w14:textId="77777777" w:rsidR="006B5C69" w:rsidRPr="007165BD" w:rsidRDefault="006B5C69" w:rsidP="00F1580E">
            <w:pPr>
              <w:jc w:val="center"/>
              <w:rPr>
                <w:b/>
              </w:rPr>
            </w:pPr>
            <w:r w:rsidRPr="007165BD">
              <w:rPr>
                <w:b/>
              </w:rPr>
              <w:t>$’000</w:t>
            </w:r>
          </w:p>
        </w:tc>
        <w:tc>
          <w:tcPr>
            <w:tcW w:w="1519" w:type="dxa"/>
            <w:tcBorders>
              <w:top w:val="single" w:sz="4" w:space="0" w:color="auto"/>
            </w:tcBorders>
          </w:tcPr>
          <w:p w14:paraId="19767E15" w14:textId="77777777" w:rsidR="006B5C69" w:rsidRPr="007165BD" w:rsidRDefault="006B5C69" w:rsidP="00F1580E">
            <w:pPr>
              <w:jc w:val="center"/>
              <w:rPr>
                <w:b/>
              </w:rPr>
            </w:pPr>
            <w:r w:rsidRPr="007165BD">
              <w:rPr>
                <w:b/>
              </w:rPr>
              <w:t>$’000</w:t>
            </w:r>
          </w:p>
        </w:tc>
      </w:tr>
      <w:tr w:rsidR="006B5C69" w:rsidRPr="00F30939" w14:paraId="7F386E9D" w14:textId="77777777" w:rsidTr="00F1580E">
        <w:trPr>
          <w:cantSplit/>
          <w:trHeight w:val="454"/>
        </w:trPr>
        <w:tc>
          <w:tcPr>
            <w:tcW w:w="6204" w:type="dxa"/>
          </w:tcPr>
          <w:p w14:paraId="44E9A28D" w14:textId="77777777" w:rsidR="006B5C69" w:rsidRPr="00F30939" w:rsidRDefault="006B5C69" w:rsidP="006B5C69">
            <w:r>
              <w:t>Revenue</w:t>
            </w:r>
          </w:p>
        </w:tc>
        <w:tc>
          <w:tcPr>
            <w:tcW w:w="1519" w:type="dxa"/>
          </w:tcPr>
          <w:p w14:paraId="520DC9F9" w14:textId="767F0BBA" w:rsidR="006B5C69" w:rsidRPr="00F30939" w:rsidRDefault="00F43A94" w:rsidP="006B5C69">
            <w:pPr>
              <w:tabs>
                <w:tab w:val="clear" w:pos="1378"/>
                <w:tab w:val="decimal" w:pos="1020"/>
              </w:tabs>
            </w:pPr>
            <w:r>
              <w:t>905</w:t>
            </w:r>
          </w:p>
        </w:tc>
        <w:tc>
          <w:tcPr>
            <w:tcW w:w="1519" w:type="dxa"/>
          </w:tcPr>
          <w:p w14:paraId="760A2B9F" w14:textId="33274CE5" w:rsidR="006B5C69" w:rsidRPr="00F30939" w:rsidRDefault="006B5C69" w:rsidP="006B5C69">
            <w:pPr>
              <w:tabs>
                <w:tab w:val="clear" w:pos="1378"/>
                <w:tab w:val="decimal" w:pos="1020"/>
              </w:tabs>
            </w:pPr>
            <w:r>
              <w:t>1,056</w:t>
            </w:r>
          </w:p>
        </w:tc>
      </w:tr>
      <w:tr w:rsidR="006B5C69" w:rsidRPr="00F30939" w14:paraId="272D7A0B" w14:textId="77777777" w:rsidTr="00F1580E">
        <w:trPr>
          <w:cantSplit/>
          <w:trHeight w:val="454"/>
        </w:trPr>
        <w:tc>
          <w:tcPr>
            <w:tcW w:w="6204" w:type="dxa"/>
          </w:tcPr>
          <w:p w14:paraId="32F886FB" w14:textId="77777777" w:rsidR="006B5C69" w:rsidRPr="00F30939" w:rsidRDefault="006B5C69" w:rsidP="006B5C69">
            <w:r w:rsidRPr="001F7B04">
              <w:t>Trust donations disbursed</w:t>
            </w:r>
          </w:p>
        </w:tc>
        <w:tc>
          <w:tcPr>
            <w:tcW w:w="1519" w:type="dxa"/>
          </w:tcPr>
          <w:p w14:paraId="035F0E19" w14:textId="0A5426FA" w:rsidR="006B5C69" w:rsidRPr="00F30939" w:rsidRDefault="00F43A94" w:rsidP="006B5C69">
            <w:pPr>
              <w:tabs>
                <w:tab w:val="clear" w:pos="1378"/>
                <w:tab w:val="decimal" w:pos="1020"/>
              </w:tabs>
            </w:pPr>
            <w:r>
              <w:t>(1,664)</w:t>
            </w:r>
          </w:p>
        </w:tc>
        <w:tc>
          <w:tcPr>
            <w:tcW w:w="1519" w:type="dxa"/>
          </w:tcPr>
          <w:p w14:paraId="70AC906C" w14:textId="5D864432" w:rsidR="006B5C69" w:rsidRPr="00F30939" w:rsidRDefault="006B5C69" w:rsidP="006B5C69">
            <w:pPr>
              <w:tabs>
                <w:tab w:val="clear" w:pos="1378"/>
                <w:tab w:val="decimal" w:pos="1020"/>
              </w:tabs>
            </w:pPr>
            <w:r>
              <w:t>(870)</w:t>
            </w:r>
          </w:p>
        </w:tc>
      </w:tr>
      <w:tr w:rsidR="006B5C69" w:rsidRPr="00F30939" w14:paraId="36CF26D9" w14:textId="77777777" w:rsidTr="00F1580E">
        <w:trPr>
          <w:cantSplit/>
          <w:trHeight w:val="454"/>
        </w:trPr>
        <w:tc>
          <w:tcPr>
            <w:tcW w:w="6204" w:type="dxa"/>
          </w:tcPr>
          <w:p w14:paraId="16AFC6C0" w14:textId="77777777" w:rsidR="006B5C69" w:rsidRDefault="006B5C69" w:rsidP="006B5C69">
            <w:r>
              <w:t>D</w:t>
            </w:r>
            <w:r w:rsidRPr="001F7B04">
              <w:t>ecrease in market value of investment property</w:t>
            </w:r>
          </w:p>
        </w:tc>
        <w:tc>
          <w:tcPr>
            <w:tcW w:w="1519" w:type="dxa"/>
          </w:tcPr>
          <w:p w14:paraId="7068638D" w14:textId="3C061D68" w:rsidR="006B5C69" w:rsidRDefault="00F43A94" w:rsidP="006B5C69">
            <w:pPr>
              <w:tabs>
                <w:tab w:val="clear" w:pos="1378"/>
                <w:tab w:val="decimal" w:pos="1020"/>
              </w:tabs>
            </w:pPr>
            <w:r>
              <w:t>(35)</w:t>
            </w:r>
          </w:p>
        </w:tc>
        <w:tc>
          <w:tcPr>
            <w:tcW w:w="1519" w:type="dxa"/>
          </w:tcPr>
          <w:p w14:paraId="6FC01414" w14:textId="4433F09A" w:rsidR="006B5C69" w:rsidRDefault="006B5C69" w:rsidP="006B5C69">
            <w:pPr>
              <w:tabs>
                <w:tab w:val="clear" w:pos="1378"/>
                <w:tab w:val="decimal" w:pos="1020"/>
              </w:tabs>
            </w:pPr>
            <w:r>
              <w:t>(95)</w:t>
            </w:r>
          </w:p>
        </w:tc>
      </w:tr>
      <w:tr w:rsidR="006B5C69" w:rsidRPr="007165BD" w14:paraId="4DFA9CEA" w14:textId="77777777" w:rsidTr="00F1580E">
        <w:trPr>
          <w:cantSplit/>
          <w:trHeight w:val="454"/>
        </w:trPr>
        <w:tc>
          <w:tcPr>
            <w:tcW w:w="6204" w:type="dxa"/>
          </w:tcPr>
          <w:p w14:paraId="441215BE" w14:textId="77777777" w:rsidR="006B5C69" w:rsidRPr="007165BD" w:rsidRDefault="006B5C69" w:rsidP="006B5C69">
            <w:pPr>
              <w:tabs>
                <w:tab w:val="clear" w:pos="1378"/>
                <w:tab w:val="decimal" w:pos="1020"/>
              </w:tabs>
              <w:rPr>
                <w:b/>
              </w:rPr>
            </w:pPr>
            <w:r w:rsidRPr="001F7B04">
              <w:t>Donations in kind – operational</w:t>
            </w:r>
          </w:p>
        </w:tc>
        <w:tc>
          <w:tcPr>
            <w:tcW w:w="1519" w:type="dxa"/>
          </w:tcPr>
          <w:p w14:paraId="04D8FBBC" w14:textId="18B0940D" w:rsidR="006B5C69" w:rsidRPr="00D12B52" w:rsidRDefault="00F43A94" w:rsidP="006B5C69">
            <w:pPr>
              <w:tabs>
                <w:tab w:val="clear" w:pos="1378"/>
                <w:tab w:val="decimal" w:pos="1020"/>
              </w:tabs>
            </w:pPr>
            <w:r>
              <w:t>(20)</w:t>
            </w:r>
          </w:p>
        </w:tc>
        <w:tc>
          <w:tcPr>
            <w:tcW w:w="1519" w:type="dxa"/>
          </w:tcPr>
          <w:p w14:paraId="133E0961" w14:textId="3ECE2E2E" w:rsidR="006B5C69" w:rsidRPr="00D12B52" w:rsidRDefault="006B5C69" w:rsidP="006B5C69">
            <w:pPr>
              <w:tabs>
                <w:tab w:val="clear" w:pos="1378"/>
                <w:tab w:val="decimal" w:pos="1020"/>
              </w:tabs>
            </w:pPr>
            <w:r>
              <w:t>(36)</w:t>
            </w:r>
          </w:p>
        </w:tc>
      </w:tr>
      <w:tr w:rsidR="006B5C69" w:rsidRPr="007165BD" w14:paraId="347A390C" w14:textId="77777777" w:rsidTr="00F1580E">
        <w:trPr>
          <w:cantSplit/>
          <w:trHeight w:val="454"/>
        </w:trPr>
        <w:tc>
          <w:tcPr>
            <w:tcW w:w="6204" w:type="dxa"/>
          </w:tcPr>
          <w:p w14:paraId="22628C36" w14:textId="77777777" w:rsidR="006B5C69" w:rsidRPr="007165BD" w:rsidRDefault="006B5C69" w:rsidP="006B5C69">
            <w:pPr>
              <w:rPr>
                <w:b/>
              </w:rPr>
            </w:pPr>
            <w:r w:rsidRPr="001F7B04">
              <w:t>Other</w:t>
            </w:r>
          </w:p>
        </w:tc>
        <w:tc>
          <w:tcPr>
            <w:tcW w:w="1519" w:type="dxa"/>
          </w:tcPr>
          <w:p w14:paraId="39A9A6DE" w14:textId="3EBCB372" w:rsidR="006B5C69" w:rsidRPr="00D12B52" w:rsidRDefault="00F43A94" w:rsidP="006B5C69">
            <w:pPr>
              <w:tabs>
                <w:tab w:val="clear" w:pos="1378"/>
                <w:tab w:val="decimal" w:pos="1020"/>
              </w:tabs>
            </w:pPr>
            <w:r>
              <w:t>(1)</w:t>
            </w:r>
          </w:p>
        </w:tc>
        <w:tc>
          <w:tcPr>
            <w:tcW w:w="1519" w:type="dxa"/>
          </w:tcPr>
          <w:p w14:paraId="3C7375C7" w14:textId="3AC166BB" w:rsidR="006B5C69" w:rsidRPr="00D12B52" w:rsidRDefault="006B5C69" w:rsidP="006B5C69">
            <w:pPr>
              <w:tabs>
                <w:tab w:val="clear" w:pos="1378"/>
                <w:tab w:val="decimal" w:pos="1020"/>
              </w:tabs>
            </w:pPr>
            <w:r>
              <w:t>(1)</w:t>
            </w:r>
          </w:p>
        </w:tc>
      </w:tr>
      <w:tr w:rsidR="006B5C69" w:rsidRPr="00F30939" w14:paraId="23619921" w14:textId="77777777" w:rsidTr="00F1580E">
        <w:trPr>
          <w:cantSplit/>
          <w:trHeight w:val="454"/>
        </w:trPr>
        <w:tc>
          <w:tcPr>
            <w:tcW w:w="6204" w:type="dxa"/>
            <w:tcBorders>
              <w:top w:val="single" w:sz="4" w:space="0" w:color="auto"/>
              <w:bottom w:val="single" w:sz="4" w:space="0" w:color="auto"/>
            </w:tcBorders>
          </w:tcPr>
          <w:p w14:paraId="4FEB4E76" w14:textId="77777777" w:rsidR="006B5C69" w:rsidRPr="00FA6053" w:rsidRDefault="006B5C69" w:rsidP="006B5C69">
            <w:pPr>
              <w:rPr>
                <w:b/>
              </w:rPr>
            </w:pPr>
            <w:r w:rsidRPr="00FA6053">
              <w:rPr>
                <w:b/>
              </w:rPr>
              <w:t>Surplus</w:t>
            </w:r>
            <w:r>
              <w:rPr>
                <w:b/>
              </w:rPr>
              <w:t>/(deficit)</w:t>
            </w:r>
            <w:r w:rsidRPr="00FA6053">
              <w:rPr>
                <w:b/>
              </w:rPr>
              <w:t xml:space="preserve"> before income tax expense</w:t>
            </w:r>
          </w:p>
        </w:tc>
        <w:tc>
          <w:tcPr>
            <w:tcW w:w="1519" w:type="dxa"/>
            <w:tcBorders>
              <w:top w:val="single" w:sz="4" w:space="0" w:color="auto"/>
              <w:bottom w:val="single" w:sz="4" w:space="0" w:color="auto"/>
            </w:tcBorders>
          </w:tcPr>
          <w:p w14:paraId="112DDB30" w14:textId="297A6D98" w:rsidR="006B5C69" w:rsidRPr="00FA6053" w:rsidRDefault="00F43A94" w:rsidP="006B5C69">
            <w:pPr>
              <w:tabs>
                <w:tab w:val="clear" w:pos="1378"/>
                <w:tab w:val="decimal" w:pos="1020"/>
              </w:tabs>
              <w:rPr>
                <w:b/>
              </w:rPr>
            </w:pPr>
            <w:r>
              <w:rPr>
                <w:b/>
              </w:rPr>
              <w:t>(815)</w:t>
            </w:r>
          </w:p>
        </w:tc>
        <w:tc>
          <w:tcPr>
            <w:tcW w:w="1519" w:type="dxa"/>
            <w:tcBorders>
              <w:top w:val="single" w:sz="4" w:space="0" w:color="auto"/>
              <w:bottom w:val="single" w:sz="4" w:space="0" w:color="auto"/>
            </w:tcBorders>
          </w:tcPr>
          <w:p w14:paraId="273E7D82" w14:textId="0BBDD3B4" w:rsidR="006B5C69" w:rsidRPr="00FA6053" w:rsidRDefault="006B5C69" w:rsidP="006B5C69">
            <w:pPr>
              <w:tabs>
                <w:tab w:val="clear" w:pos="1378"/>
                <w:tab w:val="decimal" w:pos="1020"/>
              </w:tabs>
              <w:rPr>
                <w:b/>
              </w:rPr>
            </w:pPr>
            <w:r>
              <w:rPr>
                <w:b/>
              </w:rPr>
              <w:t>54</w:t>
            </w:r>
          </w:p>
        </w:tc>
      </w:tr>
      <w:tr w:rsidR="006B5C69" w:rsidRPr="00F30939" w14:paraId="757A90A9" w14:textId="77777777" w:rsidTr="00F1580E">
        <w:trPr>
          <w:cantSplit/>
          <w:trHeight w:val="454"/>
        </w:trPr>
        <w:tc>
          <w:tcPr>
            <w:tcW w:w="6204" w:type="dxa"/>
            <w:tcBorders>
              <w:top w:val="single" w:sz="4" w:space="0" w:color="auto"/>
            </w:tcBorders>
          </w:tcPr>
          <w:p w14:paraId="723C439A" w14:textId="77777777" w:rsidR="006B5C69" w:rsidRPr="00F30939" w:rsidRDefault="006B5C69" w:rsidP="006B5C69">
            <w:r>
              <w:t>Income tax expense</w:t>
            </w:r>
          </w:p>
        </w:tc>
        <w:tc>
          <w:tcPr>
            <w:tcW w:w="1519" w:type="dxa"/>
            <w:tcBorders>
              <w:top w:val="single" w:sz="4" w:space="0" w:color="auto"/>
            </w:tcBorders>
          </w:tcPr>
          <w:p w14:paraId="0CFA6921" w14:textId="151EBA47" w:rsidR="006B5C69" w:rsidRPr="00F30939" w:rsidRDefault="00F43A94" w:rsidP="006B5C69">
            <w:pPr>
              <w:tabs>
                <w:tab w:val="clear" w:pos="1378"/>
                <w:tab w:val="decimal" w:pos="1020"/>
              </w:tabs>
            </w:pPr>
            <w:r>
              <w:t>-</w:t>
            </w:r>
          </w:p>
        </w:tc>
        <w:tc>
          <w:tcPr>
            <w:tcW w:w="1519" w:type="dxa"/>
            <w:tcBorders>
              <w:top w:val="single" w:sz="4" w:space="0" w:color="auto"/>
            </w:tcBorders>
          </w:tcPr>
          <w:p w14:paraId="7D9FC5F7" w14:textId="26DA12D9" w:rsidR="006B5C69" w:rsidRPr="00F30939" w:rsidRDefault="006B5C69" w:rsidP="006B5C69">
            <w:pPr>
              <w:tabs>
                <w:tab w:val="clear" w:pos="1378"/>
                <w:tab w:val="decimal" w:pos="1020"/>
              </w:tabs>
            </w:pPr>
            <w:r>
              <w:t>-</w:t>
            </w:r>
          </w:p>
        </w:tc>
      </w:tr>
      <w:tr w:rsidR="006B5C69" w:rsidRPr="00F30939" w14:paraId="53C604F4" w14:textId="77777777" w:rsidTr="00F1580E">
        <w:trPr>
          <w:cantSplit/>
          <w:trHeight w:val="454"/>
        </w:trPr>
        <w:tc>
          <w:tcPr>
            <w:tcW w:w="6204" w:type="dxa"/>
            <w:tcBorders>
              <w:bottom w:val="single" w:sz="4" w:space="0" w:color="auto"/>
            </w:tcBorders>
          </w:tcPr>
          <w:p w14:paraId="7A0C8E04" w14:textId="77777777" w:rsidR="006B5C69" w:rsidRPr="00FA6053" w:rsidRDefault="006B5C69" w:rsidP="006B5C69">
            <w:pPr>
              <w:rPr>
                <w:b/>
              </w:rPr>
            </w:pPr>
            <w:r w:rsidRPr="00FA6053">
              <w:rPr>
                <w:b/>
              </w:rPr>
              <w:t>Surplus</w:t>
            </w:r>
            <w:r>
              <w:rPr>
                <w:b/>
              </w:rPr>
              <w:t>/(deficit)</w:t>
            </w:r>
            <w:r w:rsidRPr="00FA6053">
              <w:rPr>
                <w:b/>
              </w:rPr>
              <w:t xml:space="preserve"> after income tax expense</w:t>
            </w:r>
          </w:p>
        </w:tc>
        <w:tc>
          <w:tcPr>
            <w:tcW w:w="1519" w:type="dxa"/>
            <w:tcBorders>
              <w:bottom w:val="single" w:sz="4" w:space="0" w:color="auto"/>
            </w:tcBorders>
          </w:tcPr>
          <w:p w14:paraId="4EB11B93" w14:textId="12547F2A" w:rsidR="006B5C69" w:rsidRPr="00FA6053" w:rsidRDefault="00F43A94" w:rsidP="006B5C69">
            <w:pPr>
              <w:tabs>
                <w:tab w:val="clear" w:pos="1378"/>
                <w:tab w:val="decimal" w:pos="1020"/>
              </w:tabs>
              <w:rPr>
                <w:b/>
              </w:rPr>
            </w:pPr>
            <w:r>
              <w:rPr>
                <w:b/>
              </w:rPr>
              <w:t>(815)</w:t>
            </w:r>
          </w:p>
        </w:tc>
        <w:tc>
          <w:tcPr>
            <w:tcW w:w="1519" w:type="dxa"/>
            <w:tcBorders>
              <w:bottom w:val="single" w:sz="4" w:space="0" w:color="auto"/>
            </w:tcBorders>
          </w:tcPr>
          <w:p w14:paraId="7B7BB46F" w14:textId="20FEAF5D" w:rsidR="006B5C69" w:rsidRPr="00FA6053" w:rsidRDefault="006B5C69" w:rsidP="006B5C69">
            <w:pPr>
              <w:tabs>
                <w:tab w:val="clear" w:pos="1378"/>
                <w:tab w:val="decimal" w:pos="1020"/>
              </w:tabs>
              <w:rPr>
                <w:b/>
              </w:rPr>
            </w:pPr>
            <w:r>
              <w:rPr>
                <w:b/>
              </w:rPr>
              <w:t>54</w:t>
            </w:r>
          </w:p>
        </w:tc>
      </w:tr>
    </w:tbl>
    <w:p w14:paraId="6EB8DD94" w14:textId="77777777" w:rsidR="006B5C69" w:rsidRPr="00F30939" w:rsidRDefault="006B5C69" w:rsidP="006B5C69"/>
    <w:p w14:paraId="451967E8" w14:textId="77777777" w:rsidR="006B5C69" w:rsidRPr="00F30939" w:rsidRDefault="006B5C69" w:rsidP="006B5C69">
      <w:pPr>
        <w:pStyle w:val="Heading1-continued"/>
      </w:pPr>
      <w:r>
        <w:t>Charles Darwin University Foundation</w:t>
      </w:r>
      <w:r w:rsidRPr="00F30939">
        <w:t xml:space="preserve"> cont…</w:t>
      </w:r>
    </w:p>
    <w:p w14:paraId="7AB413E8" w14:textId="77777777" w:rsidR="006B5C69" w:rsidRPr="00F30939" w:rsidRDefault="006B5C69" w:rsidP="006B5C69">
      <w:pPr>
        <w:pStyle w:val="Heading2"/>
      </w:pPr>
      <w:r w:rsidRPr="00F30939">
        <w:t>Financial Position at year end</w:t>
      </w:r>
    </w:p>
    <w:tbl>
      <w:tblPr>
        <w:tblW w:w="9100" w:type="dxa"/>
        <w:tblLayout w:type="fixed"/>
        <w:tblLook w:val="04A0" w:firstRow="1" w:lastRow="0" w:firstColumn="1" w:lastColumn="0" w:noHBand="0" w:noVBand="1"/>
        <w:tblCaption w:val="Financial Position at year end"/>
        <w:tblDescription w:val="Financial position information for the current and prior year&#10;"/>
      </w:tblPr>
      <w:tblGrid>
        <w:gridCol w:w="6062"/>
        <w:gridCol w:w="1519"/>
        <w:gridCol w:w="1519"/>
      </w:tblGrid>
      <w:tr w:rsidR="006B5C69" w:rsidRPr="00F30939" w14:paraId="6F6132EC" w14:textId="77777777" w:rsidTr="00F1580E">
        <w:trPr>
          <w:cantSplit/>
          <w:trHeight w:val="454"/>
          <w:tblHeader/>
        </w:trPr>
        <w:tc>
          <w:tcPr>
            <w:tcW w:w="6062" w:type="dxa"/>
            <w:tcBorders>
              <w:bottom w:val="single" w:sz="4" w:space="0" w:color="auto"/>
            </w:tcBorders>
          </w:tcPr>
          <w:p w14:paraId="696CA94F" w14:textId="77777777" w:rsidR="006B5C69" w:rsidRPr="00F30939" w:rsidRDefault="006B5C69" w:rsidP="00F1580E"/>
        </w:tc>
        <w:tc>
          <w:tcPr>
            <w:tcW w:w="1519" w:type="dxa"/>
            <w:tcBorders>
              <w:bottom w:val="single" w:sz="4" w:space="0" w:color="auto"/>
            </w:tcBorders>
          </w:tcPr>
          <w:p w14:paraId="08A8299F" w14:textId="13A2072C" w:rsidR="006B5C69" w:rsidRPr="007165BD" w:rsidRDefault="006B5C69" w:rsidP="00F1580E">
            <w:pPr>
              <w:jc w:val="center"/>
              <w:rPr>
                <w:b/>
              </w:rPr>
            </w:pPr>
            <w:r>
              <w:rPr>
                <w:b/>
              </w:rPr>
              <w:t>2020</w:t>
            </w:r>
          </w:p>
        </w:tc>
        <w:tc>
          <w:tcPr>
            <w:tcW w:w="1519" w:type="dxa"/>
            <w:tcBorders>
              <w:bottom w:val="single" w:sz="4" w:space="0" w:color="auto"/>
            </w:tcBorders>
          </w:tcPr>
          <w:p w14:paraId="36517E25" w14:textId="7B3C2A92" w:rsidR="006B5C69" w:rsidRPr="007165BD" w:rsidRDefault="006B5C69" w:rsidP="00F1580E">
            <w:pPr>
              <w:jc w:val="center"/>
              <w:rPr>
                <w:b/>
              </w:rPr>
            </w:pPr>
            <w:r>
              <w:rPr>
                <w:b/>
              </w:rPr>
              <w:t>2019</w:t>
            </w:r>
          </w:p>
        </w:tc>
      </w:tr>
      <w:tr w:rsidR="006B5C69" w:rsidRPr="00F30939" w14:paraId="182B4BFD" w14:textId="77777777" w:rsidTr="00F1580E">
        <w:trPr>
          <w:cantSplit/>
          <w:trHeight w:val="454"/>
          <w:tblHeader/>
        </w:trPr>
        <w:tc>
          <w:tcPr>
            <w:tcW w:w="6062" w:type="dxa"/>
            <w:tcBorders>
              <w:top w:val="single" w:sz="4" w:space="0" w:color="auto"/>
            </w:tcBorders>
          </w:tcPr>
          <w:p w14:paraId="7EEB6DA2" w14:textId="77777777" w:rsidR="006B5C69" w:rsidRPr="00F30939" w:rsidRDefault="006B5C69" w:rsidP="00F1580E"/>
        </w:tc>
        <w:tc>
          <w:tcPr>
            <w:tcW w:w="1519" w:type="dxa"/>
            <w:tcBorders>
              <w:top w:val="single" w:sz="4" w:space="0" w:color="auto"/>
            </w:tcBorders>
          </w:tcPr>
          <w:p w14:paraId="28D9E141" w14:textId="77777777" w:rsidR="006B5C69" w:rsidRPr="007165BD" w:rsidRDefault="006B5C69" w:rsidP="00F1580E">
            <w:pPr>
              <w:jc w:val="center"/>
              <w:rPr>
                <w:b/>
              </w:rPr>
            </w:pPr>
            <w:r w:rsidRPr="007165BD">
              <w:rPr>
                <w:b/>
              </w:rPr>
              <w:t>$’000</w:t>
            </w:r>
          </w:p>
        </w:tc>
        <w:tc>
          <w:tcPr>
            <w:tcW w:w="1519" w:type="dxa"/>
            <w:tcBorders>
              <w:top w:val="single" w:sz="4" w:space="0" w:color="auto"/>
            </w:tcBorders>
          </w:tcPr>
          <w:p w14:paraId="49A348C3" w14:textId="77777777" w:rsidR="006B5C69" w:rsidRPr="007165BD" w:rsidRDefault="006B5C69" w:rsidP="00F1580E">
            <w:pPr>
              <w:jc w:val="center"/>
              <w:rPr>
                <w:b/>
              </w:rPr>
            </w:pPr>
            <w:r w:rsidRPr="007165BD">
              <w:rPr>
                <w:b/>
              </w:rPr>
              <w:t>$’000</w:t>
            </w:r>
          </w:p>
        </w:tc>
      </w:tr>
      <w:tr w:rsidR="006B5C69" w:rsidRPr="00F30939" w14:paraId="381D8EFE" w14:textId="77777777" w:rsidTr="00F1580E">
        <w:trPr>
          <w:cantSplit/>
          <w:trHeight w:val="454"/>
        </w:trPr>
        <w:tc>
          <w:tcPr>
            <w:tcW w:w="6062" w:type="dxa"/>
          </w:tcPr>
          <w:p w14:paraId="500EF902" w14:textId="77777777" w:rsidR="006B5C69" w:rsidRPr="00F30939" w:rsidRDefault="006B5C69" w:rsidP="006B5C69">
            <w:r w:rsidRPr="00F30939">
              <w:t>Cash and cash equivalents</w:t>
            </w:r>
          </w:p>
        </w:tc>
        <w:tc>
          <w:tcPr>
            <w:tcW w:w="1519" w:type="dxa"/>
          </w:tcPr>
          <w:p w14:paraId="6973A23B" w14:textId="09B285E1" w:rsidR="006B5C69" w:rsidRPr="00F30939" w:rsidRDefault="00FD44F9" w:rsidP="006B5C69">
            <w:pPr>
              <w:tabs>
                <w:tab w:val="clear" w:pos="1378"/>
                <w:tab w:val="decimal" w:pos="1020"/>
              </w:tabs>
            </w:pPr>
            <w:r>
              <w:t>696</w:t>
            </w:r>
          </w:p>
        </w:tc>
        <w:tc>
          <w:tcPr>
            <w:tcW w:w="1519" w:type="dxa"/>
          </w:tcPr>
          <w:p w14:paraId="1423AFD7" w14:textId="45183A3F" w:rsidR="006B5C69" w:rsidRPr="00F30939" w:rsidRDefault="006B5C69" w:rsidP="006B5C69">
            <w:pPr>
              <w:tabs>
                <w:tab w:val="clear" w:pos="1378"/>
                <w:tab w:val="decimal" w:pos="1020"/>
              </w:tabs>
            </w:pPr>
            <w:r>
              <w:t>1,402</w:t>
            </w:r>
          </w:p>
        </w:tc>
      </w:tr>
      <w:tr w:rsidR="006B5C69" w:rsidRPr="00F30939" w14:paraId="0F0ED728" w14:textId="77777777" w:rsidTr="00F1580E">
        <w:trPr>
          <w:cantSplit/>
          <w:trHeight w:val="454"/>
        </w:trPr>
        <w:tc>
          <w:tcPr>
            <w:tcW w:w="6062" w:type="dxa"/>
          </w:tcPr>
          <w:p w14:paraId="61036F7A" w14:textId="77777777" w:rsidR="006B5C69" w:rsidRPr="00F30939" w:rsidRDefault="006B5C69" w:rsidP="006B5C69">
            <w:r w:rsidRPr="00F30939">
              <w:t>Receivables and other current assets</w:t>
            </w:r>
          </w:p>
        </w:tc>
        <w:tc>
          <w:tcPr>
            <w:tcW w:w="1519" w:type="dxa"/>
          </w:tcPr>
          <w:p w14:paraId="5BD886EA" w14:textId="3006E97D" w:rsidR="006B5C69" w:rsidRPr="00F30939" w:rsidRDefault="00FD44F9" w:rsidP="006B5C69">
            <w:pPr>
              <w:tabs>
                <w:tab w:val="clear" w:pos="1378"/>
                <w:tab w:val="decimal" w:pos="1020"/>
              </w:tabs>
            </w:pPr>
            <w:r>
              <w:t>4,106</w:t>
            </w:r>
          </w:p>
        </w:tc>
        <w:tc>
          <w:tcPr>
            <w:tcW w:w="1519" w:type="dxa"/>
          </w:tcPr>
          <w:p w14:paraId="1CBCB8EB" w14:textId="288E2ED5" w:rsidR="006B5C69" w:rsidRPr="00F30939" w:rsidRDefault="006B5C69" w:rsidP="006B5C69">
            <w:pPr>
              <w:tabs>
                <w:tab w:val="clear" w:pos="1378"/>
                <w:tab w:val="decimal" w:pos="1020"/>
              </w:tabs>
            </w:pPr>
            <w:r>
              <w:t>4,180</w:t>
            </w:r>
          </w:p>
        </w:tc>
      </w:tr>
      <w:tr w:rsidR="006B5C69" w:rsidRPr="00F30939" w14:paraId="7FAAADDA" w14:textId="77777777" w:rsidTr="00F1580E">
        <w:trPr>
          <w:cantSplit/>
          <w:trHeight w:val="454"/>
        </w:trPr>
        <w:tc>
          <w:tcPr>
            <w:tcW w:w="6062" w:type="dxa"/>
          </w:tcPr>
          <w:p w14:paraId="4760CD75" w14:textId="77777777" w:rsidR="006B5C69" w:rsidRPr="00F30939" w:rsidRDefault="006B5C69" w:rsidP="006B5C69">
            <w:r w:rsidRPr="00F30939">
              <w:t>Less current liabilities</w:t>
            </w:r>
          </w:p>
        </w:tc>
        <w:tc>
          <w:tcPr>
            <w:tcW w:w="1519" w:type="dxa"/>
          </w:tcPr>
          <w:p w14:paraId="67B6D69F" w14:textId="57EE2996" w:rsidR="006B5C69" w:rsidRPr="00F30939" w:rsidRDefault="00FD44F9" w:rsidP="00FD44F9">
            <w:pPr>
              <w:tabs>
                <w:tab w:val="clear" w:pos="1378"/>
                <w:tab w:val="decimal" w:pos="1020"/>
              </w:tabs>
            </w:pPr>
            <w:r>
              <w:t>-</w:t>
            </w:r>
          </w:p>
        </w:tc>
        <w:tc>
          <w:tcPr>
            <w:tcW w:w="1519" w:type="dxa"/>
          </w:tcPr>
          <w:p w14:paraId="6C5478C9" w14:textId="3EDEBFA8" w:rsidR="006B5C69" w:rsidRPr="00F30939" w:rsidRDefault="006B5C69" w:rsidP="006B5C69">
            <w:pPr>
              <w:tabs>
                <w:tab w:val="clear" w:pos="1378"/>
                <w:tab w:val="decimal" w:pos="1020"/>
              </w:tabs>
            </w:pPr>
            <w:r>
              <w:t>-</w:t>
            </w:r>
          </w:p>
        </w:tc>
      </w:tr>
      <w:tr w:rsidR="006B5C69" w:rsidRPr="007165BD" w14:paraId="1E61B468" w14:textId="77777777" w:rsidTr="00F1580E">
        <w:trPr>
          <w:cantSplit/>
          <w:trHeight w:val="454"/>
        </w:trPr>
        <w:tc>
          <w:tcPr>
            <w:tcW w:w="6062" w:type="dxa"/>
            <w:tcBorders>
              <w:bottom w:val="single" w:sz="4" w:space="0" w:color="auto"/>
            </w:tcBorders>
          </w:tcPr>
          <w:p w14:paraId="51DC87B2" w14:textId="77777777" w:rsidR="006B5C69" w:rsidRPr="007165BD" w:rsidRDefault="006B5C69" w:rsidP="006B5C69">
            <w:pPr>
              <w:rPr>
                <w:b/>
              </w:rPr>
            </w:pPr>
            <w:r w:rsidRPr="007165BD">
              <w:rPr>
                <w:b/>
              </w:rPr>
              <w:t xml:space="preserve">Working </w:t>
            </w:r>
            <w:r>
              <w:rPr>
                <w:b/>
              </w:rPr>
              <w:t>c</w:t>
            </w:r>
            <w:r w:rsidRPr="007165BD">
              <w:rPr>
                <w:b/>
              </w:rPr>
              <w:t>apital</w:t>
            </w:r>
          </w:p>
        </w:tc>
        <w:tc>
          <w:tcPr>
            <w:tcW w:w="1519" w:type="dxa"/>
            <w:tcBorders>
              <w:bottom w:val="single" w:sz="4" w:space="0" w:color="auto"/>
            </w:tcBorders>
          </w:tcPr>
          <w:p w14:paraId="144E891D" w14:textId="7156E50E" w:rsidR="006B5C69" w:rsidRPr="007165BD" w:rsidRDefault="00FD44F9" w:rsidP="006B5C69">
            <w:pPr>
              <w:tabs>
                <w:tab w:val="clear" w:pos="1378"/>
                <w:tab w:val="decimal" w:pos="1020"/>
              </w:tabs>
              <w:rPr>
                <w:b/>
              </w:rPr>
            </w:pPr>
            <w:r>
              <w:rPr>
                <w:b/>
              </w:rPr>
              <w:t>4,802</w:t>
            </w:r>
          </w:p>
        </w:tc>
        <w:tc>
          <w:tcPr>
            <w:tcW w:w="1519" w:type="dxa"/>
            <w:tcBorders>
              <w:bottom w:val="single" w:sz="4" w:space="0" w:color="auto"/>
            </w:tcBorders>
          </w:tcPr>
          <w:p w14:paraId="23EEE206" w14:textId="6E75D9EC" w:rsidR="006B5C69" w:rsidRPr="007165BD" w:rsidRDefault="006B5C69" w:rsidP="006B5C69">
            <w:pPr>
              <w:tabs>
                <w:tab w:val="clear" w:pos="1378"/>
                <w:tab w:val="decimal" w:pos="1020"/>
              </w:tabs>
              <w:rPr>
                <w:b/>
              </w:rPr>
            </w:pPr>
            <w:r>
              <w:rPr>
                <w:b/>
              </w:rPr>
              <w:t>5,582</w:t>
            </w:r>
          </w:p>
        </w:tc>
      </w:tr>
      <w:tr w:rsidR="006B5C69" w:rsidRPr="00F30939" w14:paraId="08A8FCB3" w14:textId="77777777" w:rsidTr="00F1580E">
        <w:trPr>
          <w:cantSplit/>
          <w:trHeight w:val="454"/>
        </w:trPr>
        <w:tc>
          <w:tcPr>
            <w:tcW w:w="6062" w:type="dxa"/>
          </w:tcPr>
          <w:p w14:paraId="2552C469" w14:textId="77777777" w:rsidR="006B5C69" w:rsidRPr="00F30939" w:rsidRDefault="006B5C69" w:rsidP="006B5C69">
            <w:r w:rsidRPr="00F30939">
              <w:t>Add non-current assets</w:t>
            </w:r>
          </w:p>
        </w:tc>
        <w:tc>
          <w:tcPr>
            <w:tcW w:w="1519" w:type="dxa"/>
          </w:tcPr>
          <w:p w14:paraId="7345C6AF" w14:textId="67E1C4E0" w:rsidR="006B5C69" w:rsidRPr="00F30939" w:rsidRDefault="00FD44F9" w:rsidP="006B5C69">
            <w:pPr>
              <w:tabs>
                <w:tab w:val="clear" w:pos="1378"/>
                <w:tab w:val="decimal" w:pos="1020"/>
              </w:tabs>
            </w:pPr>
            <w:r>
              <w:t>443</w:t>
            </w:r>
          </w:p>
        </w:tc>
        <w:tc>
          <w:tcPr>
            <w:tcW w:w="1519" w:type="dxa"/>
          </w:tcPr>
          <w:p w14:paraId="56E41FE8" w14:textId="49AC6820" w:rsidR="006B5C69" w:rsidRPr="00F30939" w:rsidRDefault="006B5C69" w:rsidP="006B5C69">
            <w:pPr>
              <w:tabs>
                <w:tab w:val="clear" w:pos="1378"/>
                <w:tab w:val="decimal" w:pos="1020"/>
              </w:tabs>
            </w:pPr>
            <w:r>
              <w:t>471</w:t>
            </w:r>
          </w:p>
        </w:tc>
      </w:tr>
      <w:tr w:rsidR="006B5C69" w:rsidRPr="007165BD" w14:paraId="475D29CC" w14:textId="77777777" w:rsidTr="00F1580E">
        <w:trPr>
          <w:cantSplit/>
          <w:trHeight w:val="454"/>
        </w:trPr>
        <w:tc>
          <w:tcPr>
            <w:tcW w:w="6062" w:type="dxa"/>
            <w:tcBorders>
              <w:bottom w:val="single" w:sz="4" w:space="0" w:color="auto"/>
            </w:tcBorders>
          </w:tcPr>
          <w:p w14:paraId="55F30457" w14:textId="77777777" w:rsidR="006B5C69" w:rsidRPr="007165BD" w:rsidRDefault="006B5C69" w:rsidP="006B5C69">
            <w:pPr>
              <w:rPr>
                <w:b/>
              </w:rPr>
            </w:pPr>
            <w:r w:rsidRPr="007165BD">
              <w:rPr>
                <w:b/>
              </w:rPr>
              <w:t xml:space="preserve">Net </w:t>
            </w:r>
            <w:r>
              <w:rPr>
                <w:b/>
              </w:rPr>
              <w:t>a</w:t>
            </w:r>
            <w:r w:rsidRPr="007165BD">
              <w:rPr>
                <w:b/>
              </w:rPr>
              <w:t>ssets</w:t>
            </w:r>
          </w:p>
        </w:tc>
        <w:tc>
          <w:tcPr>
            <w:tcW w:w="1519" w:type="dxa"/>
            <w:tcBorders>
              <w:bottom w:val="single" w:sz="4" w:space="0" w:color="auto"/>
            </w:tcBorders>
          </w:tcPr>
          <w:p w14:paraId="66FA68FA" w14:textId="060F5C44" w:rsidR="006B5C69" w:rsidRPr="007165BD" w:rsidRDefault="00FD44F9" w:rsidP="006B5C69">
            <w:pPr>
              <w:tabs>
                <w:tab w:val="clear" w:pos="1378"/>
                <w:tab w:val="decimal" w:pos="1020"/>
              </w:tabs>
              <w:rPr>
                <w:b/>
              </w:rPr>
            </w:pPr>
            <w:r>
              <w:rPr>
                <w:b/>
              </w:rPr>
              <w:t>5,245</w:t>
            </w:r>
          </w:p>
        </w:tc>
        <w:tc>
          <w:tcPr>
            <w:tcW w:w="1519" w:type="dxa"/>
            <w:tcBorders>
              <w:bottom w:val="single" w:sz="4" w:space="0" w:color="auto"/>
            </w:tcBorders>
          </w:tcPr>
          <w:p w14:paraId="2F9A23D3" w14:textId="47876746" w:rsidR="006B5C69" w:rsidRPr="007165BD" w:rsidRDefault="006B5C69" w:rsidP="006B5C69">
            <w:pPr>
              <w:tabs>
                <w:tab w:val="clear" w:pos="1378"/>
                <w:tab w:val="decimal" w:pos="1020"/>
              </w:tabs>
              <w:rPr>
                <w:b/>
              </w:rPr>
            </w:pPr>
            <w:r>
              <w:rPr>
                <w:b/>
              </w:rPr>
              <w:t>6,053</w:t>
            </w:r>
          </w:p>
        </w:tc>
      </w:tr>
      <w:tr w:rsidR="006B5C69" w:rsidRPr="00F30939" w14:paraId="6883D685" w14:textId="77777777" w:rsidTr="00F1580E">
        <w:trPr>
          <w:cantSplit/>
          <w:trHeight w:val="454"/>
        </w:trPr>
        <w:tc>
          <w:tcPr>
            <w:tcW w:w="6062" w:type="dxa"/>
            <w:tcBorders>
              <w:top w:val="single" w:sz="4" w:space="0" w:color="auto"/>
            </w:tcBorders>
          </w:tcPr>
          <w:p w14:paraId="5C195046" w14:textId="77777777" w:rsidR="006B5C69" w:rsidRPr="00F30939" w:rsidRDefault="006B5C69" w:rsidP="006B5C69">
            <w:r w:rsidRPr="00F30939">
              <w:t>Represented by:</w:t>
            </w:r>
          </w:p>
        </w:tc>
        <w:tc>
          <w:tcPr>
            <w:tcW w:w="1519" w:type="dxa"/>
            <w:tcBorders>
              <w:top w:val="single" w:sz="4" w:space="0" w:color="auto"/>
            </w:tcBorders>
          </w:tcPr>
          <w:p w14:paraId="52296D1D" w14:textId="77777777" w:rsidR="006B5C69" w:rsidRPr="00F30939" w:rsidRDefault="006B5C69" w:rsidP="006B5C69">
            <w:pPr>
              <w:tabs>
                <w:tab w:val="clear" w:pos="1378"/>
                <w:tab w:val="decimal" w:pos="1020"/>
              </w:tabs>
            </w:pPr>
          </w:p>
        </w:tc>
        <w:tc>
          <w:tcPr>
            <w:tcW w:w="1519" w:type="dxa"/>
            <w:tcBorders>
              <w:top w:val="single" w:sz="4" w:space="0" w:color="auto"/>
            </w:tcBorders>
          </w:tcPr>
          <w:p w14:paraId="1A4BC9A7" w14:textId="77777777" w:rsidR="006B5C69" w:rsidRPr="00F30939" w:rsidRDefault="006B5C69" w:rsidP="006B5C69">
            <w:pPr>
              <w:tabs>
                <w:tab w:val="clear" w:pos="1378"/>
                <w:tab w:val="decimal" w:pos="1020"/>
              </w:tabs>
            </w:pPr>
          </w:p>
        </w:tc>
      </w:tr>
      <w:tr w:rsidR="006B5C69" w:rsidRPr="00F30939" w14:paraId="78F1BA07" w14:textId="77777777" w:rsidTr="00F1580E">
        <w:trPr>
          <w:cantSplit/>
          <w:trHeight w:val="454"/>
        </w:trPr>
        <w:tc>
          <w:tcPr>
            <w:tcW w:w="6062" w:type="dxa"/>
          </w:tcPr>
          <w:p w14:paraId="24C997C4" w14:textId="77777777" w:rsidR="006B5C69" w:rsidRPr="00F30939" w:rsidRDefault="006B5C69" w:rsidP="006B5C69">
            <w:r w:rsidRPr="00F30939">
              <w:t>Accumulated funds</w:t>
            </w:r>
          </w:p>
        </w:tc>
        <w:tc>
          <w:tcPr>
            <w:tcW w:w="1519" w:type="dxa"/>
          </w:tcPr>
          <w:p w14:paraId="64CFFFCF" w14:textId="76C58DAB" w:rsidR="006B5C69" w:rsidRPr="00F30939" w:rsidRDefault="00FD44F9" w:rsidP="006B5C69">
            <w:pPr>
              <w:tabs>
                <w:tab w:val="clear" w:pos="1378"/>
                <w:tab w:val="decimal" w:pos="1020"/>
              </w:tabs>
            </w:pPr>
            <w:r>
              <w:t>174</w:t>
            </w:r>
          </w:p>
        </w:tc>
        <w:tc>
          <w:tcPr>
            <w:tcW w:w="1519" w:type="dxa"/>
          </w:tcPr>
          <w:p w14:paraId="1A959E97" w14:textId="637D5B3C" w:rsidR="006B5C69" w:rsidRPr="00F30939" w:rsidRDefault="006B5C69" w:rsidP="006B5C69">
            <w:pPr>
              <w:tabs>
                <w:tab w:val="clear" w:pos="1378"/>
                <w:tab w:val="decimal" w:pos="1020"/>
              </w:tabs>
            </w:pPr>
            <w:r>
              <w:t>167</w:t>
            </w:r>
          </w:p>
        </w:tc>
      </w:tr>
      <w:tr w:rsidR="006B5C69" w:rsidRPr="00F30939" w14:paraId="4ED1F745" w14:textId="77777777" w:rsidTr="00F1580E">
        <w:trPr>
          <w:cantSplit/>
          <w:trHeight w:val="454"/>
        </w:trPr>
        <w:tc>
          <w:tcPr>
            <w:tcW w:w="6062" w:type="dxa"/>
          </w:tcPr>
          <w:p w14:paraId="6C7AA111" w14:textId="77777777" w:rsidR="006B5C69" w:rsidRPr="00F30939" w:rsidRDefault="006B5C69" w:rsidP="006B5C69">
            <w:r w:rsidRPr="00F30939">
              <w:t>Capital</w:t>
            </w:r>
          </w:p>
        </w:tc>
        <w:tc>
          <w:tcPr>
            <w:tcW w:w="1519" w:type="dxa"/>
          </w:tcPr>
          <w:p w14:paraId="3781F333" w14:textId="57611EF2" w:rsidR="006B5C69" w:rsidRPr="00F30939" w:rsidRDefault="00FD44F9" w:rsidP="006B5C69">
            <w:pPr>
              <w:tabs>
                <w:tab w:val="clear" w:pos="1378"/>
                <w:tab w:val="decimal" w:pos="1020"/>
              </w:tabs>
            </w:pPr>
            <w:r>
              <w:t>5,071</w:t>
            </w:r>
          </w:p>
        </w:tc>
        <w:tc>
          <w:tcPr>
            <w:tcW w:w="1519" w:type="dxa"/>
          </w:tcPr>
          <w:p w14:paraId="0F5BC645" w14:textId="42F51AB5" w:rsidR="006B5C69" w:rsidRPr="00F30939" w:rsidRDefault="006B5C69" w:rsidP="006B5C69">
            <w:pPr>
              <w:tabs>
                <w:tab w:val="clear" w:pos="1378"/>
                <w:tab w:val="decimal" w:pos="1020"/>
              </w:tabs>
            </w:pPr>
            <w:r>
              <w:t>5,886</w:t>
            </w:r>
          </w:p>
        </w:tc>
      </w:tr>
      <w:tr w:rsidR="006B5C69" w:rsidRPr="007165BD" w14:paraId="62F1D7E7" w14:textId="77777777" w:rsidTr="00F1580E">
        <w:trPr>
          <w:cantSplit/>
          <w:trHeight w:val="454"/>
        </w:trPr>
        <w:tc>
          <w:tcPr>
            <w:tcW w:w="6062" w:type="dxa"/>
            <w:tcBorders>
              <w:bottom w:val="single" w:sz="4" w:space="0" w:color="auto"/>
            </w:tcBorders>
          </w:tcPr>
          <w:p w14:paraId="6807E05D" w14:textId="77777777" w:rsidR="006B5C69" w:rsidRPr="007165BD" w:rsidRDefault="006B5C69" w:rsidP="006B5C69">
            <w:pPr>
              <w:rPr>
                <w:b/>
              </w:rPr>
            </w:pPr>
            <w:r w:rsidRPr="007165BD">
              <w:rPr>
                <w:b/>
              </w:rPr>
              <w:t>Equity</w:t>
            </w:r>
          </w:p>
        </w:tc>
        <w:tc>
          <w:tcPr>
            <w:tcW w:w="1519" w:type="dxa"/>
            <w:tcBorders>
              <w:bottom w:val="single" w:sz="4" w:space="0" w:color="auto"/>
            </w:tcBorders>
          </w:tcPr>
          <w:p w14:paraId="113748DF" w14:textId="3F8D7170" w:rsidR="006B5C69" w:rsidRPr="007165BD" w:rsidRDefault="00FD44F9" w:rsidP="006B5C69">
            <w:pPr>
              <w:tabs>
                <w:tab w:val="clear" w:pos="1378"/>
                <w:tab w:val="decimal" w:pos="1020"/>
              </w:tabs>
              <w:rPr>
                <w:b/>
              </w:rPr>
            </w:pPr>
            <w:r>
              <w:rPr>
                <w:b/>
              </w:rPr>
              <w:t>5,245</w:t>
            </w:r>
          </w:p>
        </w:tc>
        <w:tc>
          <w:tcPr>
            <w:tcW w:w="1519" w:type="dxa"/>
            <w:tcBorders>
              <w:bottom w:val="single" w:sz="4" w:space="0" w:color="auto"/>
            </w:tcBorders>
          </w:tcPr>
          <w:p w14:paraId="10F35ADF" w14:textId="5608A375" w:rsidR="006B5C69" w:rsidRPr="007165BD" w:rsidRDefault="006B5C69" w:rsidP="006B5C69">
            <w:pPr>
              <w:tabs>
                <w:tab w:val="clear" w:pos="1378"/>
                <w:tab w:val="decimal" w:pos="1020"/>
              </w:tabs>
              <w:rPr>
                <w:b/>
              </w:rPr>
            </w:pPr>
            <w:r>
              <w:rPr>
                <w:b/>
              </w:rPr>
              <w:t>6,053</w:t>
            </w:r>
          </w:p>
        </w:tc>
      </w:tr>
    </w:tbl>
    <w:p w14:paraId="72F4B047" w14:textId="77777777" w:rsidR="006B5C69" w:rsidRPr="00F30939" w:rsidRDefault="006B5C69" w:rsidP="006B5C69"/>
    <w:p w14:paraId="25A0EDEE" w14:textId="70BB0548" w:rsidR="003D7346" w:rsidRPr="000D515D" w:rsidRDefault="003D7346" w:rsidP="003D7346">
      <w:pPr>
        <w:pStyle w:val="Heading1"/>
      </w:pPr>
      <w:bookmarkStart w:id="18" w:name="_Ref68861642"/>
      <w:r w:rsidRPr="00CE345C">
        <w:t>Cobourg Peninsula Sanctuary and Marine Park Board</w:t>
      </w:r>
      <w:bookmarkEnd w:id="9"/>
      <w:bookmarkEnd w:id="18"/>
    </w:p>
    <w:p w14:paraId="29D48553" w14:textId="77777777" w:rsidR="003D7346" w:rsidRPr="000D515D" w:rsidRDefault="003D7346" w:rsidP="003D7346">
      <w:pPr>
        <w:pStyle w:val="Heading2"/>
      </w:pPr>
      <w:bookmarkStart w:id="19" w:name="_Ref34309470"/>
      <w:bookmarkStart w:id="20" w:name="_Ref58243385"/>
      <w:r w:rsidRPr="000D515D">
        <w:t xml:space="preserve">Audit Findings and Analysis of the Financial Statements for the Year Ended 30 June </w:t>
      </w:r>
      <w:bookmarkEnd w:id="19"/>
      <w:r>
        <w:t>2020</w:t>
      </w:r>
      <w:bookmarkEnd w:id="20"/>
    </w:p>
    <w:p w14:paraId="590B8E07" w14:textId="77777777" w:rsidR="003D7346" w:rsidRPr="00F30939" w:rsidRDefault="003D7346" w:rsidP="003D7346">
      <w:pPr>
        <w:pStyle w:val="Heading3"/>
      </w:pPr>
      <w:r>
        <w:t>Background</w:t>
      </w:r>
    </w:p>
    <w:p w14:paraId="2B548A52" w14:textId="77777777" w:rsidR="003D7346" w:rsidRDefault="003D7346" w:rsidP="003D7346">
      <w:r>
        <w:t xml:space="preserve">The Cobourg Peninsula Sanctuary and Marine Park Board (the Board) was formed in 1981 under the </w:t>
      </w:r>
      <w:r w:rsidRPr="00CD4722">
        <w:rPr>
          <w:i/>
        </w:rPr>
        <w:t xml:space="preserve">Cobourg Peninsula Aboriginal Land, Sanctuary and Marine Park Act 1981 </w:t>
      </w:r>
      <w:r>
        <w:t>to acknowledge and secure the right of Aboriginals to occupy and use certain land on the Cobourg Peninsula, to vest that land in trust for Aboriginals, to declare that land to be a national park, to make provisions relating to the management of adjacent marine areas and related purposes.</w:t>
      </w:r>
    </w:p>
    <w:p w14:paraId="654B3538" w14:textId="77777777" w:rsidR="003D7346" w:rsidRDefault="003D7346" w:rsidP="003D7346">
      <w:pPr>
        <w:pStyle w:val="Heading3"/>
      </w:pPr>
      <w:r>
        <w:t>Scope and Objectives</w:t>
      </w:r>
    </w:p>
    <w:p w14:paraId="11457F7C" w14:textId="77777777" w:rsidR="003D7346" w:rsidRDefault="003D7346" w:rsidP="003D7346">
      <w:r>
        <w:t>The objective of the audit was to complete sufficient audit procedures to enable an opinion to be expressed upon the financial statements of the Cobourg Peninsula Sanctuary and Marine Park Board for the year ended 30 June 2020.</w:t>
      </w:r>
    </w:p>
    <w:p w14:paraId="32387F3B" w14:textId="77777777" w:rsidR="003D7346" w:rsidRDefault="003D7346" w:rsidP="003D7346">
      <w:pPr>
        <w:pStyle w:val="Heading3"/>
      </w:pPr>
      <w:r>
        <w:t>Audit Opinion</w:t>
      </w:r>
    </w:p>
    <w:p w14:paraId="3C75C357" w14:textId="61CA9DA8" w:rsidR="003D7346" w:rsidRDefault="003D7346" w:rsidP="003D7346">
      <w:r w:rsidRPr="00044609">
        <w:t xml:space="preserve">The audit of the Cobourg Peninsula Sanctuary and Marine Park Board for the year ended 30 June 2020 resulted in an unmodified independent audit opinion, which was issued on </w:t>
      </w:r>
      <w:r w:rsidR="00044609" w:rsidRPr="00044609">
        <w:t>21</w:t>
      </w:r>
      <w:r w:rsidRPr="00044609">
        <w:t xml:space="preserve"> </w:t>
      </w:r>
      <w:r w:rsidR="00044609">
        <w:t>June</w:t>
      </w:r>
      <w:r w:rsidRPr="00044609">
        <w:t xml:space="preserve"> 2021.</w:t>
      </w:r>
    </w:p>
    <w:p w14:paraId="0CD3B055" w14:textId="77777777" w:rsidR="003D7346" w:rsidRDefault="003D7346" w:rsidP="003D7346">
      <w:pPr>
        <w:pStyle w:val="Heading3"/>
      </w:pPr>
      <w:r>
        <w:t>Audit Observations</w:t>
      </w:r>
    </w:p>
    <w:p w14:paraId="30206A8C" w14:textId="2440A0C6" w:rsidR="003D7346" w:rsidRDefault="003A1120" w:rsidP="003A1120">
      <w:pPr>
        <w:pStyle w:val="Heading4"/>
      </w:pPr>
      <w:r>
        <w:t>Key Findings</w:t>
      </w:r>
    </w:p>
    <w:p w14:paraId="66A44324" w14:textId="77777777" w:rsidR="003D7346" w:rsidRDefault="003D7346" w:rsidP="003A1120">
      <w:pPr>
        <w:pStyle w:val="Heading5"/>
      </w:pPr>
      <w:r>
        <w:t>Governance practices within the Board require improvement.</w:t>
      </w:r>
    </w:p>
    <w:p w14:paraId="7237B840" w14:textId="22C0008C" w:rsidR="00190D56" w:rsidRDefault="00190D56" w:rsidP="00190D56">
      <w:r>
        <w:t>There were no Board meetings held during the financial year ended 30 June 2020, related party disclosure declarations were not received from three of the nine Board members and the information presented for audit demonstrate</w:t>
      </w:r>
      <w:r w:rsidR="007211E7">
        <w:t>d that</w:t>
      </w:r>
      <w:r>
        <w:t xml:space="preserve"> a conflict of interest</w:t>
      </w:r>
      <w:r w:rsidR="001639BF">
        <w:t>, relating to a waiver of a debt,</w:t>
      </w:r>
      <w:r>
        <w:t xml:space="preserve"> was not appropriately mitigated.</w:t>
      </w:r>
    </w:p>
    <w:p w14:paraId="62BEFECD" w14:textId="458D8A3F" w:rsidR="001639BF" w:rsidRDefault="001639BF" w:rsidP="001639BF">
      <w:r w:rsidRPr="001639BF">
        <w:t xml:space="preserve">There was a large discrepancy between the amount receivable subsequently waived as recorded (and agreed to) in the minutes of the </w:t>
      </w:r>
      <w:r>
        <w:t>Board Meeting</w:t>
      </w:r>
      <w:r w:rsidR="00C903D7">
        <w:t xml:space="preserve"> held subsequent to year</w:t>
      </w:r>
      <w:r w:rsidR="00C903D7">
        <w:noBreakHyphen/>
      </w:r>
      <w:r w:rsidRPr="001639BF">
        <w:t>end (22 November 2021) and the financial statements</w:t>
      </w:r>
      <w:r>
        <w:t xml:space="preserve">. </w:t>
      </w:r>
      <w:r w:rsidR="007211E7">
        <w:t>Personnel</w:t>
      </w:r>
      <w:r w:rsidRPr="001639BF">
        <w:t xml:space="preserve"> at the Department of Environment, Parks and Water Security (</w:t>
      </w:r>
      <w:r w:rsidR="007211E7">
        <w:t xml:space="preserve">who provide financial and governance services to the </w:t>
      </w:r>
      <w:r w:rsidRPr="001639BF">
        <w:t>Board) stated, “</w:t>
      </w:r>
      <w:r w:rsidRPr="001639BF">
        <w:rPr>
          <w:i/>
        </w:rPr>
        <w:t>The information they</w:t>
      </w:r>
      <w:r w:rsidR="007211E7">
        <w:t xml:space="preserve"> [the Directors]</w:t>
      </w:r>
      <w:r w:rsidRPr="001639BF">
        <w:rPr>
          <w:i/>
        </w:rPr>
        <w:t xml:space="preserve"> are using as receivable balance in the meeting is incorrect and includes invoices from FY17 – we have informed our Board liaison officer about the error in the numbers used in the minutes and they are aware of the actual $69,600 receivable balance that is being waived</w:t>
      </w:r>
      <w:r w:rsidRPr="001639BF">
        <w:t>.”</w:t>
      </w:r>
      <w:r>
        <w:t xml:space="preserve"> The Board were not provided with accurate financial information</w:t>
      </w:r>
      <w:r w:rsidR="007211E7">
        <w:t xml:space="preserve"> </w:t>
      </w:r>
      <w:r>
        <w:t xml:space="preserve">as a basis for decision making relating to related party waivers which </w:t>
      </w:r>
      <w:r w:rsidR="007211E7">
        <w:t xml:space="preserve">impaired </w:t>
      </w:r>
      <w:r>
        <w:t>the ability of the Board to make effective decisions</w:t>
      </w:r>
      <w:r w:rsidR="007211E7">
        <w:t>.</w:t>
      </w:r>
    </w:p>
    <w:p w14:paraId="31D464CC" w14:textId="77777777" w:rsidR="001639BF" w:rsidRPr="000D515D" w:rsidRDefault="001639BF" w:rsidP="001639BF">
      <w:pPr>
        <w:pStyle w:val="Heading1-continued"/>
      </w:pPr>
      <w:r w:rsidRPr="00CE345C">
        <w:t>Cobourg Peninsula Sanctuary and Marine Park Board</w:t>
      </w:r>
      <w:r>
        <w:t xml:space="preserve"> cont…</w:t>
      </w:r>
    </w:p>
    <w:p w14:paraId="5EA468A2" w14:textId="77777777" w:rsidR="00190D56" w:rsidRDefault="00190D56" w:rsidP="003A1120">
      <w:pPr>
        <w:pStyle w:val="Heading5"/>
      </w:pPr>
      <w:r>
        <w:t>Receivable impairment</w:t>
      </w:r>
    </w:p>
    <w:p w14:paraId="644EF294" w14:textId="77777777" w:rsidR="00190D56" w:rsidRDefault="00190D56" w:rsidP="00190D56">
      <w:r>
        <w:t xml:space="preserve">During the November 2020 Board meeting, it was agreed that the Board would waive banteng bull animal fees totalling $87,000, $69,600 of which relates to the year ended 30 June 2020. </w:t>
      </w:r>
    </w:p>
    <w:p w14:paraId="43BD0EE7" w14:textId="6F851593" w:rsidR="00190D56" w:rsidRDefault="00190D56" w:rsidP="00190D56">
      <w:r>
        <w:t>The</w:t>
      </w:r>
      <w:r w:rsidR="007211E7">
        <w:t xml:space="preserve"> impaired</w:t>
      </w:r>
      <w:r>
        <w:t xml:space="preserve"> receivables (relating to 30 June 2020) included $29,100 from an entity </w:t>
      </w:r>
      <w:r w:rsidR="007211E7">
        <w:t>entirely</w:t>
      </w:r>
      <w:r>
        <w:t xml:space="preserve"> owned by a Board member. </w:t>
      </w:r>
    </w:p>
    <w:p w14:paraId="46F1866A" w14:textId="0DF17983" w:rsidR="00190D56" w:rsidRDefault="00190D56" w:rsidP="003A1120">
      <w:pPr>
        <w:pStyle w:val="Heading5"/>
      </w:pPr>
      <w:r>
        <w:t>Processes to ensure the completen</w:t>
      </w:r>
      <w:r w:rsidR="00E16EA3">
        <w:t>ess of income could be enhanced</w:t>
      </w:r>
    </w:p>
    <w:p w14:paraId="3ABE69D3" w14:textId="68627DFC" w:rsidR="00190D56" w:rsidRDefault="00190D56" w:rsidP="00190D56">
      <w:r>
        <w:t>As reported</w:t>
      </w:r>
      <w:r w:rsidR="00F6264B" w:rsidRPr="00F6264B">
        <w:t xml:space="preserve"> </w:t>
      </w:r>
      <w:r w:rsidR="00F6264B">
        <w:t>in my management letters</w:t>
      </w:r>
      <w:r>
        <w:t xml:space="preserve"> to the Board relating to the years ending June 2017, 2018 and 2019, the Board’s processes to ensure the completeness of income </w:t>
      </w:r>
      <w:r w:rsidR="00377EFD">
        <w:t>are insufficient</w:t>
      </w:r>
      <w:r>
        <w:t xml:space="preserve">. </w:t>
      </w:r>
    </w:p>
    <w:p w14:paraId="1241F1B7" w14:textId="5A46753C" w:rsidR="00AC7693" w:rsidRDefault="00AC7693" w:rsidP="00AC7693">
      <w:r>
        <w:t>The Board relies on the tour operators to provide concessionaire returns outlining the ro</w:t>
      </w:r>
      <w:r w:rsidR="00A715EB">
        <w:t xml:space="preserve">yalties they owe to the Board. </w:t>
      </w:r>
      <w:r>
        <w:t xml:space="preserve">There were no internal audits undertaken by the Board on these returns, and the tour operators </w:t>
      </w:r>
      <w:r w:rsidR="00377EFD">
        <w:t>do not provide</w:t>
      </w:r>
      <w:r>
        <w:t xml:space="preserve"> audited concessionaire returns to provide assurance that the figures provided are accurate and complete.</w:t>
      </w:r>
    </w:p>
    <w:p w14:paraId="06E2ABC3" w14:textId="77777777" w:rsidR="00AC7693" w:rsidRDefault="00AC7693" w:rsidP="00AC7693">
      <w:r>
        <w:t>This matter was raised in my management letters to the Board dated:</w:t>
      </w:r>
    </w:p>
    <w:p w14:paraId="40E406BF" w14:textId="025DC802" w:rsidR="00AC7693" w:rsidRDefault="00AC7693" w:rsidP="00AC7693">
      <w:pPr>
        <w:pStyle w:val="ListBullet"/>
      </w:pPr>
      <w:r>
        <w:t>19 December 2017 – relating to the 30 June 2017 financial year – to which the Board responded “</w:t>
      </w:r>
      <w:r w:rsidRPr="00AC7693">
        <w:rPr>
          <w:i/>
        </w:rPr>
        <w:t>The recommendation is noted</w:t>
      </w:r>
      <w:r>
        <w:t>”.</w:t>
      </w:r>
    </w:p>
    <w:p w14:paraId="06E39BFE" w14:textId="44E7E159" w:rsidR="00AC7693" w:rsidRDefault="00AC7693" w:rsidP="00AC7693">
      <w:pPr>
        <w:pStyle w:val="ListBullet"/>
      </w:pPr>
      <w:r>
        <w:t>8 February 2019 – relating to the 30 June 2018 financial year – to which the Board responded “</w:t>
      </w:r>
      <w:r w:rsidRPr="00AC7693">
        <w:rPr>
          <w:i/>
        </w:rPr>
        <w:t>The Board notes the audit matter</w:t>
      </w:r>
      <w:r>
        <w:t>”.</w:t>
      </w:r>
    </w:p>
    <w:p w14:paraId="1897B01A" w14:textId="7BFC580D" w:rsidR="00AC7693" w:rsidRDefault="00AC7693" w:rsidP="00AC7693">
      <w:pPr>
        <w:pStyle w:val="ListBullet"/>
      </w:pPr>
      <w:r>
        <w:t>20 May 2020 – relating to the 30 June 2019 financial year – to which the Board responded “</w:t>
      </w:r>
      <w:r w:rsidRPr="00AC7693">
        <w:rPr>
          <w:i/>
        </w:rPr>
        <w:t>The Board notes the audit matter</w:t>
      </w:r>
      <w:r>
        <w:t>”.</w:t>
      </w:r>
    </w:p>
    <w:p w14:paraId="35EE8AE9" w14:textId="77777777" w:rsidR="00190D56" w:rsidRDefault="00190D56" w:rsidP="003A1120">
      <w:pPr>
        <w:pStyle w:val="Heading5"/>
      </w:pPr>
      <w:r>
        <w:t>Delays in preparation of financial statements</w:t>
      </w:r>
    </w:p>
    <w:p w14:paraId="1B53DC85" w14:textId="77777777" w:rsidR="00190D56" w:rsidRDefault="00190D56" w:rsidP="00190D56">
      <w:pPr>
        <w:keepNext/>
      </w:pPr>
      <w:r>
        <w:t>The Cobourg Peninsula Aboriginal Land, Sanctuary and Marine Park Act 1981 states:</w:t>
      </w:r>
    </w:p>
    <w:p w14:paraId="7B3FA5EA" w14:textId="77777777" w:rsidR="00190D56" w:rsidRDefault="00190D56" w:rsidP="00190D56">
      <w:pPr>
        <w:pStyle w:val="Quote"/>
        <w:ind w:left="1418" w:hanging="554"/>
      </w:pPr>
      <w:r>
        <w:t>“(1)</w:t>
      </w:r>
      <w:r>
        <w:tab/>
        <w:t xml:space="preserve"> The Board shall, within the period of 6 months immediately following the end of the financial year or such other period as the Minister determines, prepare a report on its operations during the financial year and forward it to the Minister.</w:t>
      </w:r>
    </w:p>
    <w:p w14:paraId="53CD0CC6" w14:textId="77777777" w:rsidR="00190D56" w:rsidRDefault="00190D56" w:rsidP="00190D56">
      <w:pPr>
        <w:pStyle w:val="Quote"/>
        <w:ind w:left="1418" w:hanging="554"/>
      </w:pPr>
      <w:r>
        <w:t xml:space="preserve">(2) </w:t>
      </w:r>
      <w:r>
        <w:tab/>
        <w:t>The Minister shall table the report under subsection (1), together with the financial statement and report of the Auditor-General on the financial statement required pursuant to subsection (3), in the Legislative Assembly within 6 sitting days of the Assembly after the delivery of the later of the reports to the Minister.</w:t>
      </w:r>
    </w:p>
    <w:p w14:paraId="7C6FF10D" w14:textId="77777777" w:rsidR="00190D56" w:rsidRDefault="00190D56" w:rsidP="00190D56">
      <w:pPr>
        <w:pStyle w:val="Quote"/>
        <w:ind w:left="1418" w:hanging="554"/>
      </w:pPr>
      <w:r>
        <w:t>(3)</w:t>
      </w:r>
      <w:r>
        <w:tab/>
        <w:t>Subject to subsection (2), section 10 of the Financial Management Act 1995 applies to and in relation to the Board as if its activities were a Government Business Division within the meaning of that Act.”</w:t>
      </w:r>
    </w:p>
    <w:p w14:paraId="6D7F79DA" w14:textId="77777777" w:rsidR="00190D56" w:rsidRDefault="00190D56" w:rsidP="00190D56">
      <w:pPr>
        <w:pStyle w:val="Quote"/>
      </w:pPr>
      <w:r>
        <w:t xml:space="preserve"> Section 10 of the Financial Management Act 1995 states:</w:t>
      </w:r>
    </w:p>
    <w:p w14:paraId="4E72A365" w14:textId="2A133C6A" w:rsidR="00190D56" w:rsidRDefault="00190D56" w:rsidP="007E490A">
      <w:pPr>
        <w:pStyle w:val="Quote"/>
        <w:numPr>
          <w:ilvl w:val="0"/>
          <w:numId w:val="19"/>
        </w:numPr>
      </w:pPr>
      <w:r>
        <w:t xml:space="preserve">The Accountable Officer of an Agency responsible for a Government Business Division must, within the period of 2 months immediately following the end of the financial year or such other period as the Treasurer in a particular case determines, prepare a financial statement in respect of the Government Business Division. </w:t>
      </w:r>
    </w:p>
    <w:p w14:paraId="3DF18DEE" w14:textId="77777777" w:rsidR="001639BF" w:rsidRPr="000D515D" w:rsidRDefault="001639BF" w:rsidP="001639BF">
      <w:pPr>
        <w:pStyle w:val="Heading1-continued"/>
      </w:pPr>
      <w:r w:rsidRPr="00CE345C">
        <w:t>Cobourg Peninsula Sanctuary and Marine Park Board</w:t>
      </w:r>
      <w:r>
        <w:t xml:space="preserve"> cont…</w:t>
      </w:r>
    </w:p>
    <w:p w14:paraId="732DB32D" w14:textId="77777777" w:rsidR="001639BF" w:rsidRDefault="001639BF" w:rsidP="001639BF">
      <w:pPr>
        <w:pStyle w:val="Quote"/>
        <w:ind w:left="1418" w:hanging="554"/>
      </w:pPr>
      <w:r>
        <w:t xml:space="preserve">(2) </w:t>
      </w:r>
      <w:r>
        <w:tab/>
        <w:t xml:space="preserve">A financial statement under subsection (1) must be prepared in such form as the Treasurer directs and, unless the Treasurer directs otherwise, be prepared on commercial accounting principles. </w:t>
      </w:r>
    </w:p>
    <w:p w14:paraId="3B3FCA6C" w14:textId="77777777" w:rsidR="001639BF" w:rsidRDefault="001639BF" w:rsidP="001639BF">
      <w:pPr>
        <w:pStyle w:val="Quote"/>
        <w:ind w:left="1418" w:hanging="554"/>
      </w:pPr>
      <w:r>
        <w:t xml:space="preserve"> (3) </w:t>
      </w:r>
      <w:r>
        <w:tab/>
        <w:t xml:space="preserve">The Accountable Officer must forward the financial statement to the Auditor General who must audit the statement and report on the statement to the Minister and forward a copy of the report to the Accountable Officer. </w:t>
      </w:r>
    </w:p>
    <w:p w14:paraId="19455B7E" w14:textId="77777777" w:rsidR="001639BF" w:rsidRDefault="001639BF" w:rsidP="001639BF">
      <w:pPr>
        <w:pStyle w:val="Quote"/>
        <w:ind w:left="1418" w:hanging="554"/>
      </w:pPr>
      <w:r>
        <w:t xml:space="preserve">(4) </w:t>
      </w:r>
      <w:r>
        <w:tab/>
        <w:t>The Minister must table the financial statement and the Auditor-General's report in the Legislative Assembly within: (a) 4 months after the end of the financial year; or (b) if the Treasurer determines another period – the other period.”</w:t>
      </w:r>
    </w:p>
    <w:p w14:paraId="6CDFD3A0" w14:textId="49E3E363" w:rsidR="003D7346" w:rsidRDefault="00190D56" w:rsidP="00190D56">
      <w:r>
        <w:t xml:space="preserve">Initial information was not received </w:t>
      </w:r>
      <w:r w:rsidR="00377EFD">
        <w:t xml:space="preserve">for audit </w:t>
      </w:r>
      <w:r>
        <w:t>until January 2021</w:t>
      </w:r>
      <w:r w:rsidR="00377EFD">
        <w:t>, over</w:t>
      </w:r>
      <w:r>
        <w:t xml:space="preserve"> six months after the end of the financial y</w:t>
      </w:r>
      <w:r w:rsidR="00377EFD">
        <w:t xml:space="preserve">ear. Following further queries </w:t>
      </w:r>
      <w:r>
        <w:t>relating to the provision for the write-off of a debt receivable from a related party, updated financial statements were provided in May 2021</w:t>
      </w:r>
      <w:r w:rsidR="00F6264B">
        <w:t xml:space="preserve"> with the signed financial statements being provided on 21 June 2021</w:t>
      </w:r>
      <w:r>
        <w:t>.</w:t>
      </w:r>
    </w:p>
    <w:p w14:paraId="17ACF8CB" w14:textId="6B37CBF1" w:rsidR="003D7346" w:rsidRPr="00F6264B" w:rsidRDefault="003D7346" w:rsidP="003D7346">
      <w:pPr>
        <w:pStyle w:val="Heading4"/>
      </w:pPr>
      <w:r w:rsidRPr="00F6264B">
        <w:t>Performance Overview</w:t>
      </w:r>
    </w:p>
    <w:p w14:paraId="27DB20E5" w14:textId="77777777" w:rsidR="007F620A" w:rsidRPr="00F6264B" w:rsidRDefault="007F620A" w:rsidP="007F620A">
      <w:r w:rsidRPr="00F6264B">
        <w:t xml:space="preserve">The Board reported a deficit of $42 thousand compared to prior year’s surplus of $37 thousand. The movement of $79 thousand is attributed to: </w:t>
      </w:r>
    </w:p>
    <w:p w14:paraId="1C89A69E" w14:textId="00DAC045" w:rsidR="007F620A" w:rsidRPr="00F6264B" w:rsidRDefault="007F620A" w:rsidP="007F620A">
      <w:pPr>
        <w:pStyle w:val="ListBullet"/>
      </w:pPr>
      <w:r w:rsidRPr="00F6264B">
        <w:t xml:space="preserve">Total </w:t>
      </w:r>
      <w:r w:rsidR="00377EFD">
        <w:t>i</w:t>
      </w:r>
      <w:r w:rsidRPr="00F6264B">
        <w:t>ncome of $461 thousand (2019: $480 thousand) which decreased from the prior year by $19 thousand. This was largely attributed to a decrease of $76 thousand in Park Income and a</w:t>
      </w:r>
      <w:r w:rsidR="00377EFD">
        <w:t xml:space="preserve"> decrease of $38 thousand</w:t>
      </w:r>
      <w:r w:rsidRPr="00F6264B">
        <w:t xml:space="preserve"> in Goods and Services Received Free of Charge, partially offset by an increase of $97 thousand in Other Income. The decrease in Goods and Services income was fully offset by the associated expenditure.</w:t>
      </w:r>
    </w:p>
    <w:p w14:paraId="67C9C26E" w14:textId="7CFECAAF" w:rsidR="007F620A" w:rsidRPr="00F6264B" w:rsidRDefault="007F620A" w:rsidP="007F620A">
      <w:pPr>
        <w:pStyle w:val="ListBullet"/>
      </w:pPr>
      <w:r w:rsidRPr="00F6264B">
        <w:t xml:space="preserve">Total </w:t>
      </w:r>
      <w:r w:rsidR="00377EFD">
        <w:t>e</w:t>
      </w:r>
      <w:r w:rsidRPr="00F6264B">
        <w:t>xpenses of $503 thousand (2019: $443 thousand)</w:t>
      </w:r>
      <w:r w:rsidR="00377EFD">
        <w:t xml:space="preserve"> increased by $60 thousand</w:t>
      </w:r>
      <w:r w:rsidRPr="00F6264B">
        <w:t>. The</w:t>
      </w:r>
      <w:r w:rsidR="001639BF" w:rsidRPr="00F6264B">
        <w:t xml:space="preserve"> increase in expenditure of $60 </w:t>
      </w:r>
      <w:r w:rsidRPr="00F6264B">
        <w:t>thousand is largely due to the increase of $37 thousand in Payments to Traditional Owners and increase in Other Expenses of $61 thousand, offset by the reduction in Goods and Services received free of charges of $38 thousand.</w:t>
      </w:r>
    </w:p>
    <w:p w14:paraId="3F1678D7" w14:textId="77777777" w:rsidR="00F979B4" w:rsidRPr="000D515D" w:rsidRDefault="00F979B4" w:rsidP="0045031A">
      <w:pPr>
        <w:pStyle w:val="Heading1-continued"/>
      </w:pPr>
      <w:r w:rsidRPr="00CE345C">
        <w:t>Cobourg Peninsula Sanctuary and Marine Park Board</w:t>
      </w:r>
      <w:r>
        <w:t xml:space="preserve"> cont…</w:t>
      </w:r>
    </w:p>
    <w:p w14:paraId="5C26A2E6" w14:textId="77777777" w:rsidR="00F979B4" w:rsidRPr="00F30939" w:rsidRDefault="00F979B4" w:rsidP="00F979B4">
      <w:pPr>
        <w:pStyle w:val="Heading2"/>
      </w:pPr>
      <w:r w:rsidRPr="00F30939">
        <w:t>Financial Performance for the year</w:t>
      </w:r>
    </w:p>
    <w:tbl>
      <w:tblPr>
        <w:tblW w:w="9242" w:type="dxa"/>
        <w:tblLayout w:type="fixed"/>
        <w:tblLook w:val="04A0" w:firstRow="1" w:lastRow="0" w:firstColumn="1" w:lastColumn="0" w:noHBand="0" w:noVBand="1"/>
        <w:tblCaption w:val="Financial Performance for the year"/>
        <w:tblDescription w:val="Financial performance information for the current and prior year"/>
      </w:tblPr>
      <w:tblGrid>
        <w:gridCol w:w="6204"/>
        <w:gridCol w:w="1519"/>
        <w:gridCol w:w="1519"/>
      </w:tblGrid>
      <w:tr w:rsidR="00F979B4" w:rsidRPr="00F6264B" w14:paraId="62765695" w14:textId="77777777" w:rsidTr="00835A8C">
        <w:trPr>
          <w:cantSplit/>
          <w:trHeight w:val="454"/>
          <w:tblHeader/>
        </w:trPr>
        <w:tc>
          <w:tcPr>
            <w:tcW w:w="6204" w:type="dxa"/>
            <w:tcBorders>
              <w:bottom w:val="single" w:sz="4" w:space="0" w:color="auto"/>
            </w:tcBorders>
          </w:tcPr>
          <w:p w14:paraId="514446BE" w14:textId="77777777" w:rsidR="00F979B4" w:rsidRPr="00F30939" w:rsidRDefault="00F979B4" w:rsidP="00835A8C"/>
        </w:tc>
        <w:tc>
          <w:tcPr>
            <w:tcW w:w="1519" w:type="dxa"/>
            <w:tcBorders>
              <w:bottom w:val="single" w:sz="4" w:space="0" w:color="auto"/>
            </w:tcBorders>
          </w:tcPr>
          <w:p w14:paraId="435AC429" w14:textId="77777777" w:rsidR="00F979B4" w:rsidRPr="00F6264B" w:rsidRDefault="00F979B4" w:rsidP="00835A8C">
            <w:pPr>
              <w:jc w:val="center"/>
              <w:rPr>
                <w:b/>
              </w:rPr>
            </w:pPr>
            <w:r w:rsidRPr="00F6264B">
              <w:rPr>
                <w:b/>
              </w:rPr>
              <w:t>2020</w:t>
            </w:r>
          </w:p>
        </w:tc>
        <w:tc>
          <w:tcPr>
            <w:tcW w:w="1519" w:type="dxa"/>
            <w:tcBorders>
              <w:bottom w:val="single" w:sz="4" w:space="0" w:color="auto"/>
            </w:tcBorders>
          </w:tcPr>
          <w:p w14:paraId="0C242A45" w14:textId="77777777" w:rsidR="00F979B4" w:rsidRPr="00F6264B" w:rsidRDefault="00F979B4" w:rsidP="00835A8C">
            <w:pPr>
              <w:jc w:val="center"/>
              <w:rPr>
                <w:b/>
              </w:rPr>
            </w:pPr>
            <w:r w:rsidRPr="00F6264B">
              <w:rPr>
                <w:b/>
              </w:rPr>
              <w:t>2019</w:t>
            </w:r>
          </w:p>
        </w:tc>
      </w:tr>
      <w:tr w:rsidR="00F979B4" w:rsidRPr="00F6264B" w14:paraId="72C8547E" w14:textId="77777777" w:rsidTr="00835A8C">
        <w:trPr>
          <w:cantSplit/>
          <w:trHeight w:val="454"/>
          <w:tblHeader/>
        </w:trPr>
        <w:tc>
          <w:tcPr>
            <w:tcW w:w="6204" w:type="dxa"/>
            <w:tcBorders>
              <w:top w:val="single" w:sz="4" w:space="0" w:color="auto"/>
            </w:tcBorders>
          </w:tcPr>
          <w:p w14:paraId="70E470D6" w14:textId="77777777" w:rsidR="00F979B4" w:rsidRPr="00F6264B" w:rsidRDefault="00F979B4" w:rsidP="00835A8C"/>
        </w:tc>
        <w:tc>
          <w:tcPr>
            <w:tcW w:w="1519" w:type="dxa"/>
            <w:tcBorders>
              <w:top w:val="single" w:sz="4" w:space="0" w:color="auto"/>
            </w:tcBorders>
          </w:tcPr>
          <w:p w14:paraId="06C9B25D" w14:textId="77777777" w:rsidR="00F979B4" w:rsidRPr="00F6264B" w:rsidRDefault="00F979B4" w:rsidP="00835A8C">
            <w:pPr>
              <w:jc w:val="center"/>
              <w:rPr>
                <w:b/>
              </w:rPr>
            </w:pPr>
            <w:r w:rsidRPr="00F6264B">
              <w:rPr>
                <w:b/>
              </w:rPr>
              <w:t>$’000</w:t>
            </w:r>
          </w:p>
        </w:tc>
        <w:tc>
          <w:tcPr>
            <w:tcW w:w="1519" w:type="dxa"/>
            <w:tcBorders>
              <w:top w:val="single" w:sz="4" w:space="0" w:color="auto"/>
            </w:tcBorders>
          </w:tcPr>
          <w:p w14:paraId="02CC4D91" w14:textId="77777777" w:rsidR="00F979B4" w:rsidRPr="00F6264B" w:rsidRDefault="00F979B4" w:rsidP="00835A8C">
            <w:pPr>
              <w:jc w:val="center"/>
              <w:rPr>
                <w:b/>
              </w:rPr>
            </w:pPr>
            <w:r w:rsidRPr="00F6264B">
              <w:rPr>
                <w:b/>
              </w:rPr>
              <w:t>$’000</w:t>
            </w:r>
          </w:p>
        </w:tc>
      </w:tr>
      <w:tr w:rsidR="00F979B4" w:rsidRPr="00F6264B" w14:paraId="63D0B817" w14:textId="77777777" w:rsidTr="00835A8C">
        <w:trPr>
          <w:cantSplit/>
          <w:trHeight w:val="454"/>
        </w:trPr>
        <w:tc>
          <w:tcPr>
            <w:tcW w:w="6204" w:type="dxa"/>
          </w:tcPr>
          <w:p w14:paraId="0A5E550C" w14:textId="77777777" w:rsidR="00F979B4" w:rsidRPr="00F6264B" w:rsidRDefault="00F979B4" w:rsidP="00835A8C">
            <w:pPr>
              <w:rPr>
                <w:b/>
              </w:rPr>
            </w:pPr>
            <w:r w:rsidRPr="00F6264B">
              <w:rPr>
                <w:b/>
              </w:rPr>
              <w:t>Income</w:t>
            </w:r>
          </w:p>
        </w:tc>
        <w:tc>
          <w:tcPr>
            <w:tcW w:w="1519" w:type="dxa"/>
          </w:tcPr>
          <w:p w14:paraId="5FF16DB9" w14:textId="77777777" w:rsidR="00F979B4" w:rsidRPr="00F6264B" w:rsidRDefault="00F979B4" w:rsidP="00835A8C">
            <w:pPr>
              <w:tabs>
                <w:tab w:val="clear" w:pos="1378"/>
                <w:tab w:val="decimal" w:pos="1020"/>
              </w:tabs>
              <w:rPr>
                <w:b/>
              </w:rPr>
            </w:pPr>
          </w:p>
        </w:tc>
        <w:tc>
          <w:tcPr>
            <w:tcW w:w="1519" w:type="dxa"/>
          </w:tcPr>
          <w:p w14:paraId="4C0B2D2B" w14:textId="77777777" w:rsidR="00F979B4" w:rsidRPr="00F6264B" w:rsidRDefault="00F979B4" w:rsidP="00835A8C">
            <w:pPr>
              <w:tabs>
                <w:tab w:val="clear" w:pos="1378"/>
                <w:tab w:val="decimal" w:pos="1020"/>
              </w:tabs>
              <w:rPr>
                <w:b/>
              </w:rPr>
            </w:pPr>
          </w:p>
        </w:tc>
      </w:tr>
      <w:tr w:rsidR="00F979B4" w:rsidRPr="00F6264B" w14:paraId="323277B6" w14:textId="77777777" w:rsidTr="00835A8C">
        <w:trPr>
          <w:cantSplit/>
          <w:trHeight w:val="454"/>
        </w:trPr>
        <w:tc>
          <w:tcPr>
            <w:tcW w:w="6204" w:type="dxa"/>
          </w:tcPr>
          <w:p w14:paraId="593332A8" w14:textId="77777777" w:rsidR="00F979B4" w:rsidRPr="00F6264B" w:rsidRDefault="00F979B4" w:rsidP="00835A8C">
            <w:r w:rsidRPr="00F6264B">
              <w:t>Park income</w:t>
            </w:r>
          </w:p>
        </w:tc>
        <w:tc>
          <w:tcPr>
            <w:tcW w:w="1519" w:type="dxa"/>
          </w:tcPr>
          <w:p w14:paraId="1C2B2AE1" w14:textId="50D54472" w:rsidR="00F979B4" w:rsidRPr="00F6264B" w:rsidRDefault="00220D66" w:rsidP="00835A8C">
            <w:pPr>
              <w:tabs>
                <w:tab w:val="clear" w:pos="1378"/>
                <w:tab w:val="decimal" w:pos="1020"/>
              </w:tabs>
            </w:pPr>
            <w:r w:rsidRPr="00F6264B">
              <w:t>266</w:t>
            </w:r>
          </w:p>
        </w:tc>
        <w:tc>
          <w:tcPr>
            <w:tcW w:w="1519" w:type="dxa"/>
          </w:tcPr>
          <w:p w14:paraId="3F18B708" w14:textId="77777777" w:rsidR="00F979B4" w:rsidRPr="00F6264B" w:rsidRDefault="00F979B4" w:rsidP="00835A8C">
            <w:pPr>
              <w:tabs>
                <w:tab w:val="clear" w:pos="1378"/>
                <w:tab w:val="decimal" w:pos="1020"/>
              </w:tabs>
            </w:pPr>
            <w:r w:rsidRPr="00F6264B">
              <w:t>342</w:t>
            </w:r>
          </w:p>
        </w:tc>
      </w:tr>
      <w:tr w:rsidR="00F979B4" w:rsidRPr="00F6264B" w14:paraId="251EF1AB" w14:textId="77777777" w:rsidTr="00835A8C">
        <w:trPr>
          <w:cantSplit/>
          <w:trHeight w:val="454"/>
        </w:trPr>
        <w:tc>
          <w:tcPr>
            <w:tcW w:w="6204" w:type="dxa"/>
          </w:tcPr>
          <w:p w14:paraId="552757BC" w14:textId="77777777" w:rsidR="00F979B4" w:rsidRPr="00F6264B" w:rsidRDefault="00F979B4" w:rsidP="00835A8C">
            <w:r w:rsidRPr="00F6264B">
              <w:t>Payments to Traditional Owners</w:t>
            </w:r>
          </w:p>
        </w:tc>
        <w:tc>
          <w:tcPr>
            <w:tcW w:w="1519" w:type="dxa"/>
          </w:tcPr>
          <w:p w14:paraId="615DA03C" w14:textId="34AB2219" w:rsidR="00F979B4" w:rsidRPr="00F6264B" w:rsidRDefault="00220D66" w:rsidP="00835A8C">
            <w:pPr>
              <w:tabs>
                <w:tab w:val="clear" w:pos="1378"/>
                <w:tab w:val="decimal" w:pos="1020"/>
              </w:tabs>
            </w:pPr>
            <w:r w:rsidRPr="00F6264B">
              <w:t>(333)</w:t>
            </w:r>
          </w:p>
        </w:tc>
        <w:tc>
          <w:tcPr>
            <w:tcW w:w="1519" w:type="dxa"/>
          </w:tcPr>
          <w:p w14:paraId="5FD90EF0" w14:textId="77777777" w:rsidR="00F979B4" w:rsidRPr="00F6264B" w:rsidRDefault="00F979B4" w:rsidP="00835A8C">
            <w:pPr>
              <w:tabs>
                <w:tab w:val="clear" w:pos="1378"/>
                <w:tab w:val="decimal" w:pos="1020"/>
              </w:tabs>
            </w:pPr>
            <w:r w:rsidRPr="00F6264B">
              <w:t>(296)</w:t>
            </w:r>
          </w:p>
        </w:tc>
      </w:tr>
      <w:tr w:rsidR="00F979B4" w:rsidRPr="00F6264B" w14:paraId="171A32F6" w14:textId="77777777" w:rsidTr="00835A8C">
        <w:trPr>
          <w:cantSplit/>
          <w:trHeight w:val="454"/>
        </w:trPr>
        <w:tc>
          <w:tcPr>
            <w:tcW w:w="6204" w:type="dxa"/>
          </w:tcPr>
          <w:p w14:paraId="2F29F6DA" w14:textId="77777777" w:rsidR="00F979B4" w:rsidRPr="00F6264B" w:rsidRDefault="00F979B4" w:rsidP="00835A8C">
            <w:r w:rsidRPr="00F6264B">
              <w:t>Other revenue</w:t>
            </w:r>
          </w:p>
        </w:tc>
        <w:tc>
          <w:tcPr>
            <w:tcW w:w="1519" w:type="dxa"/>
          </w:tcPr>
          <w:p w14:paraId="77EFD8D7" w14:textId="2C9FC2A5" w:rsidR="00F979B4" w:rsidRPr="00F6264B" w:rsidRDefault="00220D66" w:rsidP="00835A8C">
            <w:pPr>
              <w:tabs>
                <w:tab w:val="clear" w:pos="1378"/>
                <w:tab w:val="decimal" w:pos="1020"/>
              </w:tabs>
            </w:pPr>
            <w:r w:rsidRPr="00F6264B">
              <w:t>195</w:t>
            </w:r>
          </w:p>
        </w:tc>
        <w:tc>
          <w:tcPr>
            <w:tcW w:w="1519" w:type="dxa"/>
          </w:tcPr>
          <w:p w14:paraId="475EB388" w14:textId="77777777" w:rsidR="00F979B4" w:rsidRPr="00F6264B" w:rsidRDefault="00F979B4" w:rsidP="00835A8C">
            <w:pPr>
              <w:tabs>
                <w:tab w:val="clear" w:pos="1378"/>
                <w:tab w:val="decimal" w:pos="1020"/>
              </w:tabs>
            </w:pPr>
            <w:r w:rsidRPr="00F6264B">
              <w:t>138</w:t>
            </w:r>
          </w:p>
        </w:tc>
      </w:tr>
      <w:tr w:rsidR="00F979B4" w:rsidRPr="00F6264B" w14:paraId="14A01DDC" w14:textId="77777777" w:rsidTr="00835A8C">
        <w:trPr>
          <w:cantSplit/>
          <w:trHeight w:val="454"/>
        </w:trPr>
        <w:tc>
          <w:tcPr>
            <w:tcW w:w="6204" w:type="dxa"/>
            <w:tcBorders>
              <w:bottom w:val="single" w:sz="4" w:space="0" w:color="auto"/>
            </w:tcBorders>
          </w:tcPr>
          <w:p w14:paraId="6321D6F0" w14:textId="77777777" w:rsidR="00F979B4" w:rsidRPr="00F6264B" w:rsidRDefault="00F979B4" w:rsidP="00835A8C">
            <w:pPr>
              <w:tabs>
                <w:tab w:val="clear" w:pos="1378"/>
                <w:tab w:val="decimal" w:pos="1020"/>
              </w:tabs>
              <w:rPr>
                <w:b/>
              </w:rPr>
            </w:pPr>
            <w:r w:rsidRPr="00F6264B">
              <w:rPr>
                <w:b/>
              </w:rPr>
              <w:t>Total income</w:t>
            </w:r>
          </w:p>
        </w:tc>
        <w:tc>
          <w:tcPr>
            <w:tcW w:w="1519" w:type="dxa"/>
            <w:tcBorders>
              <w:bottom w:val="single" w:sz="4" w:space="0" w:color="auto"/>
            </w:tcBorders>
          </w:tcPr>
          <w:p w14:paraId="243FB1A5" w14:textId="60255644" w:rsidR="00F979B4" w:rsidRPr="00F6264B" w:rsidRDefault="00220D66" w:rsidP="00835A8C">
            <w:pPr>
              <w:tabs>
                <w:tab w:val="clear" w:pos="1378"/>
                <w:tab w:val="decimal" w:pos="1020"/>
              </w:tabs>
              <w:rPr>
                <w:b/>
              </w:rPr>
            </w:pPr>
            <w:r w:rsidRPr="00F6264B">
              <w:rPr>
                <w:b/>
              </w:rPr>
              <w:t>128</w:t>
            </w:r>
          </w:p>
        </w:tc>
        <w:tc>
          <w:tcPr>
            <w:tcW w:w="1519" w:type="dxa"/>
            <w:tcBorders>
              <w:bottom w:val="single" w:sz="4" w:space="0" w:color="auto"/>
            </w:tcBorders>
          </w:tcPr>
          <w:p w14:paraId="3A8ED578" w14:textId="77777777" w:rsidR="00F979B4" w:rsidRPr="00F6264B" w:rsidRDefault="00F979B4" w:rsidP="00835A8C">
            <w:pPr>
              <w:tabs>
                <w:tab w:val="clear" w:pos="1378"/>
                <w:tab w:val="decimal" w:pos="1020"/>
              </w:tabs>
              <w:rPr>
                <w:b/>
              </w:rPr>
            </w:pPr>
            <w:r w:rsidRPr="00F6264B">
              <w:rPr>
                <w:b/>
              </w:rPr>
              <w:t>184</w:t>
            </w:r>
          </w:p>
        </w:tc>
      </w:tr>
      <w:tr w:rsidR="00F979B4" w:rsidRPr="00F6264B" w14:paraId="5C537749" w14:textId="77777777" w:rsidTr="00835A8C">
        <w:trPr>
          <w:cantSplit/>
          <w:trHeight w:val="454"/>
        </w:trPr>
        <w:tc>
          <w:tcPr>
            <w:tcW w:w="6204" w:type="dxa"/>
            <w:tcBorders>
              <w:top w:val="single" w:sz="4" w:space="0" w:color="auto"/>
            </w:tcBorders>
          </w:tcPr>
          <w:p w14:paraId="5DA63C6A" w14:textId="77777777" w:rsidR="00F979B4" w:rsidRPr="00F6264B" w:rsidRDefault="00F979B4" w:rsidP="00835A8C">
            <w:pPr>
              <w:rPr>
                <w:b/>
              </w:rPr>
            </w:pPr>
            <w:r w:rsidRPr="00F6264B">
              <w:rPr>
                <w:b/>
              </w:rPr>
              <w:t>Expenditure</w:t>
            </w:r>
          </w:p>
        </w:tc>
        <w:tc>
          <w:tcPr>
            <w:tcW w:w="1519" w:type="dxa"/>
            <w:tcBorders>
              <w:top w:val="single" w:sz="4" w:space="0" w:color="auto"/>
            </w:tcBorders>
          </w:tcPr>
          <w:p w14:paraId="4D6890E3" w14:textId="77777777" w:rsidR="00F979B4" w:rsidRPr="00F6264B" w:rsidRDefault="00F979B4" w:rsidP="00835A8C">
            <w:pPr>
              <w:tabs>
                <w:tab w:val="clear" w:pos="1378"/>
                <w:tab w:val="decimal" w:pos="1020"/>
              </w:tabs>
              <w:rPr>
                <w:b/>
              </w:rPr>
            </w:pPr>
          </w:p>
        </w:tc>
        <w:tc>
          <w:tcPr>
            <w:tcW w:w="1519" w:type="dxa"/>
            <w:tcBorders>
              <w:top w:val="single" w:sz="4" w:space="0" w:color="auto"/>
            </w:tcBorders>
          </w:tcPr>
          <w:p w14:paraId="3F8B4143" w14:textId="77777777" w:rsidR="00F979B4" w:rsidRPr="00F6264B" w:rsidRDefault="00F979B4" w:rsidP="00835A8C">
            <w:pPr>
              <w:tabs>
                <w:tab w:val="clear" w:pos="1378"/>
                <w:tab w:val="decimal" w:pos="1020"/>
              </w:tabs>
              <w:rPr>
                <w:b/>
              </w:rPr>
            </w:pPr>
          </w:p>
        </w:tc>
      </w:tr>
      <w:tr w:rsidR="00F979B4" w:rsidRPr="00F6264B" w14:paraId="3B4B3A8C" w14:textId="77777777" w:rsidTr="00835A8C">
        <w:trPr>
          <w:cantSplit/>
          <w:trHeight w:val="454"/>
        </w:trPr>
        <w:tc>
          <w:tcPr>
            <w:tcW w:w="6204" w:type="dxa"/>
          </w:tcPr>
          <w:p w14:paraId="09142475" w14:textId="77777777" w:rsidR="00F979B4" w:rsidRPr="00F6264B" w:rsidRDefault="00F979B4" w:rsidP="00835A8C">
            <w:r w:rsidRPr="00F6264B">
              <w:t>Operational costs</w:t>
            </w:r>
          </w:p>
        </w:tc>
        <w:tc>
          <w:tcPr>
            <w:tcW w:w="1519" w:type="dxa"/>
          </w:tcPr>
          <w:p w14:paraId="64C7566C" w14:textId="1FDA339F" w:rsidR="00F979B4" w:rsidRPr="00F6264B" w:rsidRDefault="00220D66" w:rsidP="00835A8C">
            <w:pPr>
              <w:tabs>
                <w:tab w:val="clear" w:pos="1378"/>
                <w:tab w:val="decimal" w:pos="1020"/>
              </w:tabs>
            </w:pPr>
            <w:r w:rsidRPr="00F6264B">
              <w:t>(170)</w:t>
            </w:r>
          </w:p>
        </w:tc>
        <w:tc>
          <w:tcPr>
            <w:tcW w:w="1519" w:type="dxa"/>
          </w:tcPr>
          <w:p w14:paraId="4E4B56BC" w14:textId="77777777" w:rsidR="00F979B4" w:rsidRPr="00F6264B" w:rsidRDefault="00F979B4" w:rsidP="00835A8C">
            <w:pPr>
              <w:tabs>
                <w:tab w:val="clear" w:pos="1378"/>
                <w:tab w:val="decimal" w:pos="1020"/>
              </w:tabs>
            </w:pPr>
            <w:r w:rsidRPr="00F6264B">
              <w:t>(147)</w:t>
            </w:r>
          </w:p>
        </w:tc>
      </w:tr>
      <w:tr w:rsidR="00F979B4" w:rsidRPr="00F6264B" w14:paraId="5EA5550A" w14:textId="77777777" w:rsidTr="00835A8C">
        <w:trPr>
          <w:cantSplit/>
          <w:trHeight w:val="454"/>
        </w:trPr>
        <w:tc>
          <w:tcPr>
            <w:tcW w:w="6204" w:type="dxa"/>
            <w:tcBorders>
              <w:bottom w:val="single" w:sz="4" w:space="0" w:color="auto"/>
            </w:tcBorders>
          </w:tcPr>
          <w:p w14:paraId="5011D4F1" w14:textId="77777777" w:rsidR="00F979B4" w:rsidRPr="00F6264B" w:rsidRDefault="00F979B4" w:rsidP="00835A8C">
            <w:pPr>
              <w:rPr>
                <w:b/>
              </w:rPr>
            </w:pPr>
            <w:r w:rsidRPr="00F6264B">
              <w:rPr>
                <w:b/>
              </w:rPr>
              <w:t>Total expenditure</w:t>
            </w:r>
          </w:p>
        </w:tc>
        <w:tc>
          <w:tcPr>
            <w:tcW w:w="1519" w:type="dxa"/>
            <w:tcBorders>
              <w:bottom w:val="single" w:sz="4" w:space="0" w:color="auto"/>
            </w:tcBorders>
          </w:tcPr>
          <w:p w14:paraId="5722F159" w14:textId="06ACACCA" w:rsidR="00F979B4" w:rsidRPr="00F6264B" w:rsidRDefault="00220D66" w:rsidP="00835A8C">
            <w:pPr>
              <w:tabs>
                <w:tab w:val="clear" w:pos="1378"/>
                <w:tab w:val="decimal" w:pos="1020"/>
              </w:tabs>
              <w:rPr>
                <w:b/>
              </w:rPr>
            </w:pPr>
            <w:r w:rsidRPr="00F6264B">
              <w:rPr>
                <w:b/>
              </w:rPr>
              <w:t>(170)</w:t>
            </w:r>
          </w:p>
        </w:tc>
        <w:tc>
          <w:tcPr>
            <w:tcW w:w="1519" w:type="dxa"/>
            <w:tcBorders>
              <w:bottom w:val="single" w:sz="4" w:space="0" w:color="auto"/>
            </w:tcBorders>
          </w:tcPr>
          <w:p w14:paraId="7291CE54" w14:textId="77777777" w:rsidR="00F979B4" w:rsidRPr="00F6264B" w:rsidRDefault="00F979B4" w:rsidP="00835A8C">
            <w:pPr>
              <w:tabs>
                <w:tab w:val="clear" w:pos="1378"/>
                <w:tab w:val="decimal" w:pos="1020"/>
              </w:tabs>
              <w:rPr>
                <w:b/>
              </w:rPr>
            </w:pPr>
            <w:r w:rsidRPr="00F6264B">
              <w:rPr>
                <w:b/>
              </w:rPr>
              <w:t>(147)</w:t>
            </w:r>
          </w:p>
        </w:tc>
      </w:tr>
      <w:tr w:rsidR="00F979B4" w:rsidRPr="007165BD" w14:paraId="7BE29083" w14:textId="77777777" w:rsidTr="00835A8C">
        <w:trPr>
          <w:cantSplit/>
          <w:trHeight w:val="454"/>
        </w:trPr>
        <w:tc>
          <w:tcPr>
            <w:tcW w:w="6204" w:type="dxa"/>
            <w:tcBorders>
              <w:bottom w:val="single" w:sz="4" w:space="0" w:color="auto"/>
            </w:tcBorders>
          </w:tcPr>
          <w:p w14:paraId="07BC4976" w14:textId="09B18D39" w:rsidR="00F979B4" w:rsidRPr="00F6264B" w:rsidRDefault="00F979B4" w:rsidP="00835A8C">
            <w:pPr>
              <w:rPr>
                <w:b/>
              </w:rPr>
            </w:pPr>
            <w:r w:rsidRPr="00F6264B">
              <w:rPr>
                <w:b/>
              </w:rPr>
              <w:t>Surplus</w:t>
            </w:r>
            <w:r w:rsidR="00C52911">
              <w:rPr>
                <w:b/>
              </w:rPr>
              <w:t>/(deficit)</w:t>
            </w:r>
          </w:p>
        </w:tc>
        <w:tc>
          <w:tcPr>
            <w:tcW w:w="1519" w:type="dxa"/>
            <w:tcBorders>
              <w:bottom w:val="single" w:sz="4" w:space="0" w:color="auto"/>
            </w:tcBorders>
          </w:tcPr>
          <w:p w14:paraId="5D5AEBC3" w14:textId="3F53753B" w:rsidR="00F979B4" w:rsidRPr="00F6264B" w:rsidRDefault="00220D66" w:rsidP="00835A8C">
            <w:pPr>
              <w:tabs>
                <w:tab w:val="clear" w:pos="1378"/>
                <w:tab w:val="decimal" w:pos="1020"/>
              </w:tabs>
              <w:rPr>
                <w:b/>
              </w:rPr>
            </w:pPr>
            <w:r w:rsidRPr="00F6264B">
              <w:rPr>
                <w:b/>
              </w:rPr>
              <w:t>(42)</w:t>
            </w:r>
          </w:p>
        </w:tc>
        <w:tc>
          <w:tcPr>
            <w:tcW w:w="1519" w:type="dxa"/>
            <w:tcBorders>
              <w:bottom w:val="single" w:sz="4" w:space="0" w:color="auto"/>
            </w:tcBorders>
          </w:tcPr>
          <w:p w14:paraId="04138504" w14:textId="77777777" w:rsidR="00F979B4" w:rsidRPr="007165BD" w:rsidRDefault="00F979B4" w:rsidP="00835A8C">
            <w:pPr>
              <w:tabs>
                <w:tab w:val="clear" w:pos="1378"/>
                <w:tab w:val="decimal" w:pos="1020"/>
              </w:tabs>
              <w:rPr>
                <w:b/>
              </w:rPr>
            </w:pPr>
            <w:r w:rsidRPr="00F6264B">
              <w:rPr>
                <w:b/>
              </w:rPr>
              <w:t>37</w:t>
            </w:r>
          </w:p>
        </w:tc>
      </w:tr>
    </w:tbl>
    <w:p w14:paraId="3DCEFC48" w14:textId="77777777" w:rsidR="00F979B4" w:rsidRPr="00F30939" w:rsidRDefault="00F979B4" w:rsidP="00F979B4"/>
    <w:p w14:paraId="48B13863" w14:textId="77777777" w:rsidR="00F979B4" w:rsidRPr="000D515D" w:rsidRDefault="00F979B4" w:rsidP="0045031A">
      <w:pPr>
        <w:pStyle w:val="Heading1-continued"/>
      </w:pPr>
      <w:r w:rsidRPr="00CE345C">
        <w:t>Cobourg Peninsula Sanctuary and Marine Park Board</w:t>
      </w:r>
      <w:r>
        <w:t xml:space="preserve"> cont…</w:t>
      </w:r>
    </w:p>
    <w:p w14:paraId="51CD0CD3" w14:textId="77777777" w:rsidR="00F979B4" w:rsidRPr="00F30939" w:rsidRDefault="00F979B4" w:rsidP="00F979B4">
      <w:pPr>
        <w:pStyle w:val="Heading2"/>
      </w:pPr>
      <w:r w:rsidRPr="00F30939">
        <w:t>Financial Position at year end</w:t>
      </w:r>
    </w:p>
    <w:tbl>
      <w:tblPr>
        <w:tblW w:w="9100" w:type="dxa"/>
        <w:tblLayout w:type="fixed"/>
        <w:tblLook w:val="04A0" w:firstRow="1" w:lastRow="0" w:firstColumn="1" w:lastColumn="0" w:noHBand="0" w:noVBand="1"/>
        <w:tblCaption w:val="Financial Position at year end"/>
        <w:tblDescription w:val="Financial position information for the current and prior year&#10;"/>
      </w:tblPr>
      <w:tblGrid>
        <w:gridCol w:w="6062"/>
        <w:gridCol w:w="1519"/>
        <w:gridCol w:w="1519"/>
      </w:tblGrid>
      <w:tr w:rsidR="00F979B4" w:rsidRPr="00F6264B" w14:paraId="53B3ED99" w14:textId="77777777" w:rsidTr="00835A8C">
        <w:trPr>
          <w:cantSplit/>
          <w:trHeight w:val="454"/>
          <w:tblHeader/>
        </w:trPr>
        <w:tc>
          <w:tcPr>
            <w:tcW w:w="6062" w:type="dxa"/>
            <w:tcBorders>
              <w:bottom w:val="single" w:sz="4" w:space="0" w:color="auto"/>
            </w:tcBorders>
          </w:tcPr>
          <w:p w14:paraId="4271D2D8" w14:textId="77777777" w:rsidR="00F979B4" w:rsidRPr="00F30939" w:rsidRDefault="00F979B4" w:rsidP="00835A8C"/>
        </w:tc>
        <w:tc>
          <w:tcPr>
            <w:tcW w:w="1519" w:type="dxa"/>
            <w:tcBorders>
              <w:bottom w:val="single" w:sz="4" w:space="0" w:color="auto"/>
            </w:tcBorders>
          </w:tcPr>
          <w:p w14:paraId="23B27A4B" w14:textId="77777777" w:rsidR="00F979B4" w:rsidRPr="00F6264B" w:rsidRDefault="00F979B4" w:rsidP="00835A8C">
            <w:pPr>
              <w:jc w:val="center"/>
              <w:rPr>
                <w:b/>
              </w:rPr>
            </w:pPr>
            <w:r w:rsidRPr="00F6264B">
              <w:rPr>
                <w:b/>
              </w:rPr>
              <w:t>2020</w:t>
            </w:r>
          </w:p>
        </w:tc>
        <w:tc>
          <w:tcPr>
            <w:tcW w:w="1519" w:type="dxa"/>
            <w:tcBorders>
              <w:bottom w:val="single" w:sz="4" w:space="0" w:color="auto"/>
            </w:tcBorders>
          </w:tcPr>
          <w:p w14:paraId="110A5036" w14:textId="77777777" w:rsidR="00F979B4" w:rsidRPr="00F6264B" w:rsidRDefault="00F979B4" w:rsidP="00835A8C">
            <w:pPr>
              <w:jc w:val="center"/>
              <w:rPr>
                <w:b/>
              </w:rPr>
            </w:pPr>
            <w:r w:rsidRPr="00F6264B">
              <w:rPr>
                <w:b/>
              </w:rPr>
              <w:t>2019</w:t>
            </w:r>
          </w:p>
        </w:tc>
      </w:tr>
      <w:tr w:rsidR="00F979B4" w:rsidRPr="00F6264B" w14:paraId="6780A16E" w14:textId="77777777" w:rsidTr="00835A8C">
        <w:trPr>
          <w:cantSplit/>
          <w:trHeight w:val="454"/>
          <w:tblHeader/>
        </w:trPr>
        <w:tc>
          <w:tcPr>
            <w:tcW w:w="6062" w:type="dxa"/>
            <w:tcBorders>
              <w:top w:val="single" w:sz="4" w:space="0" w:color="auto"/>
            </w:tcBorders>
          </w:tcPr>
          <w:p w14:paraId="38AEF973" w14:textId="77777777" w:rsidR="00F979B4" w:rsidRPr="00F6264B" w:rsidRDefault="00F979B4" w:rsidP="00835A8C"/>
        </w:tc>
        <w:tc>
          <w:tcPr>
            <w:tcW w:w="1519" w:type="dxa"/>
            <w:tcBorders>
              <w:top w:val="single" w:sz="4" w:space="0" w:color="auto"/>
            </w:tcBorders>
          </w:tcPr>
          <w:p w14:paraId="2BA475B7" w14:textId="77777777" w:rsidR="00F979B4" w:rsidRPr="00F6264B" w:rsidRDefault="00F979B4" w:rsidP="00835A8C">
            <w:pPr>
              <w:jc w:val="center"/>
              <w:rPr>
                <w:b/>
              </w:rPr>
            </w:pPr>
            <w:r w:rsidRPr="00F6264B">
              <w:rPr>
                <w:b/>
              </w:rPr>
              <w:t>$’000</w:t>
            </w:r>
          </w:p>
        </w:tc>
        <w:tc>
          <w:tcPr>
            <w:tcW w:w="1519" w:type="dxa"/>
            <w:tcBorders>
              <w:top w:val="single" w:sz="4" w:space="0" w:color="auto"/>
            </w:tcBorders>
          </w:tcPr>
          <w:p w14:paraId="5F44A527" w14:textId="77777777" w:rsidR="00F979B4" w:rsidRPr="00F6264B" w:rsidRDefault="00F979B4" w:rsidP="00835A8C">
            <w:pPr>
              <w:jc w:val="center"/>
              <w:rPr>
                <w:b/>
              </w:rPr>
            </w:pPr>
            <w:r w:rsidRPr="00F6264B">
              <w:rPr>
                <w:b/>
              </w:rPr>
              <w:t>$’000</w:t>
            </w:r>
          </w:p>
        </w:tc>
      </w:tr>
      <w:tr w:rsidR="00F979B4" w:rsidRPr="00F6264B" w14:paraId="67FD8694" w14:textId="77777777" w:rsidTr="00835A8C">
        <w:trPr>
          <w:cantSplit/>
          <w:trHeight w:val="454"/>
        </w:trPr>
        <w:tc>
          <w:tcPr>
            <w:tcW w:w="6062" w:type="dxa"/>
          </w:tcPr>
          <w:p w14:paraId="4CBDF81D" w14:textId="77777777" w:rsidR="00F979B4" w:rsidRPr="00F6264B" w:rsidRDefault="00F979B4" w:rsidP="00835A8C">
            <w:r w:rsidRPr="00F6264B">
              <w:t>Cash and cash equivalents</w:t>
            </w:r>
          </w:p>
        </w:tc>
        <w:tc>
          <w:tcPr>
            <w:tcW w:w="1519" w:type="dxa"/>
          </w:tcPr>
          <w:p w14:paraId="2EE453BE" w14:textId="6A5DD38E" w:rsidR="00F979B4" w:rsidRPr="00F6264B" w:rsidRDefault="00220D66" w:rsidP="00835A8C">
            <w:pPr>
              <w:tabs>
                <w:tab w:val="clear" w:pos="1378"/>
                <w:tab w:val="decimal" w:pos="1020"/>
              </w:tabs>
            </w:pPr>
            <w:r w:rsidRPr="00F6264B">
              <w:t>335</w:t>
            </w:r>
          </w:p>
        </w:tc>
        <w:tc>
          <w:tcPr>
            <w:tcW w:w="1519" w:type="dxa"/>
          </w:tcPr>
          <w:p w14:paraId="086D6663" w14:textId="77777777" w:rsidR="00F979B4" w:rsidRPr="00F6264B" w:rsidRDefault="00F979B4" w:rsidP="00835A8C">
            <w:pPr>
              <w:tabs>
                <w:tab w:val="clear" w:pos="1378"/>
                <w:tab w:val="decimal" w:pos="1020"/>
              </w:tabs>
            </w:pPr>
            <w:r w:rsidRPr="00F6264B">
              <w:t>303</w:t>
            </w:r>
          </w:p>
        </w:tc>
      </w:tr>
      <w:tr w:rsidR="00F979B4" w:rsidRPr="00F6264B" w14:paraId="798E1F00" w14:textId="77777777" w:rsidTr="00835A8C">
        <w:trPr>
          <w:cantSplit/>
          <w:trHeight w:val="454"/>
        </w:trPr>
        <w:tc>
          <w:tcPr>
            <w:tcW w:w="6062" w:type="dxa"/>
          </w:tcPr>
          <w:p w14:paraId="0420D8D3" w14:textId="77777777" w:rsidR="00F979B4" w:rsidRPr="00F6264B" w:rsidRDefault="00F979B4" w:rsidP="00835A8C">
            <w:r w:rsidRPr="00F6264B">
              <w:t>Receivables and other current assets</w:t>
            </w:r>
          </w:p>
        </w:tc>
        <w:tc>
          <w:tcPr>
            <w:tcW w:w="1519" w:type="dxa"/>
          </w:tcPr>
          <w:p w14:paraId="7B2AD032" w14:textId="03A90F5C" w:rsidR="00F979B4" w:rsidRPr="00F6264B" w:rsidRDefault="00220D66" w:rsidP="00835A8C">
            <w:pPr>
              <w:tabs>
                <w:tab w:val="clear" w:pos="1378"/>
                <w:tab w:val="decimal" w:pos="1020"/>
              </w:tabs>
            </w:pPr>
            <w:r w:rsidRPr="00F6264B">
              <w:t>45</w:t>
            </w:r>
          </w:p>
        </w:tc>
        <w:tc>
          <w:tcPr>
            <w:tcW w:w="1519" w:type="dxa"/>
          </w:tcPr>
          <w:p w14:paraId="3481FB30" w14:textId="77777777" w:rsidR="00F979B4" w:rsidRPr="00F6264B" w:rsidRDefault="00F979B4" w:rsidP="00835A8C">
            <w:pPr>
              <w:tabs>
                <w:tab w:val="clear" w:pos="1378"/>
                <w:tab w:val="decimal" w:pos="1020"/>
              </w:tabs>
            </w:pPr>
            <w:r w:rsidRPr="00F6264B">
              <w:t>187</w:t>
            </w:r>
          </w:p>
        </w:tc>
      </w:tr>
      <w:tr w:rsidR="00F979B4" w:rsidRPr="00F6264B" w14:paraId="1B1F0D22" w14:textId="77777777" w:rsidTr="00835A8C">
        <w:trPr>
          <w:cantSplit/>
          <w:trHeight w:val="454"/>
        </w:trPr>
        <w:tc>
          <w:tcPr>
            <w:tcW w:w="6062" w:type="dxa"/>
          </w:tcPr>
          <w:p w14:paraId="5C48368A" w14:textId="77777777" w:rsidR="00F979B4" w:rsidRPr="00F6264B" w:rsidRDefault="00F979B4" w:rsidP="00835A8C">
            <w:r w:rsidRPr="00F6264B">
              <w:t>Less current liabilities</w:t>
            </w:r>
          </w:p>
        </w:tc>
        <w:tc>
          <w:tcPr>
            <w:tcW w:w="1519" w:type="dxa"/>
          </w:tcPr>
          <w:p w14:paraId="59612991" w14:textId="20E111F6" w:rsidR="00F979B4" w:rsidRPr="00F6264B" w:rsidRDefault="00220D66" w:rsidP="00835A8C">
            <w:pPr>
              <w:tabs>
                <w:tab w:val="clear" w:pos="1378"/>
                <w:tab w:val="decimal" w:pos="1020"/>
              </w:tabs>
            </w:pPr>
            <w:r w:rsidRPr="00F6264B">
              <w:t>(110)</w:t>
            </w:r>
          </w:p>
        </w:tc>
        <w:tc>
          <w:tcPr>
            <w:tcW w:w="1519" w:type="dxa"/>
          </w:tcPr>
          <w:p w14:paraId="7F848CEB" w14:textId="77777777" w:rsidR="00F979B4" w:rsidRPr="00F6264B" w:rsidRDefault="00F979B4" w:rsidP="00835A8C">
            <w:pPr>
              <w:tabs>
                <w:tab w:val="clear" w:pos="1378"/>
                <w:tab w:val="decimal" w:pos="1020"/>
              </w:tabs>
            </w:pPr>
            <w:r w:rsidRPr="00F6264B">
              <w:t>(178)</w:t>
            </w:r>
          </w:p>
        </w:tc>
      </w:tr>
      <w:tr w:rsidR="00F979B4" w:rsidRPr="00F6264B" w14:paraId="12B7652F" w14:textId="77777777" w:rsidTr="00835A8C">
        <w:trPr>
          <w:cantSplit/>
          <w:trHeight w:val="454"/>
        </w:trPr>
        <w:tc>
          <w:tcPr>
            <w:tcW w:w="6062" w:type="dxa"/>
            <w:tcBorders>
              <w:bottom w:val="single" w:sz="4" w:space="0" w:color="auto"/>
            </w:tcBorders>
          </w:tcPr>
          <w:p w14:paraId="11478B46" w14:textId="77777777" w:rsidR="00F979B4" w:rsidRPr="00F6264B" w:rsidRDefault="00F979B4" w:rsidP="00835A8C">
            <w:pPr>
              <w:rPr>
                <w:b/>
              </w:rPr>
            </w:pPr>
            <w:r w:rsidRPr="00F6264B">
              <w:rPr>
                <w:b/>
              </w:rPr>
              <w:t>Working Capital</w:t>
            </w:r>
          </w:p>
        </w:tc>
        <w:tc>
          <w:tcPr>
            <w:tcW w:w="1519" w:type="dxa"/>
            <w:tcBorders>
              <w:bottom w:val="single" w:sz="4" w:space="0" w:color="auto"/>
            </w:tcBorders>
          </w:tcPr>
          <w:p w14:paraId="00B6BF92" w14:textId="7B71E654" w:rsidR="00F979B4" w:rsidRPr="00F6264B" w:rsidRDefault="00220D66" w:rsidP="00835A8C">
            <w:pPr>
              <w:tabs>
                <w:tab w:val="clear" w:pos="1378"/>
                <w:tab w:val="decimal" w:pos="1020"/>
              </w:tabs>
              <w:rPr>
                <w:b/>
              </w:rPr>
            </w:pPr>
            <w:r w:rsidRPr="00F6264B">
              <w:rPr>
                <w:b/>
              </w:rPr>
              <w:t>270</w:t>
            </w:r>
          </w:p>
        </w:tc>
        <w:tc>
          <w:tcPr>
            <w:tcW w:w="1519" w:type="dxa"/>
            <w:tcBorders>
              <w:bottom w:val="single" w:sz="4" w:space="0" w:color="auto"/>
            </w:tcBorders>
          </w:tcPr>
          <w:p w14:paraId="7DDFEDEC" w14:textId="77777777" w:rsidR="00F979B4" w:rsidRPr="00F6264B" w:rsidRDefault="00F979B4" w:rsidP="00835A8C">
            <w:pPr>
              <w:tabs>
                <w:tab w:val="clear" w:pos="1378"/>
                <w:tab w:val="decimal" w:pos="1020"/>
              </w:tabs>
              <w:rPr>
                <w:b/>
              </w:rPr>
            </w:pPr>
            <w:r w:rsidRPr="00F6264B">
              <w:rPr>
                <w:b/>
              </w:rPr>
              <w:t>312</w:t>
            </w:r>
          </w:p>
        </w:tc>
      </w:tr>
      <w:tr w:rsidR="00F979B4" w:rsidRPr="00F6264B" w14:paraId="67F7D568" w14:textId="77777777" w:rsidTr="00835A8C">
        <w:trPr>
          <w:cantSplit/>
          <w:trHeight w:val="454"/>
        </w:trPr>
        <w:tc>
          <w:tcPr>
            <w:tcW w:w="6062" w:type="dxa"/>
          </w:tcPr>
          <w:p w14:paraId="20B1710D" w14:textId="77777777" w:rsidR="00F979B4" w:rsidRPr="00F6264B" w:rsidRDefault="00F979B4" w:rsidP="00835A8C">
            <w:r w:rsidRPr="00F6264B">
              <w:t>Add non-current assets</w:t>
            </w:r>
          </w:p>
        </w:tc>
        <w:tc>
          <w:tcPr>
            <w:tcW w:w="1519" w:type="dxa"/>
          </w:tcPr>
          <w:p w14:paraId="524AC34F" w14:textId="53F70265" w:rsidR="00F979B4" w:rsidRPr="00F6264B" w:rsidRDefault="00220D66" w:rsidP="00835A8C">
            <w:pPr>
              <w:tabs>
                <w:tab w:val="clear" w:pos="1378"/>
                <w:tab w:val="decimal" w:pos="1020"/>
              </w:tabs>
            </w:pPr>
            <w:r w:rsidRPr="00F6264B">
              <w:t>-</w:t>
            </w:r>
          </w:p>
        </w:tc>
        <w:tc>
          <w:tcPr>
            <w:tcW w:w="1519" w:type="dxa"/>
          </w:tcPr>
          <w:p w14:paraId="19338166" w14:textId="77777777" w:rsidR="00F979B4" w:rsidRPr="00F6264B" w:rsidRDefault="00F979B4" w:rsidP="00835A8C">
            <w:pPr>
              <w:tabs>
                <w:tab w:val="clear" w:pos="1378"/>
                <w:tab w:val="decimal" w:pos="1020"/>
              </w:tabs>
            </w:pPr>
            <w:r w:rsidRPr="00F6264B">
              <w:t>-</w:t>
            </w:r>
          </w:p>
        </w:tc>
      </w:tr>
      <w:tr w:rsidR="00F979B4" w:rsidRPr="00F6264B" w14:paraId="02A45970" w14:textId="77777777" w:rsidTr="00835A8C">
        <w:trPr>
          <w:cantSplit/>
          <w:trHeight w:val="454"/>
        </w:trPr>
        <w:tc>
          <w:tcPr>
            <w:tcW w:w="6062" w:type="dxa"/>
          </w:tcPr>
          <w:p w14:paraId="29C2EF31" w14:textId="77777777" w:rsidR="00F979B4" w:rsidRPr="00F6264B" w:rsidRDefault="00F979B4" w:rsidP="00835A8C">
            <w:r w:rsidRPr="00F6264B">
              <w:t>Less non-current liabilities</w:t>
            </w:r>
          </w:p>
        </w:tc>
        <w:tc>
          <w:tcPr>
            <w:tcW w:w="1519" w:type="dxa"/>
          </w:tcPr>
          <w:p w14:paraId="365F00AB" w14:textId="30C020E2" w:rsidR="00F979B4" w:rsidRPr="00F6264B" w:rsidRDefault="00220D66" w:rsidP="00835A8C">
            <w:pPr>
              <w:tabs>
                <w:tab w:val="clear" w:pos="1378"/>
                <w:tab w:val="decimal" w:pos="1020"/>
              </w:tabs>
            </w:pPr>
            <w:r w:rsidRPr="00F6264B">
              <w:t>-</w:t>
            </w:r>
          </w:p>
        </w:tc>
        <w:tc>
          <w:tcPr>
            <w:tcW w:w="1519" w:type="dxa"/>
          </w:tcPr>
          <w:p w14:paraId="75A9801A" w14:textId="77777777" w:rsidR="00F979B4" w:rsidRPr="00F6264B" w:rsidRDefault="00F979B4" w:rsidP="00835A8C">
            <w:pPr>
              <w:tabs>
                <w:tab w:val="clear" w:pos="1378"/>
                <w:tab w:val="decimal" w:pos="1020"/>
              </w:tabs>
            </w:pPr>
            <w:r w:rsidRPr="00F6264B">
              <w:t>-</w:t>
            </w:r>
          </w:p>
        </w:tc>
      </w:tr>
      <w:tr w:rsidR="00F979B4" w:rsidRPr="00F6264B" w14:paraId="503D4C3E" w14:textId="77777777" w:rsidTr="00835A8C">
        <w:trPr>
          <w:cantSplit/>
          <w:trHeight w:val="454"/>
        </w:trPr>
        <w:tc>
          <w:tcPr>
            <w:tcW w:w="6062" w:type="dxa"/>
            <w:tcBorders>
              <w:bottom w:val="single" w:sz="4" w:space="0" w:color="auto"/>
            </w:tcBorders>
          </w:tcPr>
          <w:p w14:paraId="7607D80E" w14:textId="77777777" w:rsidR="00F979B4" w:rsidRPr="00F6264B" w:rsidRDefault="00F979B4" w:rsidP="00835A8C">
            <w:pPr>
              <w:rPr>
                <w:b/>
              </w:rPr>
            </w:pPr>
            <w:r w:rsidRPr="00F6264B">
              <w:rPr>
                <w:b/>
              </w:rPr>
              <w:t>Net Assets</w:t>
            </w:r>
          </w:p>
        </w:tc>
        <w:tc>
          <w:tcPr>
            <w:tcW w:w="1519" w:type="dxa"/>
            <w:tcBorders>
              <w:bottom w:val="single" w:sz="4" w:space="0" w:color="auto"/>
            </w:tcBorders>
          </w:tcPr>
          <w:p w14:paraId="25F87E09" w14:textId="78D9D910" w:rsidR="00F979B4" w:rsidRPr="00F6264B" w:rsidRDefault="00220D66" w:rsidP="00835A8C">
            <w:pPr>
              <w:tabs>
                <w:tab w:val="clear" w:pos="1378"/>
                <w:tab w:val="decimal" w:pos="1020"/>
              </w:tabs>
              <w:rPr>
                <w:b/>
              </w:rPr>
            </w:pPr>
            <w:r w:rsidRPr="00F6264B">
              <w:rPr>
                <w:b/>
              </w:rPr>
              <w:t>270</w:t>
            </w:r>
          </w:p>
        </w:tc>
        <w:tc>
          <w:tcPr>
            <w:tcW w:w="1519" w:type="dxa"/>
            <w:tcBorders>
              <w:bottom w:val="single" w:sz="4" w:space="0" w:color="auto"/>
            </w:tcBorders>
          </w:tcPr>
          <w:p w14:paraId="4907EDDE" w14:textId="77777777" w:rsidR="00F979B4" w:rsidRPr="00F6264B" w:rsidRDefault="00F979B4" w:rsidP="00835A8C">
            <w:pPr>
              <w:tabs>
                <w:tab w:val="clear" w:pos="1378"/>
                <w:tab w:val="decimal" w:pos="1020"/>
              </w:tabs>
              <w:rPr>
                <w:b/>
              </w:rPr>
            </w:pPr>
            <w:r w:rsidRPr="00F6264B">
              <w:rPr>
                <w:b/>
              </w:rPr>
              <w:t>312</w:t>
            </w:r>
          </w:p>
        </w:tc>
      </w:tr>
      <w:tr w:rsidR="00F979B4" w:rsidRPr="00F6264B" w14:paraId="55CAEFF6" w14:textId="77777777" w:rsidTr="00835A8C">
        <w:trPr>
          <w:cantSplit/>
          <w:trHeight w:val="454"/>
        </w:trPr>
        <w:tc>
          <w:tcPr>
            <w:tcW w:w="6062" w:type="dxa"/>
            <w:tcBorders>
              <w:top w:val="single" w:sz="4" w:space="0" w:color="auto"/>
            </w:tcBorders>
          </w:tcPr>
          <w:p w14:paraId="5AA2C442" w14:textId="77777777" w:rsidR="00F979B4" w:rsidRPr="00F6264B" w:rsidRDefault="00F979B4" w:rsidP="00835A8C">
            <w:r w:rsidRPr="00F6264B">
              <w:t>Represented by:</w:t>
            </w:r>
          </w:p>
        </w:tc>
        <w:tc>
          <w:tcPr>
            <w:tcW w:w="1519" w:type="dxa"/>
            <w:tcBorders>
              <w:top w:val="single" w:sz="4" w:space="0" w:color="auto"/>
            </w:tcBorders>
          </w:tcPr>
          <w:p w14:paraId="314FFABC" w14:textId="77777777" w:rsidR="00F979B4" w:rsidRPr="00F6264B" w:rsidRDefault="00F979B4" w:rsidP="00835A8C">
            <w:pPr>
              <w:tabs>
                <w:tab w:val="clear" w:pos="1378"/>
                <w:tab w:val="decimal" w:pos="1020"/>
              </w:tabs>
            </w:pPr>
          </w:p>
        </w:tc>
        <w:tc>
          <w:tcPr>
            <w:tcW w:w="1519" w:type="dxa"/>
            <w:tcBorders>
              <w:top w:val="single" w:sz="4" w:space="0" w:color="auto"/>
            </w:tcBorders>
          </w:tcPr>
          <w:p w14:paraId="6452C135" w14:textId="77777777" w:rsidR="00F979B4" w:rsidRPr="00F6264B" w:rsidRDefault="00F979B4" w:rsidP="00835A8C">
            <w:pPr>
              <w:tabs>
                <w:tab w:val="clear" w:pos="1378"/>
                <w:tab w:val="decimal" w:pos="1020"/>
              </w:tabs>
            </w:pPr>
          </w:p>
        </w:tc>
      </w:tr>
      <w:tr w:rsidR="00F979B4" w:rsidRPr="00F6264B" w14:paraId="5555C809" w14:textId="77777777" w:rsidTr="00835A8C">
        <w:trPr>
          <w:cantSplit/>
          <w:trHeight w:val="454"/>
        </w:trPr>
        <w:tc>
          <w:tcPr>
            <w:tcW w:w="6062" w:type="dxa"/>
          </w:tcPr>
          <w:p w14:paraId="656484CF" w14:textId="77777777" w:rsidR="00F979B4" w:rsidRPr="00F6264B" w:rsidRDefault="00F979B4" w:rsidP="00835A8C">
            <w:r w:rsidRPr="00F6264B">
              <w:t>Accumulated funds</w:t>
            </w:r>
          </w:p>
        </w:tc>
        <w:tc>
          <w:tcPr>
            <w:tcW w:w="1519" w:type="dxa"/>
          </w:tcPr>
          <w:p w14:paraId="5C47EE3C" w14:textId="449962A4" w:rsidR="00F979B4" w:rsidRPr="00F6264B" w:rsidRDefault="00220D66" w:rsidP="00835A8C">
            <w:pPr>
              <w:tabs>
                <w:tab w:val="clear" w:pos="1378"/>
                <w:tab w:val="decimal" w:pos="1020"/>
              </w:tabs>
            </w:pPr>
            <w:r w:rsidRPr="00F6264B">
              <w:t>270</w:t>
            </w:r>
          </w:p>
        </w:tc>
        <w:tc>
          <w:tcPr>
            <w:tcW w:w="1519" w:type="dxa"/>
          </w:tcPr>
          <w:p w14:paraId="4E8B695C" w14:textId="77777777" w:rsidR="00F979B4" w:rsidRPr="00F6264B" w:rsidRDefault="00F979B4" w:rsidP="00835A8C">
            <w:pPr>
              <w:tabs>
                <w:tab w:val="clear" w:pos="1378"/>
                <w:tab w:val="decimal" w:pos="1020"/>
              </w:tabs>
            </w:pPr>
            <w:r w:rsidRPr="00F6264B">
              <w:t>312</w:t>
            </w:r>
          </w:p>
        </w:tc>
      </w:tr>
      <w:tr w:rsidR="00F979B4" w:rsidRPr="007165BD" w14:paraId="2CED3C4B" w14:textId="77777777" w:rsidTr="00835A8C">
        <w:trPr>
          <w:cantSplit/>
          <w:trHeight w:val="454"/>
        </w:trPr>
        <w:tc>
          <w:tcPr>
            <w:tcW w:w="6062" w:type="dxa"/>
            <w:tcBorders>
              <w:bottom w:val="single" w:sz="4" w:space="0" w:color="auto"/>
            </w:tcBorders>
          </w:tcPr>
          <w:p w14:paraId="56E7E466" w14:textId="77777777" w:rsidR="00F979B4" w:rsidRPr="00F6264B" w:rsidRDefault="00F979B4" w:rsidP="00835A8C">
            <w:pPr>
              <w:rPr>
                <w:b/>
              </w:rPr>
            </w:pPr>
            <w:r w:rsidRPr="00F6264B">
              <w:rPr>
                <w:b/>
              </w:rPr>
              <w:t>Equity</w:t>
            </w:r>
          </w:p>
        </w:tc>
        <w:tc>
          <w:tcPr>
            <w:tcW w:w="1519" w:type="dxa"/>
            <w:tcBorders>
              <w:bottom w:val="single" w:sz="4" w:space="0" w:color="auto"/>
            </w:tcBorders>
          </w:tcPr>
          <w:p w14:paraId="193202CF" w14:textId="45BCD471" w:rsidR="00F979B4" w:rsidRPr="00F6264B" w:rsidRDefault="00220D66" w:rsidP="00835A8C">
            <w:pPr>
              <w:tabs>
                <w:tab w:val="clear" w:pos="1378"/>
                <w:tab w:val="decimal" w:pos="1020"/>
              </w:tabs>
              <w:rPr>
                <w:b/>
              </w:rPr>
            </w:pPr>
            <w:r w:rsidRPr="00F6264B">
              <w:rPr>
                <w:b/>
              </w:rPr>
              <w:t>270</w:t>
            </w:r>
          </w:p>
        </w:tc>
        <w:tc>
          <w:tcPr>
            <w:tcW w:w="1519" w:type="dxa"/>
            <w:tcBorders>
              <w:bottom w:val="single" w:sz="4" w:space="0" w:color="auto"/>
            </w:tcBorders>
          </w:tcPr>
          <w:p w14:paraId="2EA28C4D" w14:textId="77777777" w:rsidR="00F979B4" w:rsidRPr="007165BD" w:rsidRDefault="00F979B4" w:rsidP="00835A8C">
            <w:pPr>
              <w:tabs>
                <w:tab w:val="clear" w:pos="1378"/>
                <w:tab w:val="decimal" w:pos="1020"/>
              </w:tabs>
              <w:rPr>
                <w:b/>
              </w:rPr>
            </w:pPr>
            <w:r w:rsidRPr="00F6264B">
              <w:rPr>
                <w:b/>
              </w:rPr>
              <w:t>312</w:t>
            </w:r>
          </w:p>
        </w:tc>
      </w:tr>
    </w:tbl>
    <w:p w14:paraId="3FDD1169" w14:textId="77777777" w:rsidR="003D7346" w:rsidRDefault="003D7346" w:rsidP="003D7346"/>
    <w:p w14:paraId="1EF1ADDB" w14:textId="77777777" w:rsidR="003D7346" w:rsidRPr="000D515D" w:rsidRDefault="003D7346" w:rsidP="003D7346">
      <w:pPr>
        <w:pStyle w:val="Heading1"/>
      </w:pPr>
      <w:bookmarkStart w:id="21" w:name="_Ref58244009"/>
      <w:r>
        <w:t>Jabiru Town Development Authority</w:t>
      </w:r>
      <w:bookmarkEnd w:id="21"/>
    </w:p>
    <w:p w14:paraId="38A773B0" w14:textId="77777777" w:rsidR="003D7346" w:rsidRPr="000D515D" w:rsidRDefault="003D7346" w:rsidP="003D7346">
      <w:pPr>
        <w:pStyle w:val="Heading2"/>
      </w:pPr>
      <w:bookmarkStart w:id="22" w:name="_Ref32922771"/>
      <w:r w:rsidRPr="000D515D">
        <w:t xml:space="preserve">Audit Findings and Analysis of the Financial Statements for the Year Ended </w:t>
      </w:r>
      <w:r>
        <w:t>30 June 2020</w:t>
      </w:r>
      <w:bookmarkEnd w:id="22"/>
    </w:p>
    <w:p w14:paraId="0B0E0B92" w14:textId="77777777" w:rsidR="003D7346" w:rsidRPr="00F30939" w:rsidRDefault="003D7346" w:rsidP="003D7346">
      <w:pPr>
        <w:pStyle w:val="Heading3"/>
      </w:pPr>
      <w:r>
        <w:t>Background</w:t>
      </w:r>
    </w:p>
    <w:p w14:paraId="34DE9158" w14:textId="52008553" w:rsidR="003D7346" w:rsidRDefault="003D7346" w:rsidP="003D7346">
      <w:r>
        <w:t xml:space="preserve">The Jabiru Town Development Authority (the Authority) has overall responsibility under the </w:t>
      </w:r>
      <w:r w:rsidRPr="00DF1646">
        <w:rPr>
          <w:i/>
        </w:rPr>
        <w:t>Jabiru Town Development Act</w:t>
      </w:r>
      <w:r>
        <w:t xml:space="preserve"> </w:t>
      </w:r>
      <w:r w:rsidRPr="007F1349">
        <w:rPr>
          <w:i/>
        </w:rPr>
        <w:t>1978</w:t>
      </w:r>
      <w:r>
        <w:t xml:space="preserve"> for maintenance and development of the town of Jabiru, the issue of sub-leases of land, and for administration, management and control of the town. A head lease agreement between the Authority and the Commonwealth over the town expire</w:t>
      </w:r>
      <w:r w:rsidR="0014503F">
        <w:t>d</w:t>
      </w:r>
      <w:r>
        <w:t xml:space="preserve"> in </w:t>
      </w:r>
      <w:r w:rsidR="00F00D13">
        <w:t xml:space="preserve">June </w:t>
      </w:r>
      <w:r>
        <w:t>2021.</w:t>
      </w:r>
    </w:p>
    <w:p w14:paraId="597AA460" w14:textId="34102250" w:rsidR="003D7346" w:rsidRDefault="003D7346" w:rsidP="003D7346">
      <w:r>
        <w:t>A 1985 cost sharing agreement set out the principles for the allocation between participating parties of expenditure required for the town development. The participating parties were principally the Commonwealth Government, the Northern Territory Government, Energy Resources Australia Limited and the Authority.</w:t>
      </w:r>
    </w:p>
    <w:p w14:paraId="5100D4AF" w14:textId="446D76E9" w:rsidR="003D7346" w:rsidRPr="005567D4" w:rsidRDefault="003D7346" w:rsidP="003D7346">
      <w:r w:rsidRPr="00FF575E">
        <w:t>The Authority is indebted to the Northern Territory Government as a result of loans provided to the Authority for the construction of infrastructure</w:t>
      </w:r>
      <w:r w:rsidR="001A7FF0">
        <w:t xml:space="preserve">. </w:t>
      </w:r>
      <w:r w:rsidRPr="00FF575E">
        <w:t>The initial value of loans provided was $8.40 million, but by 1986, the amount outstanding had increased to $8.80 million due to the capitalisation of net unpaid interest. In August 1986, the Northern Territory Government granted the Authority a moratorium on interest payments and principal repayments on existing loans. That moratorium continued to apply at 30 June 2020.</w:t>
      </w:r>
    </w:p>
    <w:p w14:paraId="27EC274D" w14:textId="77777777" w:rsidR="003D7346" w:rsidRDefault="003D7346" w:rsidP="003D7346">
      <w:pPr>
        <w:pStyle w:val="Heading3"/>
      </w:pPr>
      <w:r>
        <w:t>Scope and Objectives</w:t>
      </w:r>
    </w:p>
    <w:p w14:paraId="29AC73C4" w14:textId="71EFB298" w:rsidR="003D7346" w:rsidRPr="00F30939" w:rsidRDefault="003D7346" w:rsidP="003D7346">
      <w:r>
        <w:t xml:space="preserve">The objective of the audit was to complete sufficient audit </w:t>
      </w:r>
      <w:r w:rsidR="001A7FF0">
        <w:t>procedures</w:t>
      </w:r>
      <w:r>
        <w:t xml:space="preserve"> to enable an opinion to be expressed upon the financial statements of the Jabiru Town Development Authority for the year </w:t>
      </w:r>
      <w:r w:rsidRPr="00EE4BAF">
        <w:t xml:space="preserve">ended 30 June </w:t>
      </w:r>
      <w:r>
        <w:t>2020</w:t>
      </w:r>
      <w:r w:rsidRPr="00EE4BAF">
        <w:t>.</w:t>
      </w:r>
    </w:p>
    <w:p w14:paraId="57E1E1EB" w14:textId="77777777" w:rsidR="003D7346" w:rsidRPr="003D7346" w:rsidRDefault="003D7346" w:rsidP="003D7346">
      <w:pPr>
        <w:pStyle w:val="Heading3"/>
      </w:pPr>
      <w:r>
        <w:t xml:space="preserve">Audit </w:t>
      </w:r>
      <w:r w:rsidRPr="003D7346">
        <w:t>Opinion</w:t>
      </w:r>
    </w:p>
    <w:p w14:paraId="0FA4EBA9" w14:textId="77777777" w:rsidR="003D7346" w:rsidRDefault="003D7346" w:rsidP="003D7346">
      <w:r w:rsidRPr="003D7346">
        <w:t>The audit of the Jabiru Town Development Authority for the year ended 30 June 2020 resulted in an unqualified independent audit opinion, which was issued on 4 March 2021.</w:t>
      </w:r>
    </w:p>
    <w:p w14:paraId="44F16C77" w14:textId="77777777" w:rsidR="003D7346" w:rsidRPr="003D7346" w:rsidRDefault="003D7346" w:rsidP="003D7346">
      <w:r w:rsidRPr="003D7346">
        <w:t>The audit opinion, while unqualified, did include the following emphasis of matter paragraphs:</w:t>
      </w:r>
    </w:p>
    <w:p w14:paraId="7CDAE24D" w14:textId="77777777" w:rsidR="003D7346" w:rsidRDefault="003D7346" w:rsidP="003D7346">
      <w:pPr>
        <w:pStyle w:val="Quote"/>
      </w:pPr>
      <w:r w:rsidRPr="003D7346">
        <w:t>“Loan payable to Northern Territory Government</w:t>
      </w:r>
    </w:p>
    <w:p w14:paraId="74289257" w14:textId="77777777" w:rsidR="003D7346" w:rsidRDefault="003D7346" w:rsidP="003D7346">
      <w:pPr>
        <w:pStyle w:val="Quote"/>
      </w:pPr>
      <w:r>
        <w:t xml:space="preserve">The Authority has a loan payable to the Northern Territory Government amounting to $8,804,916. The loan has been subject to a moratorium on future interest and principal repayments, since 1 July 1986 and as at the date of this report, remained in place. The Authority expects that the Northern Territory Government will provide it with a waiver such that a solvent winding up process can occur. </w:t>
      </w:r>
    </w:p>
    <w:p w14:paraId="538302E0" w14:textId="77777777" w:rsidR="003D7346" w:rsidRPr="00F30939" w:rsidRDefault="003D7346" w:rsidP="0045031A">
      <w:pPr>
        <w:pStyle w:val="Heading1-continued"/>
      </w:pPr>
      <w:r>
        <w:t>Jabiru Town Development Authority</w:t>
      </w:r>
      <w:r w:rsidRPr="00F30939">
        <w:t xml:space="preserve"> cont…</w:t>
      </w:r>
    </w:p>
    <w:p w14:paraId="64121B2C" w14:textId="77777777" w:rsidR="003D7346" w:rsidRDefault="003D7346" w:rsidP="003D7346">
      <w:pPr>
        <w:pStyle w:val="Quote"/>
      </w:pPr>
      <w:r>
        <w:t>Cessation of head lease and expected wind up of affairs</w:t>
      </w:r>
    </w:p>
    <w:p w14:paraId="25A951FC" w14:textId="1FD6369F" w:rsidR="003D7346" w:rsidRDefault="003D7346" w:rsidP="003D7346">
      <w:pPr>
        <w:pStyle w:val="Quote"/>
      </w:pPr>
      <w:r>
        <w:t>On 28 June 2013, the Aboriginal Land Rights and Other Legislation Amendment Act 2013 was passed by the Australian Government. An impact of this</w:t>
      </w:r>
      <w:r w:rsidR="0014503F">
        <w:t xml:space="preserve"> </w:t>
      </w:r>
      <w:r>
        <w:t>legislative change is that the lease over the township of Jabiru currently held by the Authority will cease on 30 June 2021. On</w:t>
      </w:r>
      <w:r w:rsidR="0014503F">
        <w:t>ce the Head lease expires on 30 </w:t>
      </w:r>
      <w:r>
        <w:t xml:space="preserve">June 2021, the entity will commence the procedure to complete an orderly </w:t>
      </w:r>
      <w:r w:rsidRPr="003D7346">
        <w:t>winding up of its affairs.”</w:t>
      </w:r>
    </w:p>
    <w:p w14:paraId="6BBAF2B5" w14:textId="77777777" w:rsidR="003D7346" w:rsidRDefault="003D7346" w:rsidP="003D7346">
      <w:pPr>
        <w:pStyle w:val="Heading3"/>
      </w:pPr>
      <w:r>
        <w:t>Audit Observations</w:t>
      </w:r>
    </w:p>
    <w:p w14:paraId="124D164F" w14:textId="77777777" w:rsidR="003D7346" w:rsidRPr="00AB1BB4" w:rsidRDefault="003D7346" w:rsidP="003D7346">
      <w:pPr>
        <w:pStyle w:val="Heading4"/>
      </w:pPr>
      <w:r w:rsidRPr="00AB1BB4">
        <w:t>Performance Overview</w:t>
      </w:r>
    </w:p>
    <w:p w14:paraId="325D8747" w14:textId="77777777" w:rsidR="003D7346" w:rsidRDefault="003D7346" w:rsidP="003D7346">
      <w:pPr>
        <w:pStyle w:val="Heading5"/>
      </w:pPr>
      <w:r>
        <w:t>Financial Analysis</w:t>
      </w:r>
    </w:p>
    <w:p w14:paraId="491B7992" w14:textId="5970CF73" w:rsidR="003D7346" w:rsidRDefault="001A7FF0" w:rsidP="003D7346">
      <w:r>
        <w:t>T</w:t>
      </w:r>
      <w:r w:rsidR="003D7346">
        <w:t xml:space="preserve">he Authority </w:t>
      </w:r>
      <w:r w:rsidR="00F84F37">
        <w:t>incurred a deficit</w:t>
      </w:r>
      <w:r w:rsidR="003D7346">
        <w:t xml:space="preserve"> for the year of $95,991 (2019: loss of $113,011) due to the following:</w:t>
      </w:r>
    </w:p>
    <w:p w14:paraId="3E13BA85" w14:textId="77777777" w:rsidR="003D7346" w:rsidRDefault="003D7346" w:rsidP="003D7346">
      <w:pPr>
        <w:pStyle w:val="ListBullet"/>
      </w:pPr>
      <w:r>
        <w:t>Total revenue of $102,604 (2019: $114,089). Total revenue decreased by $11,485 due to less interest income being received during the year.</w:t>
      </w:r>
    </w:p>
    <w:p w14:paraId="15E74A0C" w14:textId="77777777" w:rsidR="003D7346" w:rsidRDefault="003D7346" w:rsidP="003D7346">
      <w:pPr>
        <w:pStyle w:val="ListBullet"/>
      </w:pPr>
      <w:r>
        <w:t xml:space="preserve">Total expenditure of $198,595 (2019: $227,100). Total expenditure reduced due to a decrease of $49,884 in management fees charged. This decrease was partially offset by an impairment charge of $21,608 recognised during the year. </w:t>
      </w:r>
    </w:p>
    <w:p w14:paraId="65107E02" w14:textId="1494A1C7" w:rsidR="003D7346" w:rsidRDefault="00F00D13" w:rsidP="003D7346">
      <w:r>
        <w:t>The Authority had</w:t>
      </w:r>
      <w:r w:rsidR="003D7346">
        <w:t xml:space="preserve"> a net liability position </w:t>
      </w:r>
      <w:r>
        <w:t xml:space="preserve">at 30 June 2020 </w:t>
      </w:r>
      <w:r w:rsidR="003D7346">
        <w:t>of $7,</w:t>
      </w:r>
      <w:r w:rsidR="001A7FF0">
        <w:t>334,631 (2019: $7,238,640). The</w:t>
      </w:r>
      <w:r w:rsidR="003D7346">
        <w:t xml:space="preserve"> net liability</w:t>
      </w:r>
      <w:r w:rsidR="001A7FF0">
        <w:t xml:space="preserve"> </w:t>
      </w:r>
      <w:r w:rsidR="003D7346">
        <w:t xml:space="preserve">comprised: </w:t>
      </w:r>
    </w:p>
    <w:p w14:paraId="44BEEFCA" w14:textId="3BCD822B" w:rsidR="003D7346" w:rsidRDefault="00F00D13" w:rsidP="003D7346">
      <w:pPr>
        <w:pStyle w:val="ListBullet"/>
      </w:pPr>
      <w:r>
        <w:t>c</w:t>
      </w:r>
      <w:r w:rsidR="003D7346">
        <w:t>ash and cash equivalents of $1,494,382;</w:t>
      </w:r>
    </w:p>
    <w:p w14:paraId="6C01E2C9" w14:textId="7D1FFC74" w:rsidR="003D7346" w:rsidRDefault="00F00D13" w:rsidP="003D7346">
      <w:pPr>
        <w:pStyle w:val="ListBullet"/>
      </w:pPr>
      <w:r>
        <w:t>a</w:t>
      </w:r>
      <w:r w:rsidR="003D7346">
        <w:t>ccounts and other payables of $24,097; and</w:t>
      </w:r>
    </w:p>
    <w:p w14:paraId="1F662106" w14:textId="504FF454" w:rsidR="003D7346" w:rsidRDefault="00F00D13" w:rsidP="003D7346">
      <w:pPr>
        <w:pStyle w:val="ListBullet"/>
      </w:pPr>
      <w:r>
        <w:t>l</w:t>
      </w:r>
      <w:r w:rsidR="003D7346">
        <w:t>oan payable to the Northern Territory Government of $8,804,916.</w:t>
      </w:r>
    </w:p>
    <w:p w14:paraId="2C0D9B27" w14:textId="77777777" w:rsidR="003D7346" w:rsidRDefault="003D7346" w:rsidP="003D7346">
      <w:pPr>
        <w:pStyle w:val="Heading5"/>
      </w:pPr>
      <w:r>
        <w:t>Going Concern</w:t>
      </w:r>
    </w:p>
    <w:p w14:paraId="2105F4F2" w14:textId="77777777" w:rsidR="003D7346" w:rsidRDefault="003D7346" w:rsidP="003D7346">
      <w:r>
        <w:t xml:space="preserve">The Authority has prepared its annual financial statements using an alternative basis of accounting as the Authority intends to liquidate the Authority and to cease operations in less than 12 months from the date of signing the financial report. </w:t>
      </w:r>
    </w:p>
    <w:p w14:paraId="7C92B037" w14:textId="77777777" w:rsidR="003D7346" w:rsidRDefault="003D7346" w:rsidP="003D7346">
      <w:pPr>
        <w:pStyle w:val="Heading5"/>
      </w:pPr>
      <w:r>
        <w:t>Loan payable to Northern Territory Government</w:t>
      </w:r>
    </w:p>
    <w:p w14:paraId="227F390D" w14:textId="141406AE" w:rsidR="003D7346" w:rsidRDefault="003D7346" w:rsidP="003D7346">
      <w:r>
        <w:t xml:space="preserve">The Authority has a loan payable to the Northern Territory Government amounting to $8,804,916. The loan has been subject to a moratorium on future interest and principal repayments since 1 July 1986 and as at the date of this report, </w:t>
      </w:r>
      <w:r w:rsidR="001A7FF0">
        <w:t xml:space="preserve">the moratorium </w:t>
      </w:r>
      <w:r>
        <w:t xml:space="preserve">remained in place. The Authority expects that the Northern Territory Government will provide it with a waiver such that a solvent winding up process can occur. </w:t>
      </w:r>
    </w:p>
    <w:p w14:paraId="05BC5FFF" w14:textId="77777777" w:rsidR="003D7346" w:rsidRDefault="003D7346" w:rsidP="003D7346">
      <w:pPr>
        <w:pStyle w:val="Heading5"/>
      </w:pPr>
      <w:r>
        <w:t>Cessation of head lease and expected wind up of affairs</w:t>
      </w:r>
    </w:p>
    <w:p w14:paraId="26BB7CED" w14:textId="3A65C5D4" w:rsidR="003D7346" w:rsidRDefault="003D7346" w:rsidP="003D7346">
      <w:r>
        <w:t xml:space="preserve">On 28 June 2013, the </w:t>
      </w:r>
      <w:r w:rsidRPr="001A7FF0">
        <w:rPr>
          <w:i/>
        </w:rPr>
        <w:t>Aboriginal Land Rights and Other Legislation Amendment Act 2013</w:t>
      </w:r>
      <w:r>
        <w:t xml:space="preserve"> was passed by the Australian Government. An impact of this legislative change is that the lease over the township of Jabiru currently held by the Authority cease</w:t>
      </w:r>
      <w:r w:rsidR="00F00D13">
        <w:t>d</w:t>
      </w:r>
      <w:r>
        <w:t xml:space="preserve"> on 30 June 2</w:t>
      </w:r>
      <w:r w:rsidR="00F00D13">
        <w:t>021. Once the Head lease expired</w:t>
      </w:r>
      <w:r>
        <w:t xml:space="preserve"> on 30 June 2021, the entity commence</w:t>
      </w:r>
      <w:r w:rsidR="00F00D13">
        <w:t>d</w:t>
      </w:r>
      <w:r>
        <w:t xml:space="preserve"> the procedure to complete an orderly winding up of its affairs. </w:t>
      </w:r>
    </w:p>
    <w:p w14:paraId="01B447EC" w14:textId="77777777" w:rsidR="003D7346" w:rsidRPr="00F30939" w:rsidRDefault="003D7346" w:rsidP="0045031A">
      <w:pPr>
        <w:pStyle w:val="Heading1-continued"/>
      </w:pPr>
      <w:r>
        <w:t>Jabiru Town Development Authority</w:t>
      </w:r>
      <w:r w:rsidRPr="00F30939">
        <w:t xml:space="preserve"> cont…</w:t>
      </w:r>
    </w:p>
    <w:p w14:paraId="7C37E892" w14:textId="77777777" w:rsidR="003D7346" w:rsidRPr="0045031A" w:rsidRDefault="003D7346" w:rsidP="003D7346">
      <w:pPr>
        <w:pStyle w:val="Heading5"/>
      </w:pPr>
      <w:r w:rsidRPr="0045031A">
        <w:t>Grant Agreement</w:t>
      </w:r>
    </w:p>
    <w:p w14:paraId="07E21FF5" w14:textId="22B293B3" w:rsidR="003D7346" w:rsidRPr="0045031A" w:rsidRDefault="003D7346" w:rsidP="003D7346">
      <w:r w:rsidRPr="0045031A">
        <w:t xml:space="preserve">A Grant Agreement with the Northern Territory Government has a range of requirements that include </w:t>
      </w:r>
      <w:r w:rsidR="00F00D13">
        <w:t xml:space="preserve">submission of </w:t>
      </w:r>
      <w:r w:rsidRPr="0045031A">
        <w:t xml:space="preserve">an acquittal and audited financial statements which were due by 3 February 2021. The Grant Agreement appears incomplete as evidenced by the document not being dated on the cover page and </w:t>
      </w:r>
      <w:r w:rsidR="00F00D13">
        <w:t>‘</w:t>
      </w:r>
      <w:r w:rsidRPr="0045031A">
        <w:t>missing field</w:t>
      </w:r>
      <w:r w:rsidR="00F00D13">
        <w:t>’</w:t>
      </w:r>
      <w:r w:rsidRPr="0045031A">
        <w:t xml:space="preserve"> errors </w:t>
      </w:r>
      <w:r w:rsidR="001A7FF0">
        <w:t>are reported</w:t>
      </w:r>
      <w:r w:rsidRPr="0045031A">
        <w:t xml:space="preserve"> on page 1 (the Table of Contents).</w:t>
      </w:r>
    </w:p>
    <w:p w14:paraId="08F0A83D" w14:textId="2C181DAF" w:rsidR="003D7346" w:rsidRDefault="003D7346" w:rsidP="003D7346">
      <w:r w:rsidRPr="0045031A">
        <w:t xml:space="preserve">The grant acquittal was not provided to the </w:t>
      </w:r>
      <w:r w:rsidR="00EC0273" w:rsidRPr="00220748">
        <w:t>N</w:t>
      </w:r>
      <w:r w:rsidR="00EC0273">
        <w:t>orthern Territory Government</w:t>
      </w:r>
      <w:r w:rsidRPr="0045031A">
        <w:t xml:space="preserve"> by 3 February</w:t>
      </w:r>
      <w:r w:rsidR="00626770">
        <w:t xml:space="preserve"> 2021</w:t>
      </w:r>
      <w:r w:rsidR="001A7FF0">
        <w:t>. A</w:t>
      </w:r>
      <w:r w:rsidRPr="0045031A">
        <w:t>n extension to the deadline was requested on 18 February 2021.</w:t>
      </w:r>
    </w:p>
    <w:p w14:paraId="1372E269" w14:textId="77777777" w:rsidR="003D7346" w:rsidRDefault="003D7346" w:rsidP="003D7346">
      <w:pPr>
        <w:pStyle w:val="Heading5"/>
      </w:pPr>
      <w:r>
        <w:t>Failure to comply with the Jabiru Town Development Act 1978</w:t>
      </w:r>
    </w:p>
    <w:p w14:paraId="39649D1A" w14:textId="066C140F" w:rsidR="003D7346" w:rsidRDefault="003D7346" w:rsidP="003D7346">
      <w:r>
        <w:t xml:space="preserve">Section 28 of the </w:t>
      </w:r>
      <w:r w:rsidRPr="003D7346">
        <w:rPr>
          <w:i/>
        </w:rPr>
        <w:t xml:space="preserve">Jabiru Town Development Act 1978 </w:t>
      </w:r>
      <w:r>
        <w:t>(the Act) requires the Authority to prepare a report on its operations during the financial year and forward it to the Minister. Th</w:t>
      </w:r>
      <w:r w:rsidR="00626770">
        <w:t>e</w:t>
      </w:r>
      <w:r>
        <w:t xml:space="preserve"> report is to be tabled together with the financial statement</w:t>
      </w:r>
      <w:r w:rsidR="0067458D">
        <w:t>s</w:t>
      </w:r>
      <w:r>
        <w:t xml:space="preserve"> and the audit opinion. The report was not provided to the Minister within the required six months and an extension ha</w:t>
      </w:r>
      <w:r w:rsidR="00626770">
        <w:t xml:space="preserve">d </w:t>
      </w:r>
      <w:r>
        <w:t xml:space="preserve">not been obtained at the </w:t>
      </w:r>
      <w:r w:rsidR="00626770">
        <w:t>conclusion of the audit</w:t>
      </w:r>
      <w:r>
        <w:t>.</w:t>
      </w:r>
    </w:p>
    <w:p w14:paraId="67838949" w14:textId="29AE7119" w:rsidR="003D7346" w:rsidRDefault="003D7346" w:rsidP="003D7346">
      <w:pPr>
        <w:rPr>
          <w:highlight w:val="yellow"/>
        </w:rPr>
      </w:pPr>
      <w:r>
        <w:t xml:space="preserve">The Act also specifies that section 10 of the </w:t>
      </w:r>
      <w:r w:rsidRPr="003D7346">
        <w:rPr>
          <w:i/>
        </w:rPr>
        <w:t>Financial Management Act 1995</w:t>
      </w:r>
      <w:r>
        <w:t xml:space="preserve"> applies to the Authority as if its activities were a Government Business Division within the meaning of the </w:t>
      </w:r>
      <w:r w:rsidRPr="003D7346">
        <w:rPr>
          <w:i/>
        </w:rPr>
        <w:t>Financial Management Act 1995</w:t>
      </w:r>
      <w:r>
        <w:t xml:space="preserve">. Section 10 of the </w:t>
      </w:r>
      <w:r w:rsidRPr="003D7346">
        <w:rPr>
          <w:i/>
        </w:rPr>
        <w:t>Financial Management Act 1995</w:t>
      </w:r>
      <w:r>
        <w:t xml:space="preserve"> requires financial statements of Government Business Divisions to be prepared within two months of the end of the financial year (or such other period as the Treasurer determines). The audited financial statements must be tabled within four months of the end of the financial year (or such other period as the Treasurer determines).</w:t>
      </w:r>
      <w:r w:rsidR="00F84F37">
        <w:t xml:space="preserve"> </w:t>
      </w:r>
      <w:r>
        <w:t>The financial statement</w:t>
      </w:r>
      <w:r w:rsidR="00626770">
        <w:t>s</w:t>
      </w:r>
      <w:r>
        <w:t xml:space="preserve"> </w:t>
      </w:r>
      <w:r w:rsidR="00626770">
        <w:t>were</w:t>
      </w:r>
      <w:r>
        <w:t xml:space="preserve"> not provided to me within the required two months and the resultant financial statement</w:t>
      </w:r>
      <w:r w:rsidR="00626770">
        <w:t>s</w:t>
      </w:r>
      <w:r>
        <w:t xml:space="preserve"> and audit opinion were not provided to the Minister and tabled within the required four months. No extension to </w:t>
      </w:r>
      <w:r w:rsidR="001A7FF0">
        <w:t>the legislated timeframe had</w:t>
      </w:r>
      <w:r>
        <w:t xml:space="preserve"> been obtained at the</w:t>
      </w:r>
      <w:r w:rsidR="001A7FF0">
        <w:t xml:space="preserve"> conclusion of the audit.</w:t>
      </w:r>
    </w:p>
    <w:p w14:paraId="3C36986D" w14:textId="77777777" w:rsidR="003D7346" w:rsidRPr="006E250E" w:rsidRDefault="003D7346" w:rsidP="003D7346">
      <w:pPr>
        <w:pStyle w:val="ListBullet"/>
        <w:numPr>
          <w:ilvl w:val="0"/>
          <w:numId w:val="0"/>
        </w:numPr>
        <w:rPr>
          <w:highlight w:val="yellow"/>
        </w:rPr>
      </w:pPr>
    </w:p>
    <w:p w14:paraId="15825E73" w14:textId="77777777" w:rsidR="00F979B4" w:rsidRPr="00F30939" w:rsidRDefault="00F979B4" w:rsidP="0045031A">
      <w:pPr>
        <w:pStyle w:val="Heading1-continued"/>
      </w:pPr>
      <w:r>
        <w:t>Jabiru Town Development Authority</w:t>
      </w:r>
      <w:r w:rsidRPr="00F30939">
        <w:t xml:space="preserve"> cont…</w:t>
      </w:r>
    </w:p>
    <w:p w14:paraId="456E14E1" w14:textId="77777777" w:rsidR="00F979B4" w:rsidRPr="00F30939" w:rsidRDefault="00F979B4" w:rsidP="00F979B4">
      <w:pPr>
        <w:pStyle w:val="Heading2"/>
      </w:pPr>
      <w:r w:rsidRPr="00F30939">
        <w:t>Financial Performance for the year</w:t>
      </w:r>
    </w:p>
    <w:tbl>
      <w:tblPr>
        <w:tblW w:w="9242" w:type="dxa"/>
        <w:tblLayout w:type="fixed"/>
        <w:tblLook w:val="04A0" w:firstRow="1" w:lastRow="0" w:firstColumn="1" w:lastColumn="0" w:noHBand="0" w:noVBand="1"/>
        <w:tblCaption w:val="Financial Performance for the year"/>
        <w:tblDescription w:val="Financial performance information for the current and prior year"/>
      </w:tblPr>
      <w:tblGrid>
        <w:gridCol w:w="6204"/>
        <w:gridCol w:w="1519"/>
        <w:gridCol w:w="1519"/>
      </w:tblGrid>
      <w:tr w:rsidR="00F979B4" w:rsidRPr="00F30939" w14:paraId="593C9AEB" w14:textId="77777777" w:rsidTr="00835A8C">
        <w:trPr>
          <w:cantSplit/>
          <w:trHeight w:val="454"/>
          <w:tblHeader/>
        </w:trPr>
        <w:tc>
          <w:tcPr>
            <w:tcW w:w="6204" w:type="dxa"/>
            <w:tcBorders>
              <w:bottom w:val="single" w:sz="4" w:space="0" w:color="auto"/>
            </w:tcBorders>
          </w:tcPr>
          <w:p w14:paraId="2B23D0EF" w14:textId="77777777" w:rsidR="00F979B4" w:rsidRPr="00F30939" w:rsidRDefault="00F979B4" w:rsidP="00835A8C"/>
        </w:tc>
        <w:tc>
          <w:tcPr>
            <w:tcW w:w="1519" w:type="dxa"/>
            <w:tcBorders>
              <w:bottom w:val="single" w:sz="4" w:space="0" w:color="auto"/>
            </w:tcBorders>
          </w:tcPr>
          <w:p w14:paraId="18132875" w14:textId="77777777" w:rsidR="00F979B4" w:rsidRPr="007165BD" w:rsidRDefault="00F979B4" w:rsidP="00835A8C">
            <w:pPr>
              <w:jc w:val="center"/>
              <w:rPr>
                <w:b/>
              </w:rPr>
            </w:pPr>
            <w:r w:rsidRPr="007165BD">
              <w:rPr>
                <w:b/>
              </w:rPr>
              <w:t>20</w:t>
            </w:r>
            <w:r>
              <w:rPr>
                <w:b/>
              </w:rPr>
              <w:t>20</w:t>
            </w:r>
          </w:p>
        </w:tc>
        <w:tc>
          <w:tcPr>
            <w:tcW w:w="1519" w:type="dxa"/>
            <w:tcBorders>
              <w:bottom w:val="single" w:sz="4" w:space="0" w:color="auto"/>
            </w:tcBorders>
          </w:tcPr>
          <w:p w14:paraId="3203DCDB" w14:textId="77777777" w:rsidR="00F979B4" w:rsidRPr="007165BD" w:rsidRDefault="00F979B4" w:rsidP="00835A8C">
            <w:pPr>
              <w:jc w:val="center"/>
              <w:rPr>
                <w:b/>
              </w:rPr>
            </w:pPr>
            <w:r w:rsidRPr="007165BD">
              <w:rPr>
                <w:b/>
              </w:rPr>
              <w:t>201</w:t>
            </w:r>
            <w:r>
              <w:rPr>
                <w:b/>
              </w:rPr>
              <w:t>9</w:t>
            </w:r>
          </w:p>
        </w:tc>
      </w:tr>
      <w:tr w:rsidR="00F979B4" w:rsidRPr="00F30939" w14:paraId="42FD7D50" w14:textId="77777777" w:rsidTr="00835A8C">
        <w:trPr>
          <w:cantSplit/>
          <w:trHeight w:val="454"/>
          <w:tblHeader/>
        </w:trPr>
        <w:tc>
          <w:tcPr>
            <w:tcW w:w="6204" w:type="dxa"/>
            <w:tcBorders>
              <w:top w:val="single" w:sz="4" w:space="0" w:color="auto"/>
            </w:tcBorders>
          </w:tcPr>
          <w:p w14:paraId="05100FA7" w14:textId="77777777" w:rsidR="00F979B4" w:rsidRPr="00F30939" w:rsidRDefault="00F979B4" w:rsidP="00835A8C"/>
        </w:tc>
        <w:tc>
          <w:tcPr>
            <w:tcW w:w="1519" w:type="dxa"/>
            <w:tcBorders>
              <w:top w:val="single" w:sz="4" w:space="0" w:color="auto"/>
            </w:tcBorders>
          </w:tcPr>
          <w:p w14:paraId="54352AD2" w14:textId="77777777" w:rsidR="00F979B4" w:rsidRPr="007165BD" w:rsidRDefault="00F979B4" w:rsidP="00835A8C">
            <w:pPr>
              <w:jc w:val="center"/>
              <w:rPr>
                <w:b/>
              </w:rPr>
            </w:pPr>
            <w:r w:rsidRPr="007165BD">
              <w:rPr>
                <w:b/>
              </w:rPr>
              <w:t>$’000</w:t>
            </w:r>
          </w:p>
        </w:tc>
        <w:tc>
          <w:tcPr>
            <w:tcW w:w="1519" w:type="dxa"/>
            <w:tcBorders>
              <w:top w:val="single" w:sz="4" w:space="0" w:color="auto"/>
            </w:tcBorders>
          </w:tcPr>
          <w:p w14:paraId="16B89A20" w14:textId="77777777" w:rsidR="00F979B4" w:rsidRPr="007165BD" w:rsidRDefault="00F979B4" w:rsidP="00835A8C">
            <w:pPr>
              <w:jc w:val="center"/>
              <w:rPr>
                <w:b/>
              </w:rPr>
            </w:pPr>
            <w:r w:rsidRPr="007165BD">
              <w:rPr>
                <w:b/>
              </w:rPr>
              <w:t>$’000</w:t>
            </w:r>
          </w:p>
        </w:tc>
      </w:tr>
      <w:tr w:rsidR="00F979B4" w:rsidRPr="007165BD" w14:paraId="22683C13" w14:textId="77777777" w:rsidTr="00835A8C">
        <w:trPr>
          <w:cantSplit/>
          <w:trHeight w:val="454"/>
        </w:trPr>
        <w:tc>
          <w:tcPr>
            <w:tcW w:w="6204" w:type="dxa"/>
          </w:tcPr>
          <w:p w14:paraId="11BD4F0A" w14:textId="77777777" w:rsidR="00F979B4" w:rsidRPr="007165BD" w:rsidRDefault="00F979B4" w:rsidP="00835A8C">
            <w:pPr>
              <w:rPr>
                <w:b/>
              </w:rPr>
            </w:pPr>
            <w:r w:rsidRPr="007165BD">
              <w:rPr>
                <w:b/>
              </w:rPr>
              <w:t>Income</w:t>
            </w:r>
          </w:p>
        </w:tc>
        <w:tc>
          <w:tcPr>
            <w:tcW w:w="1519" w:type="dxa"/>
          </w:tcPr>
          <w:p w14:paraId="268DF878" w14:textId="77777777" w:rsidR="00F979B4" w:rsidRPr="007165BD" w:rsidRDefault="00F979B4" w:rsidP="00835A8C">
            <w:pPr>
              <w:tabs>
                <w:tab w:val="clear" w:pos="1378"/>
                <w:tab w:val="decimal" w:pos="1020"/>
              </w:tabs>
              <w:rPr>
                <w:b/>
              </w:rPr>
            </w:pPr>
          </w:p>
        </w:tc>
        <w:tc>
          <w:tcPr>
            <w:tcW w:w="1519" w:type="dxa"/>
          </w:tcPr>
          <w:p w14:paraId="2F81D229" w14:textId="77777777" w:rsidR="00F979B4" w:rsidRPr="007165BD" w:rsidRDefault="00F979B4" w:rsidP="00835A8C">
            <w:pPr>
              <w:tabs>
                <w:tab w:val="clear" w:pos="1378"/>
                <w:tab w:val="decimal" w:pos="1020"/>
              </w:tabs>
              <w:rPr>
                <w:b/>
              </w:rPr>
            </w:pPr>
          </w:p>
        </w:tc>
      </w:tr>
      <w:tr w:rsidR="00F979B4" w:rsidRPr="00F30939" w14:paraId="620D26E5" w14:textId="77777777" w:rsidTr="00835A8C">
        <w:trPr>
          <w:cantSplit/>
          <w:trHeight w:val="454"/>
        </w:trPr>
        <w:tc>
          <w:tcPr>
            <w:tcW w:w="6204" w:type="dxa"/>
          </w:tcPr>
          <w:p w14:paraId="13D55BD4" w14:textId="77777777" w:rsidR="00F979B4" w:rsidRPr="00F30939" w:rsidRDefault="00F979B4" w:rsidP="00835A8C">
            <w:r>
              <w:t>Grants</w:t>
            </w:r>
          </w:p>
        </w:tc>
        <w:tc>
          <w:tcPr>
            <w:tcW w:w="1519" w:type="dxa"/>
          </w:tcPr>
          <w:p w14:paraId="7B308CF5" w14:textId="77777777" w:rsidR="00F979B4" w:rsidRPr="00F30939" w:rsidRDefault="00F979B4" w:rsidP="00835A8C">
            <w:pPr>
              <w:tabs>
                <w:tab w:val="clear" w:pos="1378"/>
                <w:tab w:val="decimal" w:pos="1020"/>
              </w:tabs>
            </w:pPr>
            <w:r>
              <w:t>90</w:t>
            </w:r>
          </w:p>
        </w:tc>
        <w:tc>
          <w:tcPr>
            <w:tcW w:w="1519" w:type="dxa"/>
          </w:tcPr>
          <w:p w14:paraId="109C9502" w14:textId="77777777" w:rsidR="00F979B4" w:rsidRPr="00F30939" w:rsidRDefault="00F979B4" w:rsidP="00835A8C">
            <w:pPr>
              <w:tabs>
                <w:tab w:val="clear" w:pos="1378"/>
                <w:tab w:val="decimal" w:pos="1020"/>
              </w:tabs>
            </w:pPr>
            <w:r>
              <w:t>90</w:t>
            </w:r>
          </w:p>
        </w:tc>
      </w:tr>
      <w:tr w:rsidR="00F979B4" w:rsidRPr="00F30939" w14:paraId="0DA84633" w14:textId="77777777" w:rsidTr="00835A8C">
        <w:trPr>
          <w:cantSplit/>
          <w:trHeight w:val="454"/>
        </w:trPr>
        <w:tc>
          <w:tcPr>
            <w:tcW w:w="6204" w:type="dxa"/>
          </w:tcPr>
          <w:p w14:paraId="2D9A0FBC" w14:textId="77777777" w:rsidR="00F979B4" w:rsidRPr="00F30939" w:rsidRDefault="00F979B4" w:rsidP="00835A8C">
            <w:r>
              <w:t>Interest</w:t>
            </w:r>
          </w:p>
        </w:tc>
        <w:tc>
          <w:tcPr>
            <w:tcW w:w="1519" w:type="dxa"/>
          </w:tcPr>
          <w:p w14:paraId="0A5A7265" w14:textId="77777777" w:rsidR="00F979B4" w:rsidRPr="00F30939" w:rsidRDefault="00F979B4" w:rsidP="00835A8C">
            <w:pPr>
              <w:tabs>
                <w:tab w:val="clear" w:pos="1378"/>
                <w:tab w:val="decimal" w:pos="1020"/>
              </w:tabs>
            </w:pPr>
            <w:r>
              <w:t>13</w:t>
            </w:r>
          </w:p>
        </w:tc>
        <w:tc>
          <w:tcPr>
            <w:tcW w:w="1519" w:type="dxa"/>
          </w:tcPr>
          <w:p w14:paraId="4AE35107" w14:textId="77777777" w:rsidR="00F979B4" w:rsidRPr="00F30939" w:rsidRDefault="00F979B4" w:rsidP="00835A8C">
            <w:pPr>
              <w:tabs>
                <w:tab w:val="clear" w:pos="1378"/>
                <w:tab w:val="decimal" w:pos="1020"/>
              </w:tabs>
            </w:pPr>
            <w:r>
              <w:t>24</w:t>
            </w:r>
          </w:p>
        </w:tc>
      </w:tr>
      <w:tr w:rsidR="00F979B4" w:rsidRPr="007165BD" w14:paraId="3EF8BEC3" w14:textId="77777777" w:rsidTr="00835A8C">
        <w:trPr>
          <w:cantSplit/>
          <w:trHeight w:val="454"/>
        </w:trPr>
        <w:tc>
          <w:tcPr>
            <w:tcW w:w="6204" w:type="dxa"/>
            <w:tcBorders>
              <w:bottom w:val="single" w:sz="4" w:space="0" w:color="auto"/>
            </w:tcBorders>
          </w:tcPr>
          <w:p w14:paraId="0B99BF0A" w14:textId="77777777" w:rsidR="00F979B4" w:rsidRPr="007165BD" w:rsidRDefault="00F979B4" w:rsidP="00835A8C">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24429210" w14:textId="77777777" w:rsidR="00F979B4" w:rsidRPr="007165BD" w:rsidRDefault="00F979B4" w:rsidP="00835A8C">
            <w:pPr>
              <w:tabs>
                <w:tab w:val="clear" w:pos="1378"/>
                <w:tab w:val="decimal" w:pos="1020"/>
              </w:tabs>
              <w:rPr>
                <w:b/>
              </w:rPr>
            </w:pPr>
            <w:r>
              <w:rPr>
                <w:b/>
              </w:rPr>
              <w:t>103</w:t>
            </w:r>
          </w:p>
        </w:tc>
        <w:tc>
          <w:tcPr>
            <w:tcW w:w="1519" w:type="dxa"/>
            <w:tcBorders>
              <w:bottom w:val="single" w:sz="4" w:space="0" w:color="auto"/>
            </w:tcBorders>
          </w:tcPr>
          <w:p w14:paraId="28EA48D4" w14:textId="77777777" w:rsidR="00F979B4" w:rsidRPr="007165BD" w:rsidRDefault="00F979B4" w:rsidP="00835A8C">
            <w:pPr>
              <w:tabs>
                <w:tab w:val="clear" w:pos="1378"/>
                <w:tab w:val="decimal" w:pos="1020"/>
              </w:tabs>
              <w:rPr>
                <w:b/>
              </w:rPr>
            </w:pPr>
            <w:r>
              <w:rPr>
                <w:b/>
              </w:rPr>
              <w:t>114</w:t>
            </w:r>
          </w:p>
        </w:tc>
      </w:tr>
      <w:tr w:rsidR="00F979B4" w:rsidRPr="007165BD" w14:paraId="2675E8A4" w14:textId="77777777" w:rsidTr="00835A8C">
        <w:trPr>
          <w:cantSplit/>
          <w:trHeight w:val="454"/>
        </w:trPr>
        <w:tc>
          <w:tcPr>
            <w:tcW w:w="6204" w:type="dxa"/>
            <w:tcBorders>
              <w:top w:val="single" w:sz="4" w:space="0" w:color="auto"/>
            </w:tcBorders>
          </w:tcPr>
          <w:p w14:paraId="67BB1F32" w14:textId="77777777" w:rsidR="00F979B4" w:rsidRPr="007165BD" w:rsidRDefault="00F979B4" w:rsidP="00835A8C">
            <w:pPr>
              <w:rPr>
                <w:b/>
              </w:rPr>
            </w:pPr>
            <w:r>
              <w:rPr>
                <w:b/>
              </w:rPr>
              <w:t>Expenditure</w:t>
            </w:r>
          </w:p>
        </w:tc>
        <w:tc>
          <w:tcPr>
            <w:tcW w:w="1519" w:type="dxa"/>
            <w:tcBorders>
              <w:top w:val="single" w:sz="4" w:space="0" w:color="auto"/>
            </w:tcBorders>
          </w:tcPr>
          <w:p w14:paraId="10A8B1A2" w14:textId="77777777" w:rsidR="00F979B4" w:rsidRPr="007165BD" w:rsidRDefault="00F979B4" w:rsidP="00835A8C">
            <w:pPr>
              <w:tabs>
                <w:tab w:val="clear" w:pos="1378"/>
                <w:tab w:val="decimal" w:pos="1020"/>
              </w:tabs>
              <w:rPr>
                <w:b/>
              </w:rPr>
            </w:pPr>
          </w:p>
        </w:tc>
        <w:tc>
          <w:tcPr>
            <w:tcW w:w="1519" w:type="dxa"/>
            <w:tcBorders>
              <w:top w:val="single" w:sz="4" w:space="0" w:color="auto"/>
            </w:tcBorders>
          </w:tcPr>
          <w:p w14:paraId="32B35FFB" w14:textId="77777777" w:rsidR="00F979B4" w:rsidRPr="007165BD" w:rsidRDefault="00F979B4" w:rsidP="00835A8C">
            <w:pPr>
              <w:tabs>
                <w:tab w:val="clear" w:pos="1378"/>
                <w:tab w:val="decimal" w:pos="1020"/>
              </w:tabs>
              <w:rPr>
                <w:b/>
              </w:rPr>
            </w:pPr>
          </w:p>
        </w:tc>
      </w:tr>
      <w:tr w:rsidR="00F979B4" w:rsidRPr="00F30939" w14:paraId="503AA9FD" w14:textId="77777777" w:rsidTr="00835A8C">
        <w:trPr>
          <w:cantSplit/>
          <w:trHeight w:val="454"/>
        </w:trPr>
        <w:tc>
          <w:tcPr>
            <w:tcW w:w="6204" w:type="dxa"/>
          </w:tcPr>
          <w:p w14:paraId="146AA7DC" w14:textId="77777777" w:rsidR="00F979B4" w:rsidRPr="00F30939" w:rsidRDefault="00F979B4" w:rsidP="00835A8C">
            <w:r>
              <w:t>Administration expenses</w:t>
            </w:r>
          </w:p>
        </w:tc>
        <w:tc>
          <w:tcPr>
            <w:tcW w:w="1519" w:type="dxa"/>
          </w:tcPr>
          <w:p w14:paraId="5AB652F3" w14:textId="77777777" w:rsidR="00F979B4" w:rsidRPr="00F30939" w:rsidRDefault="00F979B4" w:rsidP="00835A8C">
            <w:pPr>
              <w:tabs>
                <w:tab w:val="clear" w:pos="1378"/>
                <w:tab w:val="decimal" w:pos="1020"/>
              </w:tabs>
            </w:pPr>
            <w:r>
              <w:t>(136)</w:t>
            </w:r>
          </w:p>
        </w:tc>
        <w:tc>
          <w:tcPr>
            <w:tcW w:w="1519" w:type="dxa"/>
          </w:tcPr>
          <w:p w14:paraId="1F991EAE" w14:textId="77777777" w:rsidR="00F979B4" w:rsidRPr="00F30939" w:rsidRDefault="00F979B4" w:rsidP="00835A8C">
            <w:pPr>
              <w:tabs>
                <w:tab w:val="clear" w:pos="1378"/>
                <w:tab w:val="decimal" w:pos="1020"/>
              </w:tabs>
            </w:pPr>
            <w:r>
              <w:t>(165)</w:t>
            </w:r>
          </w:p>
        </w:tc>
      </w:tr>
      <w:tr w:rsidR="00F979B4" w:rsidRPr="00F30939" w14:paraId="3B1AB10C" w14:textId="77777777" w:rsidTr="00835A8C">
        <w:trPr>
          <w:cantSplit/>
          <w:trHeight w:val="454"/>
        </w:trPr>
        <w:tc>
          <w:tcPr>
            <w:tcW w:w="6204" w:type="dxa"/>
          </w:tcPr>
          <w:p w14:paraId="75983243" w14:textId="77777777" w:rsidR="00F979B4" w:rsidRPr="00F30939" w:rsidRDefault="00F979B4" w:rsidP="00835A8C">
            <w:r>
              <w:t>Amortisation of town infrastructure</w:t>
            </w:r>
          </w:p>
        </w:tc>
        <w:tc>
          <w:tcPr>
            <w:tcW w:w="1519" w:type="dxa"/>
          </w:tcPr>
          <w:p w14:paraId="6ACD2EFF" w14:textId="77777777" w:rsidR="00F979B4" w:rsidRPr="00F30939" w:rsidRDefault="00F979B4" w:rsidP="00835A8C">
            <w:pPr>
              <w:tabs>
                <w:tab w:val="clear" w:pos="1378"/>
                <w:tab w:val="decimal" w:pos="1020"/>
              </w:tabs>
            </w:pPr>
            <w:r>
              <w:t>(63)</w:t>
            </w:r>
          </w:p>
        </w:tc>
        <w:tc>
          <w:tcPr>
            <w:tcW w:w="1519" w:type="dxa"/>
          </w:tcPr>
          <w:p w14:paraId="5C90D3D0" w14:textId="77777777" w:rsidR="00F979B4" w:rsidRPr="00F30939" w:rsidRDefault="00F979B4" w:rsidP="00835A8C">
            <w:pPr>
              <w:tabs>
                <w:tab w:val="clear" w:pos="1378"/>
                <w:tab w:val="decimal" w:pos="1020"/>
              </w:tabs>
            </w:pPr>
            <w:r>
              <w:t>(62)</w:t>
            </w:r>
          </w:p>
        </w:tc>
      </w:tr>
      <w:tr w:rsidR="00F979B4" w:rsidRPr="00AD3933" w14:paraId="1FCCA8AB" w14:textId="77777777" w:rsidTr="00835A8C">
        <w:trPr>
          <w:cantSplit/>
          <w:trHeight w:val="454"/>
        </w:trPr>
        <w:tc>
          <w:tcPr>
            <w:tcW w:w="6204" w:type="dxa"/>
            <w:tcBorders>
              <w:bottom w:val="single" w:sz="4" w:space="0" w:color="auto"/>
            </w:tcBorders>
          </w:tcPr>
          <w:p w14:paraId="0A06F513" w14:textId="77777777" w:rsidR="00F979B4" w:rsidRPr="00AD3933" w:rsidRDefault="00F979B4" w:rsidP="00835A8C">
            <w:pPr>
              <w:rPr>
                <w:b/>
              </w:rPr>
            </w:pPr>
            <w:r w:rsidRPr="00AD3933">
              <w:rPr>
                <w:b/>
              </w:rPr>
              <w:t xml:space="preserve">Total </w:t>
            </w:r>
            <w:r>
              <w:rPr>
                <w:b/>
              </w:rPr>
              <w:t>expenditure</w:t>
            </w:r>
          </w:p>
        </w:tc>
        <w:tc>
          <w:tcPr>
            <w:tcW w:w="1519" w:type="dxa"/>
            <w:tcBorders>
              <w:bottom w:val="single" w:sz="4" w:space="0" w:color="auto"/>
            </w:tcBorders>
          </w:tcPr>
          <w:p w14:paraId="47F499F7" w14:textId="77777777" w:rsidR="00F979B4" w:rsidRPr="0073130B" w:rsidRDefault="00F979B4" w:rsidP="00835A8C">
            <w:pPr>
              <w:tabs>
                <w:tab w:val="clear" w:pos="1378"/>
                <w:tab w:val="decimal" w:pos="1020"/>
              </w:tabs>
              <w:rPr>
                <w:b/>
              </w:rPr>
            </w:pPr>
            <w:r>
              <w:rPr>
                <w:b/>
              </w:rPr>
              <w:t>(199)</w:t>
            </w:r>
          </w:p>
        </w:tc>
        <w:tc>
          <w:tcPr>
            <w:tcW w:w="1519" w:type="dxa"/>
            <w:tcBorders>
              <w:bottom w:val="single" w:sz="4" w:space="0" w:color="auto"/>
            </w:tcBorders>
          </w:tcPr>
          <w:p w14:paraId="0DC37E30" w14:textId="77777777" w:rsidR="00F979B4" w:rsidRPr="0073130B" w:rsidRDefault="00F979B4" w:rsidP="00835A8C">
            <w:pPr>
              <w:tabs>
                <w:tab w:val="clear" w:pos="1378"/>
                <w:tab w:val="decimal" w:pos="1020"/>
              </w:tabs>
              <w:rPr>
                <w:b/>
              </w:rPr>
            </w:pPr>
            <w:r w:rsidRPr="0073130B">
              <w:rPr>
                <w:b/>
              </w:rPr>
              <w:t>(</w:t>
            </w:r>
            <w:r>
              <w:rPr>
                <w:b/>
              </w:rPr>
              <w:t>227</w:t>
            </w:r>
            <w:r w:rsidRPr="0073130B">
              <w:rPr>
                <w:b/>
              </w:rPr>
              <w:t>)</w:t>
            </w:r>
          </w:p>
        </w:tc>
      </w:tr>
      <w:tr w:rsidR="00F979B4" w:rsidRPr="007165BD" w14:paraId="6A96C0AA" w14:textId="77777777" w:rsidTr="00835A8C">
        <w:trPr>
          <w:cantSplit/>
          <w:trHeight w:val="454"/>
        </w:trPr>
        <w:tc>
          <w:tcPr>
            <w:tcW w:w="6204" w:type="dxa"/>
            <w:tcBorders>
              <w:bottom w:val="single" w:sz="4" w:space="0" w:color="auto"/>
            </w:tcBorders>
          </w:tcPr>
          <w:p w14:paraId="096F6890" w14:textId="77777777" w:rsidR="00F979B4" w:rsidRPr="007165BD" w:rsidRDefault="00F979B4" w:rsidP="00835A8C">
            <w:pPr>
              <w:rPr>
                <w:b/>
              </w:rPr>
            </w:pPr>
            <w:r>
              <w:rPr>
                <w:b/>
              </w:rPr>
              <w:t>Deficit</w:t>
            </w:r>
          </w:p>
        </w:tc>
        <w:tc>
          <w:tcPr>
            <w:tcW w:w="1519" w:type="dxa"/>
            <w:tcBorders>
              <w:bottom w:val="single" w:sz="4" w:space="0" w:color="auto"/>
            </w:tcBorders>
          </w:tcPr>
          <w:p w14:paraId="120B17E2" w14:textId="77777777" w:rsidR="00F979B4" w:rsidRPr="007165BD" w:rsidRDefault="00F979B4" w:rsidP="00835A8C">
            <w:pPr>
              <w:tabs>
                <w:tab w:val="clear" w:pos="1378"/>
                <w:tab w:val="decimal" w:pos="1020"/>
              </w:tabs>
              <w:rPr>
                <w:b/>
              </w:rPr>
            </w:pPr>
            <w:r>
              <w:rPr>
                <w:b/>
              </w:rPr>
              <w:t>(96)</w:t>
            </w:r>
          </w:p>
        </w:tc>
        <w:tc>
          <w:tcPr>
            <w:tcW w:w="1519" w:type="dxa"/>
            <w:tcBorders>
              <w:bottom w:val="single" w:sz="4" w:space="0" w:color="auto"/>
            </w:tcBorders>
          </w:tcPr>
          <w:p w14:paraId="4E9FFC16" w14:textId="77777777" w:rsidR="00F979B4" w:rsidRPr="007165BD" w:rsidRDefault="00F979B4" w:rsidP="00835A8C">
            <w:pPr>
              <w:tabs>
                <w:tab w:val="clear" w:pos="1378"/>
                <w:tab w:val="decimal" w:pos="1020"/>
              </w:tabs>
              <w:rPr>
                <w:b/>
              </w:rPr>
            </w:pPr>
            <w:r>
              <w:rPr>
                <w:b/>
              </w:rPr>
              <w:t>(113)</w:t>
            </w:r>
          </w:p>
        </w:tc>
      </w:tr>
    </w:tbl>
    <w:p w14:paraId="346A3072" w14:textId="77777777" w:rsidR="00F979B4" w:rsidRPr="00F30939" w:rsidRDefault="00F979B4" w:rsidP="00F979B4"/>
    <w:p w14:paraId="68D15476" w14:textId="77777777" w:rsidR="00F979B4" w:rsidRPr="00F30939" w:rsidRDefault="00F979B4" w:rsidP="0045031A">
      <w:pPr>
        <w:pStyle w:val="Heading1-continued"/>
      </w:pPr>
      <w:r>
        <w:t>Jabiru Town Development Authority</w:t>
      </w:r>
      <w:r w:rsidRPr="00F30939">
        <w:t xml:space="preserve"> cont…</w:t>
      </w:r>
    </w:p>
    <w:p w14:paraId="41A224E9" w14:textId="77777777" w:rsidR="00F979B4" w:rsidRPr="00F30939" w:rsidRDefault="00F979B4" w:rsidP="00F979B4">
      <w:pPr>
        <w:pStyle w:val="Heading2"/>
      </w:pPr>
      <w:r w:rsidRPr="00F30939">
        <w:t>Financial Position at year end</w:t>
      </w:r>
    </w:p>
    <w:tbl>
      <w:tblPr>
        <w:tblW w:w="9100" w:type="dxa"/>
        <w:tblLayout w:type="fixed"/>
        <w:tblLook w:val="04A0" w:firstRow="1" w:lastRow="0" w:firstColumn="1" w:lastColumn="0" w:noHBand="0" w:noVBand="1"/>
        <w:tblCaption w:val="Financial Position at year end"/>
        <w:tblDescription w:val="Financial position information for the current and prior year&#10;"/>
      </w:tblPr>
      <w:tblGrid>
        <w:gridCol w:w="6062"/>
        <w:gridCol w:w="1519"/>
        <w:gridCol w:w="1519"/>
      </w:tblGrid>
      <w:tr w:rsidR="00F979B4" w:rsidRPr="00F30939" w14:paraId="2ECD3DA8" w14:textId="77777777" w:rsidTr="00835A8C">
        <w:trPr>
          <w:cantSplit/>
          <w:trHeight w:val="454"/>
          <w:tblHeader/>
        </w:trPr>
        <w:tc>
          <w:tcPr>
            <w:tcW w:w="6062" w:type="dxa"/>
            <w:tcBorders>
              <w:bottom w:val="single" w:sz="4" w:space="0" w:color="auto"/>
            </w:tcBorders>
          </w:tcPr>
          <w:p w14:paraId="046EC3A8" w14:textId="77777777" w:rsidR="00F979B4" w:rsidRPr="00F30939" w:rsidRDefault="00F979B4" w:rsidP="00835A8C"/>
        </w:tc>
        <w:tc>
          <w:tcPr>
            <w:tcW w:w="1519" w:type="dxa"/>
            <w:tcBorders>
              <w:bottom w:val="single" w:sz="4" w:space="0" w:color="auto"/>
            </w:tcBorders>
          </w:tcPr>
          <w:p w14:paraId="2854C2AC" w14:textId="77777777" w:rsidR="00F979B4" w:rsidRPr="007165BD" w:rsidRDefault="00F979B4" w:rsidP="00835A8C">
            <w:pPr>
              <w:jc w:val="center"/>
              <w:rPr>
                <w:b/>
              </w:rPr>
            </w:pPr>
            <w:r w:rsidRPr="007165BD">
              <w:rPr>
                <w:b/>
              </w:rPr>
              <w:t>20</w:t>
            </w:r>
            <w:r>
              <w:rPr>
                <w:b/>
              </w:rPr>
              <w:t>20</w:t>
            </w:r>
          </w:p>
        </w:tc>
        <w:tc>
          <w:tcPr>
            <w:tcW w:w="1519" w:type="dxa"/>
            <w:tcBorders>
              <w:bottom w:val="single" w:sz="4" w:space="0" w:color="auto"/>
            </w:tcBorders>
          </w:tcPr>
          <w:p w14:paraId="56BD14A1" w14:textId="77777777" w:rsidR="00F979B4" w:rsidRPr="007165BD" w:rsidRDefault="00F979B4" w:rsidP="00835A8C">
            <w:pPr>
              <w:jc w:val="center"/>
              <w:rPr>
                <w:b/>
              </w:rPr>
            </w:pPr>
            <w:r w:rsidRPr="007165BD">
              <w:rPr>
                <w:b/>
              </w:rPr>
              <w:t>201</w:t>
            </w:r>
            <w:r>
              <w:rPr>
                <w:b/>
              </w:rPr>
              <w:t>9</w:t>
            </w:r>
          </w:p>
        </w:tc>
      </w:tr>
      <w:tr w:rsidR="00F979B4" w:rsidRPr="00F30939" w14:paraId="02D06AF6" w14:textId="77777777" w:rsidTr="00835A8C">
        <w:trPr>
          <w:cantSplit/>
          <w:trHeight w:val="454"/>
          <w:tblHeader/>
        </w:trPr>
        <w:tc>
          <w:tcPr>
            <w:tcW w:w="6062" w:type="dxa"/>
            <w:tcBorders>
              <w:top w:val="single" w:sz="4" w:space="0" w:color="auto"/>
            </w:tcBorders>
          </w:tcPr>
          <w:p w14:paraId="12C30F5B" w14:textId="77777777" w:rsidR="00F979B4" w:rsidRPr="00F30939" w:rsidRDefault="00F979B4" w:rsidP="00835A8C"/>
        </w:tc>
        <w:tc>
          <w:tcPr>
            <w:tcW w:w="1519" w:type="dxa"/>
            <w:tcBorders>
              <w:top w:val="single" w:sz="4" w:space="0" w:color="auto"/>
            </w:tcBorders>
          </w:tcPr>
          <w:p w14:paraId="6030C7CF" w14:textId="77777777" w:rsidR="00F979B4" w:rsidRPr="007165BD" w:rsidRDefault="00F979B4" w:rsidP="00835A8C">
            <w:pPr>
              <w:jc w:val="center"/>
              <w:rPr>
                <w:b/>
              </w:rPr>
            </w:pPr>
            <w:r w:rsidRPr="007165BD">
              <w:rPr>
                <w:b/>
              </w:rPr>
              <w:t>$’000</w:t>
            </w:r>
          </w:p>
        </w:tc>
        <w:tc>
          <w:tcPr>
            <w:tcW w:w="1519" w:type="dxa"/>
            <w:tcBorders>
              <w:top w:val="single" w:sz="4" w:space="0" w:color="auto"/>
            </w:tcBorders>
          </w:tcPr>
          <w:p w14:paraId="4A6E416A" w14:textId="77777777" w:rsidR="00F979B4" w:rsidRPr="007165BD" w:rsidRDefault="00F979B4" w:rsidP="00835A8C">
            <w:pPr>
              <w:jc w:val="center"/>
              <w:rPr>
                <w:b/>
              </w:rPr>
            </w:pPr>
            <w:r w:rsidRPr="007165BD">
              <w:rPr>
                <w:b/>
              </w:rPr>
              <w:t>$’000</w:t>
            </w:r>
          </w:p>
        </w:tc>
      </w:tr>
      <w:tr w:rsidR="00F979B4" w:rsidRPr="00F30939" w14:paraId="09183B86" w14:textId="77777777" w:rsidTr="00835A8C">
        <w:trPr>
          <w:cantSplit/>
          <w:trHeight w:val="454"/>
        </w:trPr>
        <w:tc>
          <w:tcPr>
            <w:tcW w:w="6062" w:type="dxa"/>
          </w:tcPr>
          <w:p w14:paraId="10A3FE9E" w14:textId="77777777" w:rsidR="00F979B4" w:rsidRPr="00F30939" w:rsidRDefault="00F979B4" w:rsidP="00835A8C">
            <w:r w:rsidRPr="00F30939">
              <w:t>Cash and cash equivalents</w:t>
            </w:r>
          </w:p>
        </w:tc>
        <w:tc>
          <w:tcPr>
            <w:tcW w:w="1519" w:type="dxa"/>
          </w:tcPr>
          <w:p w14:paraId="7E6B9D0F" w14:textId="77777777" w:rsidR="00F979B4" w:rsidRPr="00F30939" w:rsidRDefault="00F979B4" w:rsidP="00835A8C">
            <w:pPr>
              <w:tabs>
                <w:tab w:val="clear" w:pos="1378"/>
                <w:tab w:val="decimal" w:pos="1020"/>
              </w:tabs>
            </w:pPr>
            <w:r>
              <w:t>1,494</w:t>
            </w:r>
          </w:p>
        </w:tc>
        <w:tc>
          <w:tcPr>
            <w:tcW w:w="1519" w:type="dxa"/>
          </w:tcPr>
          <w:p w14:paraId="017538FF" w14:textId="77777777" w:rsidR="00F979B4" w:rsidRPr="00F30939" w:rsidRDefault="00F979B4" w:rsidP="00835A8C">
            <w:pPr>
              <w:tabs>
                <w:tab w:val="clear" w:pos="1378"/>
                <w:tab w:val="decimal" w:pos="1020"/>
              </w:tabs>
            </w:pPr>
            <w:r>
              <w:t>1,532</w:t>
            </w:r>
          </w:p>
        </w:tc>
      </w:tr>
      <w:tr w:rsidR="00F979B4" w:rsidRPr="00F30939" w14:paraId="31CA8016" w14:textId="77777777" w:rsidTr="00835A8C">
        <w:trPr>
          <w:cantSplit/>
          <w:trHeight w:val="454"/>
        </w:trPr>
        <w:tc>
          <w:tcPr>
            <w:tcW w:w="6062" w:type="dxa"/>
          </w:tcPr>
          <w:p w14:paraId="01B02F98" w14:textId="77777777" w:rsidR="00F979B4" w:rsidRPr="00F30939" w:rsidRDefault="00F979B4" w:rsidP="00835A8C">
            <w:r w:rsidRPr="00F30939">
              <w:t>Receivables and other current assets</w:t>
            </w:r>
          </w:p>
        </w:tc>
        <w:tc>
          <w:tcPr>
            <w:tcW w:w="1519" w:type="dxa"/>
          </w:tcPr>
          <w:p w14:paraId="5F1E83C4" w14:textId="77777777" w:rsidR="00F979B4" w:rsidRPr="00F30939" w:rsidRDefault="00F979B4" w:rsidP="00835A8C">
            <w:pPr>
              <w:tabs>
                <w:tab w:val="clear" w:pos="1378"/>
                <w:tab w:val="decimal" w:pos="1020"/>
              </w:tabs>
            </w:pPr>
            <w:r>
              <w:t>-</w:t>
            </w:r>
          </w:p>
        </w:tc>
        <w:tc>
          <w:tcPr>
            <w:tcW w:w="1519" w:type="dxa"/>
          </w:tcPr>
          <w:p w14:paraId="30B1D87A" w14:textId="77777777" w:rsidR="00F979B4" w:rsidRPr="00F30939" w:rsidRDefault="00F979B4" w:rsidP="00835A8C">
            <w:pPr>
              <w:tabs>
                <w:tab w:val="clear" w:pos="1378"/>
                <w:tab w:val="decimal" w:pos="1020"/>
              </w:tabs>
            </w:pPr>
            <w:r>
              <w:t>4</w:t>
            </w:r>
          </w:p>
        </w:tc>
      </w:tr>
      <w:tr w:rsidR="00F979B4" w:rsidRPr="00F30939" w14:paraId="79BDE4C2" w14:textId="77777777" w:rsidTr="00835A8C">
        <w:trPr>
          <w:cantSplit/>
          <w:trHeight w:val="454"/>
        </w:trPr>
        <w:tc>
          <w:tcPr>
            <w:tcW w:w="6062" w:type="dxa"/>
          </w:tcPr>
          <w:p w14:paraId="40A09592" w14:textId="77777777" w:rsidR="00F979B4" w:rsidRPr="00F30939" w:rsidRDefault="00F979B4" w:rsidP="00835A8C">
            <w:r w:rsidRPr="00F30939">
              <w:t>Less current liabilities</w:t>
            </w:r>
          </w:p>
        </w:tc>
        <w:tc>
          <w:tcPr>
            <w:tcW w:w="1519" w:type="dxa"/>
          </w:tcPr>
          <w:p w14:paraId="6B96EA1D" w14:textId="27014BCF" w:rsidR="00F979B4" w:rsidRPr="00F30939" w:rsidRDefault="001A7FF0" w:rsidP="00835A8C">
            <w:pPr>
              <w:tabs>
                <w:tab w:val="clear" w:pos="1378"/>
                <w:tab w:val="decimal" w:pos="1020"/>
              </w:tabs>
            </w:pPr>
            <w:r>
              <w:t>-</w:t>
            </w:r>
          </w:p>
        </w:tc>
        <w:tc>
          <w:tcPr>
            <w:tcW w:w="1519" w:type="dxa"/>
          </w:tcPr>
          <w:p w14:paraId="17A03FD7" w14:textId="77777777" w:rsidR="00F979B4" w:rsidRPr="00F30939" w:rsidRDefault="00F979B4" w:rsidP="00835A8C">
            <w:pPr>
              <w:tabs>
                <w:tab w:val="clear" w:pos="1378"/>
                <w:tab w:val="decimal" w:pos="1020"/>
              </w:tabs>
            </w:pPr>
            <w:r w:rsidRPr="00F30939">
              <w:t>(</w:t>
            </w:r>
            <w:r>
              <w:t>54</w:t>
            </w:r>
            <w:r w:rsidRPr="00F30939">
              <w:t>)</w:t>
            </w:r>
          </w:p>
        </w:tc>
      </w:tr>
      <w:tr w:rsidR="00F979B4" w:rsidRPr="007165BD" w14:paraId="7E0DC258" w14:textId="77777777" w:rsidTr="00835A8C">
        <w:trPr>
          <w:cantSplit/>
          <w:trHeight w:val="454"/>
        </w:trPr>
        <w:tc>
          <w:tcPr>
            <w:tcW w:w="6062" w:type="dxa"/>
            <w:tcBorders>
              <w:bottom w:val="single" w:sz="4" w:space="0" w:color="auto"/>
            </w:tcBorders>
          </w:tcPr>
          <w:p w14:paraId="04FDD586" w14:textId="77777777" w:rsidR="00F979B4" w:rsidRPr="007165BD" w:rsidRDefault="00F979B4" w:rsidP="00835A8C">
            <w:pPr>
              <w:rPr>
                <w:b/>
              </w:rPr>
            </w:pPr>
            <w:r w:rsidRPr="007165BD">
              <w:rPr>
                <w:b/>
              </w:rPr>
              <w:t>Working Capital</w:t>
            </w:r>
          </w:p>
        </w:tc>
        <w:tc>
          <w:tcPr>
            <w:tcW w:w="1519" w:type="dxa"/>
            <w:tcBorders>
              <w:bottom w:val="single" w:sz="4" w:space="0" w:color="auto"/>
            </w:tcBorders>
          </w:tcPr>
          <w:p w14:paraId="18F530A7" w14:textId="77777777" w:rsidR="00F979B4" w:rsidRPr="007165BD" w:rsidRDefault="00F979B4" w:rsidP="00835A8C">
            <w:pPr>
              <w:tabs>
                <w:tab w:val="clear" w:pos="1378"/>
                <w:tab w:val="decimal" w:pos="1020"/>
              </w:tabs>
              <w:rPr>
                <w:b/>
              </w:rPr>
            </w:pPr>
            <w:r>
              <w:rPr>
                <w:b/>
              </w:rPr>
              <w:t>1,494</w:t>
            </w:r>
          </w:p>
        </w:tc>
        <w:tc>
          <w:tcPr>
            <w:tcW w:w="1519" w:type="dxa"/>
            <w:tcBorders>
              <w:bottom w:val="single" w:sz="4" w:space="0" w:color="auto"/>
            </w:tcBorders>
          </w:tcPr>
          <w:p w14:paraId="11582846" w14:textId="77777777" w:rsidR="00F979B4" w:rsidRPr="007165BD" w:rsidRDefault="00F979B4" w:rsidP="00835A8C">
            <w:pPr>
              <w:tabs>
                <w:tab w:val="clear" w:pos="1378"/>
                <w:tab w:val="decimal" w:pos="1020"/>
              </w:tabs>
              <w:rPr>
                <w:b/>
              </w:rPr>
            </w:pPr>
            <w:r>
              <w:rPr>
                <w:b/>
              </w:rPr>
              <w:t>1,482</w:t>
            </w:r>
          </w:p>
        </w:tc>
      </w:tr>
      <w:tr w:rsidR="00F979B4" w:rsidRPr="00F30939" w14:paraId="231A7C78" w14:textId="77777777" w:rsidTr="00835A8C">
        <w:trPr>
          <w:cantSplit/>
          <w:trHeight w:val="454"/>
        </w:trPr>
        <w:tc>
          <w:tcPr>
            <w:tcW w:w="6062" w:type="dxa"/>
          </w:tcPr>
          <w:p w14:paraId="70E59DA8" w14:textId="77777777" w:rsidR="00F979B4" w:rsidRPr="00F30939" w:rsidRDefault="00F979B4" w:rsidP="00835A8C">
            <w:r w:rsidRPr="00F30939">
              <w:t>Add non-current assets</w:t>
            </w:r>
          </w:p>
        </w:tc>
        <w:tc>
          <w:tcPr>
            <w:tcW w:w="1519" w:type="dxa"/>
          </w:tcPr>
          <w:p w14:paraId="33DE2141" w14:textId="77777777" w:rsidR="00F979B4" w:rsidRPr="00F30939" w:rsidRDefault="00F979B4" w:rsidP="00835A8C">
            <w:pPr>
              <w:tabs>
                <w:tab w:val="clear" w:pos="1378"/>
                <w:tab w:val="decimal" w:pos="1020"/>
              </w:tabs>
            </w:pPr>
            <w:r>
              <w:t>-</w:t>
            </w:r>
          </w:p>
        </w:tc>
        <w:tc>
          <w:tcPr>
            <w:tcW w:w="1519" w:type="dxa"/>
          </w:tcPr>
          <w:p w14:paraId="6BAE91C1" w14:textId="77777777" w:rsidR="00F979B4" w:rsidRPr="00F30939" w:rsidRDefault="00F979B4" w:rsidP="00835A8C">
            <w:pPr>
              <w:tabs>
                <w:tab w:val="clear" w:pos="1378"/>
                <w:tab w:val="decimal" w:pos="1020"/>
              </w:tabs>
            </w:pPr>
            <w:r>
              <w:t>84</w:t>
            </w:r>
          </w:p>
        </w:tc>
      </w:tr>
      <w:tr w:rsidR="00F979B4" w:rsidRPr="00F30939" w14:paraId="760FCC2A" w14:textId="77777777" w:rsidTr="00835A8C">
        <w:trPr>
          <w:cantSplit/>
          <w:trHeight w:val="454"/>
        </w:trPr>
        <w:tc>
          <w:tcPr>
            <w:tcW w:w="6062" w:type="dxa"/>
          </w:tcPr>
          <w:p w14:paraId="4A25DC0A" w14:textId="77777777" w:rsidR="00F979B4" w:rsidRPr="00F30939" w:rsidRDefault="00F979B4" w:rsidP="00835A8C">
            <w:r w:rsidRPr="00F30939">
              <w:t>Less non-current liabilities</w:t>
            </w:r>
          </w:p>
        </w:tc>
        <w:tc>
          <w:tcPr>
            <w:tcW w:w="1519" w:type="dxa"/>
          </w:tcPr>
          <w:p w14:paraId="29773A4F" w14:textId="77777777" w:rsidR="00F979B4" w:rsidRPr="00F30939" w:rsidRDefault="00F979B4" w:rsidP="00835A8C">
            <w:pPr>
              <w:tabs>
                <w:tab w:val="clear" w:pos="1378"/>
                <w:tab w:val="decimal" w:pos="1020"/>
              </w:tabs>
            </w:pPr>
            <w:r>
              <w:t>(8,829)</w:t>
            </w:r>
          </w:p>
        </w:tc>
        <w:tc>
          <w:tcPr>
            <w:tcW w:w="1519" w:type="dxa"/>
          </w:tcPr>
          <w:p w14:paraId="5E04B7E6" w14:textId="77777777" w:rsidR="00F979B4" w:rsidRPr="00F30939" w:rsidRDefault="00F979B4" w:rsidP="00835A8C">
            <w:pPr>
              <w:tabs>
                <w:tab w:val="clear" w:pos="1378"/>
                <w:tab w:val="decimal" w:pos="1020"/>
              </w:tabs>
            </w:pPr>
            <w:r>
              <w:t>(8,805)</w:t>
            </w:r>
          </w:p>
        </w:tc>
      </w:tr>
      <w:tr w:rsidR="00F979B4" w:rsidRPr="007165BD" w14:paraId="6FFAB3F0" w14:textId="77777777" w:rsidTr="00835A8C">
        <w:trPr>
          <w:cantSplit/>
          <w:trHeight w:val="454"/>
        </w:trPr>
        <w:tc>
          <w:tcPr>
            <w:tcW w:w="6062" w:type="dxa"/>
            <w:tcBorders>
              <w:bottom w:val="single" w:sz="4" w:space="0" w:color="auto"/>
            </w:tcBorders>
          </w:tcPr>
          <w:p w14:paraId="571870C0" w14:textId="77777777" w:rsidR="00F979B4" w:rsidRPr="007165BD" w:rsidRDefault="00F979B4" w:rsidP="00835A8C">
            <w:pPr>
              <w:rPr>
                <w:b/>
              </w:rPr>
            </w:pPr>
            <w:r w:rsidRPr="007165BD">
              <w:rPr>
                <w:b/>
              </w:rPr>
              <w:t>Net Assets</w:t>
            </w:r>
          </w:p>
        </w:tc>
        <w:tc>
          <w:tcPr>
            <w:tcW w:w="1519" w:type="dxa"/>
            <w:tcBorders>
              <w:bottom w:val="single" w:sz="4" w:space="0" w:color="auto"/>
            </w:tcBorders>
          </w:tcPr>
          <w:p w14:paraId="5FAA5B93" w14:textId="77777777" w:rsidR="00F979B4" w:rsidRPr="007165BD" w:rsidRDefault="00F979B4" w:rsidP="00835A8C">
            <w:pPr>
              <w:tabs>
                <w:tab w:val="clear" w:pos="1378"/>
                <w:tab w:val="decimal" w:pos="1020"/>
              </w:tabs>
              <w:rPr>
                <w:b/>
              </w:rPr>
            </w:pPr>
            <w:r>
              <w:rPr>
                <w:b/>
              </w:rPr>
              <w:t>(7,335)</w:t>
            </w:r>
          </w:p>
        </w:tc>
        <w:tc>
          <w:tcPr>
            <w:tcW w:w="1519" w:type="dxa"/>
            <w:tcBorders>
              <w:bottom w:val="single" w:sz="4" w:space="0" w:color="auto"/>
            </w:tcBorders>
          </w:tcPr>
          <w:p w14:paraId="258810D6" w14:textId="77777777" w:rsidR="00F979B4" w:rsidRPr="007165BD" w:rsidRDefault="00F979B4" w:rsidP="00835A8C">
            <w:pPr>
              <w:tabs>
                <w:tab w:val="clear" w:pos="1378"/>
                <w:tab w:val="decimal" w:pos="1020"/>
              </w:tabs>
              <w:rPr>
                <w:b/>
              </w:rPr>
            </w:pPr>
            <w:r>
              <w:rPr>
                <w:b/>
              </w:rPr>
              <w:t>(7,239)</w:t>
            </w:r>
          </w:p>
        </w:tc>
      </w:tr>
      <w:tr w:rsidR="00F979B4" w:rsidRPr="00F30939" w14:paraId="7E8D7692" w14:textId="77777777" w:rsidTr="00835A8C">
        <w:trPr>
          <w:cantSplit/>
          <w:trHeight w:val="454"/>
        </w:trPr>
        <w:tc>
          <w:tcPr>
            <w:tcW w:w="6062" w:type="dxa"/>
            <w:tcBorders>
              <w:top w:val="single" w:sz="4" w:space="0" w:color="auto"/>
            </w:tcBorders>
          </w:tcPr>
          <w:p w14:paraId="7FD5E1FD" w14:textId="77777777" w:rsidR="00F979B4" w:rsidRPr="00F30939" w:rsidRDefault="00F979B4" w:rsidP="00835A8C">
            <w:r w:rsidRPr="00F30939">
              <w:t>Represented by:</w:t>
            </w:r>
          </w:p>
        </w:tc>
        <w:tc>
          <w:tcPr>
            <w:tcW w:w="1519" w:type="dxa"/>
            <w:tcBorders>
              <w:top w:val="single" w:sz="4" w:space="0" w:color="auto"/>
            </w:tcBorders>
          </w:tcPr>
          <w:p w14:paraId="4B4BA504" w14:textId="77777777" w:rsidR="00F979B4" w:rsidRPr="00F30939" w:rsidRDefault="00F979B4" w:rsidP="00835A8C">
            <w:pPr>
              <w:tabs>
                <w:tab w:val="clear" w:pos="1378"/>
                <w:tab w:val="decimal" w:pos="1020"/>
              </w:tabs>
            </w:pPr>
          </w:p>
        </w:tc>
        <w:tc>
          <w:tcPr>
            <w:tcW w:w="1519" w:type="dxa"/>
            <w:tcBorders>
              <w:top w:val="single" w:sz="4" w:space="0" w:color="auto"/>
            </w:tcBorders>
          </w:tcPr>
          <w:p w14:paraId="300658E8" w14:textId="77777777" w:rsidR="00F979B4" w:rsidRPr="00F30939" w:rsidRDefault="00F979B4" w:rsidP="00835A8C">
            <w:pPr>
              <w:tabs>
                <w:tab w:val="clear" w:pos="1378"/>
                <w:tab w:val="decimal" w:pos="1020"/>
              </w:tabs>
            </w:pPr>
          </w:p>
        </w:tc>
      </w:tr>
      <w:tr w:rsidR="00F979B4" w:rsidRPr="00F30939" w14:paraId="2C76928D" w14:textId="77777777" w:rsidTr="00835A8C">
        <w:trPr>
          <w:cantSplit/>
          <w:trHeight w:val="454"/>
        </w:trPr>
        <w:tc>
          <w:tcPr>
            <w:tcW w:w="6062" w:type="dxa"/>
          </w:tcPr>
          <w:p w14:paraId="140ACB62" w14:textId="77777777" w:rsidR="00F979B4" w:rsidRPr="00F30939" w:rsidRDefault="00F979B4" w:rsidP="00835A8C">
            <w:r w:rsidRPr="00F30939">
              <w:t xml:space="preserve">Accumulated </w:t>
            </w:r>
            <w:r>
              <w:t>deficit</w:t>
            </w:r>
          </w:p>
        </w:tc>
        <w:tc>
          <w:tcPr>
            <w:tcW w:w="1519" w:type="dxa"/>
          </w:tcPr>
          <w:p w14:paraId="7D292A51" w14:textId="77777777" w:rsidR="00F979B4" w:rsidRPr="00F30939" w:rsidRDefault="00F979B4" w:rsidP="00835A8C">
            <w:pPr>
              <w:tabs>
                <w:tab w:val="clear" w:pos="1378"/>
                <w:tab w:val="decimal" w:pos="1020"/>
              </w:tabs>
            </w:pPr>
            <w:r>
              <w:t>(7,335)</w:t>
            </w:r>
          </w:p>
        </w:tc>
        <w:tc>
          <w:tcPr>
            <w:tcW w:w="1519" w:type="dxa"/>
          </w:tcPr>
          <w:p w14:paraId="2F495CB7" w14:textId="77777777" w:rsidR="00F979B4" w:rsidRPr="00F30939" w:rsidRDefault="00F979B4" w:rsidP="00835A8C">
            <w:pPr>
              <w:tabs>
                <w:tab w:val="clear" w:pos="1378"/>
                <w:tab w:val="decimal" w:pos="1020"/>
              </w:tabs>
            </w:pPr>
            <w:r>
              <w:t>(7,239)</w:t>
            </w:r>
          </w:p>
        </w:tc>
      </w:tr>
      <w:tr w:rsidR="00F979B4" w:rsidRPr="007165BD" w14:paraId="57D62D30" w14:textId="77777777" w:rsidTr="00835A8C">
        <w:trPr>
          <w:cantSplit/>
          <w:trHeight w:val="454"/>
        </w:trPr>
        <w:tc>
          <w:tcPr>
            <w:tcW w:w="6062" w:type="dxa"/>
            <w:tcBorders>
              <w:bottom w:val="single" w:sz="4" w:space="0" w:color="auto"/>
            </w:tcBorders>
          </w:tcPr>
          <w:p w14:paraId="5BE0FC4B" w14:textId="77777777" w:rsidR="00F979B4" w:rsidRPr="007165BD" w:rsidRDefault="00F979B4" w:rsidP="00835A8C">
            <w:pPr>
              <w:rPr>
                <w:b/>
              </w:rPr>
            </w:pPr>
            <w:r w:rsidRPr="007165BD">
              <w:rPr>
                <w:b/>
              </w:rPr>
              <w:t>Equity</w:t>
            </w:r>
          </w:p>
        </w:tc>
        <w:tc>
          <w:tcPr>
            <w:tcW w:w="1519" w:type="dxa"/>
            <w:tcBorders>
              <w:bottom w:val="single" w:sz="4" w:space="0" w:color="auto"/>
            </w:tcBorders>
          </w:tcPr>
          <w:p w14:paraId="613BB79D" w14:textId="77777777" w:rsidR="00F979B4" w:rsidRPr="00275555" w:rsidRDefault="00F979B4" w:rsidP="00835A8C">
            <w:pPr>
              <w:tabs>
                <w:tab w:val="clear" w:pos="1378"/>
                <w:tab w:val="decimal" w:pos="1020"/>
              </w:tabs>
              <w:rPr>
                <w:b/>
              </w:rPr>
            </w:pPr>
            <w:r w:rsidRPr="00275555">
              <w:rPr>
                <w:b/>
              </w:rPr>
              <w:t>(7,335)</w:t>
            </w:r>
          </w:p>
        </w:tc>
        <w:tc>
          <w:tcPr>
            <w:tcW w:w="1519" w:type="dxa"/>
            <w:tcBorders>
              <w:bottom w:val="single" w:sz="4" w:space="0" w:color="auto"/>
            </w:tcBorders>
          </w:tcPr>
          <w:p w14:paraId="4AFFF13A" w14:textId="77777777" w:rsidR="00F979B4" w:rsidRPr="007165BD" w:rsidRDefault="00F979B4" w:rsidP="00835A8C">
            <w:pPr>
              <w:tabs>
                <w:tab w:val="clear" w:pos="1378"/>
                <w:tab w:val="decimal" w:pos="1020"/>
              </w:tabs>
              <w:rPr>
                <w:b/>
              </w:rPr>
            </w:pPr>
            <w:r>
              <w:rPr>
                <w:b/>
              </w:rPr>
              <w:t>(7,239)</w:t>
            </w:r>
          </w:p>
        </w:tc>
      </w:tr>
    </w:tbl>
    <w:p w14:paraId="2F833922" w14:textId="3E76285E" w:rsidR="003D7346" w:rsidRDefault="003D7346" w:rsidP="003D7346"/>
    <w:p w14:paraId="6D893BF8" w14:textId="77777777" w:rsidR="006B5C69" w:rsidRPr="000D515D" w:rsidRDefault="006B5C69" w:rsidP="006B5C69">
      <w:pPr>
        <w:pStyle w:val="Heading1"/>
      </w:pPr>
      <w:bookmarkStart w:id="23" w:name="_Ref34309281"/>
      <w:r>
        <w:t>Menzies School of Health Research</w:t>
      </w:r>
      <w:bookmarkEnd w:id="23"/>
    </w:p>
    <w:p w14:paraId="44CE81FE" w14:textId="532223D3" w:rsidR="006B5C69" w:rsidRPr="000D515D" w:rsidRDefault="006B5C69" w:rsidP="006B5C69">
      <w:pPr>
        <w:pStyle w:val="Heading2"/>
      </w:pPr>
      <w:bookmarkStart w:id="24" w:name="_Ref34309489"/>
      <w:r w:rsidRPr="000D515D">
        <w:t xml:space="preserve">Audit Findings and Analysis of the Financial Statements for the Year Ended </w:t>
      </w:r>
      <w:r w:rsidR="00F1580E">
        <w:t>31 December 2020</w:t>
      </w:r>
      <w:bookmarkEnd w:id="24"/>
    </w:p>
    <w:p w14:paraId="415DD280" w14:textId="77777777" w:rsidR="006B5C69" w:rsidRPr="00F30939" w:rsidRDefault="006B5C69" w:rsidP="006B5C69">
      <w:pPr>
        <w:pStyle w:val="Heading3"/>
      </w:pPr>
      <w:r>
        <w:t>Background</w:t>
      </w:r>
    </w:p>
    <w:p w14:paraId="4761618D" w14:textId="77777777" w:rsidR="006B5C69" w:rsidRPr="00F30939" w:rsidRDefault="006B5C69" w:rsidP="006B5C69">
      <w:r w:rsidRPr="00C958E6">
        <w:t xml:space="preserve">The Menzies School of Health Research (the School) was established under the </w:t>
      </w:r>
      <w:r w:rsidRPr="00BE56A3">
        <w:rPr>
          <w:i/>
        </w:rPr>
        <w:t>Menzies School of Health Research Act</w:t>
      </w:r>
      <w:r w:rsidRPr="00C958E6">
        <w:t xml:space="preserve"> </w:t>
      </w:r>
      <w:r w:rsidRPr="00944002">
        <w:rPr>
          <w:i/>
        </w:rPr>
        <w:t xml:space="preserve">1985 </w:t>
      </w:r>
      <w:r w:rsidRPr="00C958E6">
        <w:t xml:space="preserve">and operates as a medical research institute within the Northern Territory. The School is deemed to be controlled by Charles Darwin University by virtue of </w:t>
      </w:r>
      <w:r>
        <w:t>section</w:t>
      </w:r>
      <w:r w:rsidRPr="00C958E6">
        <w:t xml:space="preserve"> 11(1) of the</w:t>
      </w:r>
      <w:r w:rsidRPr="00C958E6">
        <w:rPr>
          <w:i/>
        </w:rPr>
        <w:t xml:space="preserve"> Menzies School of Health Research Act 1985 </w:t>
      </w:r>
      <w:r w:rsidRPr="00C958E6">
        <w:t>which, at the time of the audit, specified that the Vice-Chancellor of the University will be a member of the School’s Board, and that five Board members, but no more than nine Board members, will be appointed by the Council of the Charles Darwin University</w:t>
      </w:r>
      <w:r>
        <w:t>.</w:t>
      </w:r>
    </w:p>
    <w:p w14:paraId="7DE82B05" w14:textId="77777777" w:rsidR="006B5C69" w:rsidRDefault="006B5C69" w:rsidP="006B5C69">
      <w:pPr>
        <w:pStyle w:val="Heading3"/>
      </w:pPr>
      <w:r>
        <w:t>Scope and Objectives</w:t>
      </w:r>
    </w:p>
    <w:p w14:paraId="4EC765FD" w14:textId="33E4A372" w:rsidR="006B5C69" w:rsidRPr="00163CCE" w:rsidRDefault="006B5C69" w:rsidP="006B5C69">
      <w:r w:rsidRPr="00163CCE">
        <w:t xml:space="preserve">The objective of the audit was to complete sufficient audit procedures to enable an opinion to be expressed upon the financial statements of the Menzies School of Health Research for the year ended </w:t>
      </w:r>
      <w:r w:rsidR="00F1580E" w:rsidRPr="00163CCE">
        <w:t>31 December 2020</w:t>
      </w:r>
      <w:r w:rsidRPr="00163CCE">
        <w:t>.</w:t>
      </w:r>
    </w:p>
    <w:p w14:paraId="52A06876" w14:textId="77777777" w:rsidR="006B5C69" w:rsidRPr="00163CCE" w:rsidRDefault="006B5C69" w:rsidP="006B5C69">
      <w:pPr>
        <w:pStyle w:val="Heading3"/>
      </w:pPr>
      <w:r w:rsidRPr="00163CCE">
        <w:t>Audit Opinion</w:t>
      </w:r>
    </w:p>
    <w:p w14:paraId="6ED450A1" w14:textId="36297603" w:rsidR="006B5C69" w:rsidRPr="00163CCE" w:rsidRDefault="006B5C69" w:rsidP="006B5C69">
      <w:r w:rsidRPr="00163CCE">
        <w:t xml:space="preserve">The audit of the Menzies School of Health Research for the year ended </w:t>
      </w:r>
      <w:r w:rsidR="00F1580E" w:rsidRPr="00163CCE">
        <w:t>31 December 2020</w:t>
      </w:r>
      <w:r w:rsidRPr="00163CCE">
        <w:t xml:space="preserve"> resulted in an unmodified independent audit opinion, which was issued on </w:t>
      </w:r>
      <w:r w:rsidR="00163CCE" w:rsidRPr="00163CCE">
        <w:t>26 May 2021</w:t>
      </w:r>
      <w:r w:rsidRPr="00163CCE">
        <w:t>.</w:t>
      </w:r>
    </w:p>
    <w:p w14:paraId="6226218E" w14:textId="77777777" w:rsidR="006B5C69" w:rsidRPr="00163CCE" w:rsidRDefault="006B5C69" w:rsidP="006B5C69">
      <w:pPr>
        <w:pStyle w:val="Heading3"/>
      </w:pPr>
      <w:r w:rsidRPr="00163CCE">
        <w:t>Audit Observations</w:t>
      </w:r>
    </w:p>
    <w:p w14:paraId="6BE2222B" w14:textId="77777777" w:rsidR="006B5C69" w:rsidRPr="00163CCE" w:rsidRDefault="006B5C69" w:rsidP="006B5C69">
      <w:r w:rsidRPr="00163CCE">
        <w:t>The audit did not identify any material weaknesses in internal controls.</w:t>
      </w:r>
    </w:p>
    <w:p w14:paraId="5D45C6CD" w14:textId="77777777" w:rsidR="006B5C69" w:rsidRPr="001F67B3" w:rsidRDefault="006B5C69" w:rsidP="006B5C69">
      <w:pPr>
        <w:pStyle w:val="Heading4"/>
      </w:pPr>
      <w:r w:rsidRPr="001F67B3">
        <w:t>Performance Overview</w:t>
      </w:r>
    </w:p>
    <w:p w14:paraId="151C4777" w14:textId="041683C3" w:rsidR="00163CCE" w:rsidRDefault="005B15D9" w:rsidP="00163CCE">
      <w:r>
        <w:t>The School</w:t>
      </w:r>
      <w:r w:rsidR="00163CCE">
        <w:t xml:space="preserve"> reported an operating result attributable to members of $1.0 million for the year ended 31 December 2020 compared to an operating result of $3.9 million for the comparative year ended 31 December 2019. This decrease of approximately $2.9 million is attributable to a decrease in total income of $2.5 million from the prior year and an increase in total expenditure of $0.4 million. The decrease in revenue </w:t>
      </w:r>
      <w:r>
        <w:t>resulted from</w:t>
      </w:r>
      <w:r w:rsidR="00163CCE">
        <w:t>:</w:t>
      </w:r>
    </w:p>
    <w:p w14:paraId="78EE5AF9" w14:textId="77777777" w:rsidR="00163CCE" w:rsidRDefault="00163CCE" w:rsidP="00163CCE">
      <w:pPr>
        <w:pStyle w:val="ListBullet"/>
      </w:pPr>
      <w:r>
        <w:t>a decrease of $5.4 million in Australian Government financial assistance; and</w:t>
      </w:r>
    </w:p>
    <w:p w14:paraId="6B24EBE1" w14:textId="02F6E8FD" w:rsidR="00163CCE" w:rsidRDefault="00163CCE" w:rsidP="00163CCE">
      <w:pPr>
        <w:pStyle w:val="ListBullet"/>
      </w:pPr>
      <w:r>
        <w:t xml:space="preserve">a decrease of $1.9 million in </w:t>
      </w:r>
      <w:r w:rsidR="00EC0273" w:rsidRPr="00220748">
        <w:t>N</w:t>
      </w:r>
      <w:r w:rsidR="00EC0273">
        <w:t xml:space="preserve">orthern Territory Government </w:t>
      </w:r>
      <w:r>
        <w:t>funding; partially offset by</w:t>
      </w:r>
    </w:p>
    <w:p w14:paraId="027A0676" w14:textId="77777777" w:rsidR="00163CCE" w:rsidRDefault="00163CCE" w:rsidP="00163CCE">
      <w:pPr>
        <w:pStyle w:val="ListBullet"/>
      </w:pPr>
      <w:r>
        <w:t>total increases in total non-government revenue of approximately $4.8 million.</w:t>
      </w:r>
    </w:p>
    <w:p w14:paraId="1E5689C0" w14:textId="7262557D" w:rsidR="00163CCE" w:rsidRDefault="00163CCE" w:rsidP="00163CCE">
      <w:r>
        <w:t xml:space="preserve">The revenue movements are mainly a result of </w:t>
      </w:r>
      <w:r w:rsidR="005B15D9">
        <w:t>the School</w:t>
      </w:r>
      <w:r>
        <w:t xml:space="preserve"> applying the new </w:t>
      </w:r>
      <w:r w:rsidR="005B15D9">
        <w:t xml:space="preserve">Australian Accounting Standards applicable to </w:t>
      </w:r>
      <w:r>
        <w:t xml:space="preserve">research revenue. On transition to AASB 15 </w:t>
      </w:r>
      <w:r w:rsidRPr="00163CCE">
        <w:t>Revenue from Contracts with Customers</w:t>
      </w:r>
      <w:r>
        <w:t xml:space="preserve"> and AASB 1058 </w:t>
      </w:r>
      <w:r w:rsidRPr="00163CCE">
        <w:t>Income of Not-for-Profit Entities</w:t>
      </w:r>
      <w:r>
        <w:t xml:space="preserve">, </w:t>
      </w:r>
      <w:r w:rsidR="005B15D9">
        <w:t>the School</w:t>
      </w:r>
      <w:r>
        <w:t xml:space="preserve"> had a transitional adjustment of $12.5 million to recognise</w:t>
      </w:r>
      <w:r w:rsidR="00763735">
        <w:t xml:space="preserve"> a</w:t>
      </w:r>
      <w:r>
        <w:t xml:space="preserve"> Contract Liability </w:t>
      </w:r>
      <w:r w:rsidR="00763735">
        <w:t xml:space="preserve">for research contracts </w:t>
      </w:r>
      <w:r>
        <w:t xml:space="preserve">(adjusted to opening retained earnings). </w:t>
      </w:r>
      <w:r w:rsidR="005B15D9">
        <w:t xml:space="preserve">Application of the </w:t>
      </w:r>
      <w:r w:rsidR="00E93B9B">
        <w:t xml:space="preserve">new </w:t>
      </w:r>
      <w:r>
        <w:t>accounting standard</w:t>
      </w:r>
      <w:r w:rsidR="005B15D9">
        <w:t>s</w:t>
      </w:r>
      <w:r>
        <w:t xml:space="preserve"> has resulted in revenue </w:t>
      </w:r>
      <w:r w:rsidR="005B15D9">
        <w:t>being deferred to a later accounting period</w:t>
      </w:r>
      <w:r w:rsidR="00E93B9B">
        <w:t>. T</w:t>
      </w:r>
      <w:r>
        <w:t xml:space="preserve">he previous accounting </w:t>
      </w:r>
      <w:r w:rsidR="005B15D9">
        <w:t xml:space="preserve">treatment required </w:t>
      </w:r>
      <w:r w:rsidR="00E93B9B">
        <w:t xml:space="preserve">revenue to be </w:t>
      </w:r>
      <w:r w:rsidR="005B15D9">
        <w:t>recognise</w:t>
      </w:r>
      <w:r w:rsidR="00E93B9B">
        <w:t>d</w:t>
      </w:r>
      <w:r>
        <w:t xml:space="preserve"> </w:t>
      </w:r>
      <w:r w:rsidR="005B15D9">
        <w:t>upon receipt of the funds</w:t>
      </w:r>
      <w:r>
        <w:t xml:space="preserve">. </w:t>
      </w:r>
    </w:p>
    <w:p w14:paraId="46062154" w14:textId="77777777" w:rsidR="00E93B9B" w:rsidRDefault="00163CCE" w:rsidP="00163CCE">
      <w:r>
        <w:t xml:space="preserve">The net increase in total expenditure of $0.4 million was </w:t>
      </w:r>
      <w:r w:rsidR="00E93B9B">
        <w:t xml:space="preserve">primarily </w:t>
      </w:r>
      <w:r>
        <w:t>influenced by an increase of approximately $1.0 million in direct research costs.</w:t>
      </w:r>
      <w:r w:rsidR="00E93B9B">
        <w:t xml:space="preserve"> </w:t>
      </w:r>
    </w:p>
    <w:p w14:paraId="11D08A98" w14:textId="0E26D4AE" w:rsidR="00163CCE" w:rsidRDefault="00E93B9B" w:rsidP="00163CCE">
      <w:r>
        <w:t>T</w:t>
      </w:r>
      <w:r w:rsidR="00163CCE">
        <w:t xml:space="preserve">he financial </w:t>
      </w:r>
      <w:r>
        <w:t xml:space="preserve">results were impacted by </w:t>
      </w:r>
      <w:r w:rsidR="00163CCE">
        <w:t>government COVID-19 stimulus funding and reduced travel.</w:t>
      </w:r>
    </w:p>
    <w:p w14:paraId="79D3312E" w14:textId="77777777" w:rsidR="006B5C69" w:rsidRPr="00F30939" w:rsidRDefault="006B5C69" w:rsidP="006B5C69">
      <w:pPr>
        <w:pStyle w:val="Heading1-continued"/>
      </w:pPr>
      <w:r>
        <w:t>Menzies School of Health Research</w:t>
      </w:r>
      <w:r w:rsidRPr="00F30939">
        <w:t xml:space="preserve"> cont…</w:t>
      </w:r>
    </w:p>
    <w:p w14:paraId="3612BA62" w14:textId="77777777" w:rsidR="006B5C69" w:rsidRPr="00F30939" w:rsidRDefault="006B5C69" w:rsidP="006B5C69">
      <w:pPr>
        <w:pStyle w:val="Heading2"/>
      </w:pPr>
      <w:r w:rsidRPr="00F30939">
        <w:t>Financial Performance for the year</w:t>
      </w:r>
    </w:p>
    <w:tbl>
      <w:tblPr>
        <w:tblW w:w="9242" w:type="dxa"/>
        <w:tblLayout w:type="fixed"/>
        <w:tblLook w:val="04A0" w:firstRow="1" w:lastRow="0" w:firstColumn="1" w:lastColumn="0" w:noHBand="0" w:noVBand="1"/>
        <w:tblCaption w:val="Financial Performance for the year"/>
        <w:tblDescription w:val="Financial performance information for the current and prior year"/>
      </w:tblPr>
      <w:tblGrid>
        <w:gridCol w:w="6204"/>
        <w:gridCol w:w="1519"/>
        <w:gridCol w:w="1519"/>
      </w:tblGrid>
      <w:tr w:rsidR="006B5C69" w:rsidRPr="00F30939" w14:paraId="5A6BC56F" w14:textId="77777777" w:rsidTr="00F1580E">
        <w:trPr>
          <w:cantSplit/>
          <w:trHeight w:val="454"/>
          <w:tblHeader/>
        </w:trPr>
        <w:tc>
          <w:tcPr>
            <w:tcW w:w="6204" w:type="dxa"/>
            <w:tcBorders>
              <w:bottom w:val="single" w:sz="4" w:space="0" w:color="auto"/>
            </w:tcBorders>
          </w:tcPr>
          <w:p w14:paraId="07850112" w14:textId="77777777" w:rsidR="006B5C69" w:rsidRPr="00F30939" w:rsidRDefault="006B5C69" w:rsidP="00F1580E"/>
        </w:tc>
        <w:tc>
          <w:tcPr>
            <w:tcW w:w="1519" w:type="dxa"/>
            <w:tcBorders>
              <w:bottom w:val="single" w:sz="4" w:space="0" w:color="auto"/>
            </w:tcBorders>
          </w:tcPr>
          <w:p w14:paraId="1486BD40" w14:textId="178E853B" w:rsidR="006B5C69" w:rsidRPr="007165BD" w:rsidRDefault="006B5C69" w:rsidP="006B5C69">
            <w:pPr>
              <w:jc w:val="center"/>
              <w:rPr>
                <w:b/>
              </w:rPr>
            </w:pPr>
            <w:r>
              <w:rPr>
                <w:b/>
              </w:rPr>
              <w:t>2020</w:t>
            </w:r>
          </w:p>
        </w:tc>
        <w:tc>
          <w:tcPr>
            <w:tcW w:w="1519" w:type="dxa"/>
            <w:tcBorders>
              <w:bottom w:val="single" w:sz="4" w:space="0" w:color="auto"/>
            </w:tcBorders>
          </w:tcPr>
          <w:p w14:paraId="1016EC16" w14:textId="17D46631" w:rsidR="006B5C69" w:rsidRPr="007165BD" w:rsidRDefault="006B5C69" w:rsidP="00F1580E">
            <w:pPr>
              <w:jc w:val="center"/>
              <w:rPr>
                <w:b/>
              </w:rPr>
            </w:pPr>
            <w:r>
              <w:rPr>
                <w:b/>
              </w:rPr>
              <w:t>2019</w:t>
            </w:r>
          </w:p>
        </w:tc>
      </w:tr>
      <w:tr w:rsidR="006B5C69" w:rsidRPr="00F30939" w14:paraId="274B477C" w14:textId="77777777" w:rsidTr="00F1580E">
        <w:trPr>
          <w:cantSplit/>
          <w:trHeight w:val="454"/>
          <w:tblHeader/>
        </w:trPr>
        <w:tc>
          <w:tcPr>
            <w:tcW w:w="6204" w:type="dxa"/>
            <w:tcBorders>
              <w:top w:val="single" w:sz="4" w:space="0" w:color="auto"/>
            </w:tcBorders>
          </w:tcPr>
          <w:p w14:paraId="73820B10" w14:textId="77777777" w:rsidR="006B5C69" w:rsidRPr="00F30939" w:rsidRDefault="006B5C69" w:rsidP="00F1580E"/>
        </w:tc>
        <w:tc>
          <w:tcPr>
            <w:tcW w:w="1519" w:type="dxa"/>
            <w:tcBorders>
              <w:top w:val="single" w:sz="4" w:space="0" w:color="auto"/>
            </w:tcBorders>
          </w:tcPr>
          <w:p w14:paraId="5EEF598D" w14:textId="77777777" w:rsidR="006B5C69" w:rsidRPr="007165BD" w:rsidRDefault="006B5C69" w:rsidP="00F1580E">
            <w:pPr>
              <w:jc w:val="center"/>
              <w:rPr>
                <w:b/>
              </w:rPr>
            </w:pPr>
            <w:r w:rsidRPr="007165BD">
              <w:rPr>
                <w:b/>
              </w:rPr>
              <w:t>$’000</w:t>
            </w:r>
          </w:p>
        </w:tc>
        <w:tc>
          <w:tcPr>
            <w:tcW w:w="1519" w:type="dxa"/>
            <w:tcBorders>
              <w:top w:val="single" w:sz="4" w:space="0" w:color="auto"/>
            </w:tcBorders>
          </w:tcPr>
          <w:p w14:paraId="1F4B5010" w14:textId="77777777" w:rsidR="006B5C69" w:rsidRPr="007165BD" w:rsidRDefault="006B5C69" w:rsidP="00F1580E">
            <w:pPr>
              <w:jc w:val="center"/>
              <w:rPr>
                <w:b/>
              </w:rPr>
            </w:pPr>
            <w:r w:rsidRPr="007165BD">
              <w:rPr>
                <w:b/>
              </w:rPr>
              <w:t>$’000</w:t>
            </w:r>
          </w:p>
        </w:tc>
      </w:tr>
      <w:tr w:rsidR="006B5C69" w:rsidRPr="007165BD" w14:paraId="1FC0D3D2" w14:textId="77777777" w:rsidTr="00F1580E">
        <w:trPr>
          <w:cantSplit/>
          <w:trHeight w:val="454"/>
        </w:trPr>
        <w:tc>
          <w:tcPr>
            <w:tcW w:w="6204" w:type="dxa"/>
          </w:tcPr>
          <w:p w14:paraId="0E023971" w14:textId="77777777" w:rsidR="006B5C69" w:rsidRPr="007165BD" w:rsidRDefault="006B5C69" w:rsidP="00F1580E">
            <w:pPr>
              <w:rPr>
                <w:b/>
              </w:rPr>
            </w:pPr>
            <w:r w:rsidRPr="00C958E6">
              <w:rPr>
                <w:b/>
              </w:rPr>
              <w:t>Income</w:t>
            </w:r>
          </w:p>
        </w:tc>
        <w:tc>
          <w:tcPr>
            <w:tcW w:w="1519" w:type="dxa"/>
          </w:tcPr>
          <w:p w14:paraId="06624BEB" w14:textId="77777777" w:rsidR="006B5C69" w:rsidRPr="007165BD" w:rsidRDefault="006B5C69" w:rsidP="00F1580E">
            <w:pPr>
              <w:tabs>
                <w:tab w:val="clear" w:pos="1378"/>
                <w:tab w:val="decimal" w:pos="1020"/>
              </w:tabs>
              <w:rPr>
                <w:b/>
              </w:rPr>
            </w:pPr>
          </w:p>
        </w:tc>
        <w:tc>
          <w:tcPr>
            <w:tcW w:w="1519" w:type="dxa"/>
          </w:tcPr>
          <w:p w14:paraId="04071BC4" w14:textId="77777777" w:rsidR="006B5C69" w:rsidRPr="007165BD" w:rsidRDefault="006B5C69" w:rsidP="00F1580E">
            <w:pPr>
              <w:tabs>
                <w:tab w:val="clear" w:pos="1378"/>
                <w:tab w:val="decimal" w:pos="1020"/>
              </w:tabs>
              <w:rPr>
                <w:b/>
              </w:rPr>
            </w:pPr>
          </w:p>
        </w:tc>
      </w:tr>
      <w:tr w:rsidR="006B5C69" w:rsidRPr="00F30939" w14:paraId="3A1DEC7D" w14:textId="77777777" w:rsidTr="00F1580E">
        <w:trPr>
          <w:cantSplit/>
          <w:trHeight w:val="454"/>
        </w:trPr>
        <w:tc>
          <w:tcPr>
            <w:tcW w:w="6204" w:type="dxa"/>
          </w:tcPr>
          <w:p w14:paraId="438AD9CF" w14:textId="77777777" w:rsidR="006B5C69" w:rsidRPr="00F30939" w:rsidRDefault="006B5C69" w:rsidP="006B5C69">
            <w:r w:rsidRPr="00220748">
              <w:t>Financial assistance from the Commonwealth</w:t>
            </w:r>
          </w:p>
        </w:tc>
        <w:tc>
          <w:tcPr>
            <w:tcW w:w="1519" w:type="dxa"/>
          </w:tcPr>
          <w:p w14:paraId="40D2AEB8" w14:textId="3ADE6A00" w:rsidR="006B5C69" w:rsidRPr="00F30939" w:rsidRDefault="00163CCE" w:rsidP="00E93B9B">
            <w:pPr>
              <w:tabs>
                <w:tab w:val="clear" w:pos="1378"/>
                <w:tab w:val="decimal" w:pos="1020"/>
              </w:tabs>
            </w:pPr>
            <w:r>
              <w:t>15</w:t>
            </w:r>
            <w:r w:rsidR="00E93B9B">
              <w:t>,</w:t>
            </w:r>
            <w:r>
              <w:t>433</w:t>
            </w:r>
          </w:p>
        </w:tc>
        <w:tc>
          <w:tcPr>
            <w:tcW w:w="1519" w:type="dxa"/>
          </w:tcPr>
          <w:p w14:paraId="6D859E7C" w14:textId="7C6A4C24" w:rsidR="006B5C69" w:rsidRPr="00F30939" w:rsidRDefault="006B5C69" w:rsidP="006B5C69">
            <w:pPr>
              <w:tabs>
                <w:tab w:val="clear" w:pos="1378"/>
                <w:tab w:val="decimal" w:pos="1020"/>
              </w:tabs>
            </w:pPr>
            <w:r>
              <w:t>20,805</w:t>
            </w:r>
          </w:p>
        </w:tc>
      </w:tr>
      <w:tr w:rsidR="006B5C69" w:rsidRPr="00F30939" w14:paraId="17B812BD" w14:textId="77777777" w:rsidTr="00F1580E">
        <w:trPr>
          <w:cantSplit/>
          <w:trHeight w:val="454"/>
        </w:trPr>
        <w:tc>
          <w:tcPr>
            <w:tcW w:w="6204" w:type="dxa"/>
          </w:tcPr>
          <w:p w14:paraId="2906518D" w14:textId="624F2B39" w:rsidR="006B5C69" w:rsidRPr="00F30939" w:rsidRDefault="006B5C69" w:rsidP="006B5C69">
            <w:r w:rsidRPr="00220748">
              <w:t xml:space="preserve">Financial assistance from the </w:t>
            </w:r>
            <w:r w:rsidR="0067458D" w:rsidRPr="00220748">
              <w:t>N</w:t>
            </w:r>
            <w:r w:rsidR="0067458D">
              <w:t>orthern Territory Government</w:t>
            </w:r>
          </w:p>
        </w:tc>
        <w:tc>
          <w:tcPr>
            <w:tcW w:w="1519" w:type="dxa"/>
          </w:tcPr>
          <w:p w14:paraId="72735567" w14:textId="3350B80D" w:rsidR="006B5C69" w:rsidRPr="00F30939" w:rsidRDefault="00163CCE" w:rsidP="006B5C69">
            <w:pPr>
              <w:tabs>
                <w:tab w:val="clear" w:pos="1378"/>
                <w:tab w:val="decimal" w:pos="1020"/>
              </w:tabs>
            </w:pPr>
            <w:r>
              <w:t>5</w:t>
            </w:r>
            <w:r w:rsidR="00E93B9B">
              <w:t>,</w:t>
            </w:r>
            <w:r>
              <w:t>563</w:t>
            </w:r>
          </w:p>
        </w:tc>
        <w:tc>
          <w:tcPr>
            <w:tcW w:w="1519" w:type="dxa"/>
          </w:tcPr>
          <w:p w14:paraId="4DA03FB0" w14:textId="088FA1E8" w:rsidR="006B5C69" w:rsidRPr="00F30939" w:rsidRDefault="006B5C69" w:rsidP="006B5C69">
            <w:pPr>
              <w:tabs>
                <w:tab w:val="clear" w:pos="1378"/>
                <w:tab w:val="decimal" w:pos="1020"/>
              </w:tabs>
            </w:pPr>
            <w:r>
              <w:t>7,435</w:t>
            </w:r>
          </w:p>
        </w:tc>
      </w:tr>
      <w:tr w:rsidR="006B5C69" w:rsidRPr="00F30939" w14:paraId="3D6722B8" w14:textId="77777777" w:rsidTr="00F1580E">
        <w:trPr>
          <w:cantSplit/>
          <w:trHeight w:val="454"/>
        </w:trPr>
        <w:tc>
          <w:tcPr>
            <w:tcW w:w="6204" w:type="dxa"/>
          </w:tcPr>
          <w:p w14:paraId="0BB3A14C" w14:textId="77777777" w:rsidR="006B5C69" w:rsidRPr="00F30939" w:rsidRDefault="006B5C69" w:rsidP="006B5C69">
            <w:r w:rsidRPr="00220748">
              <w:t>Other revenue</w:t>
            </w:r>
          </w:p>
        </w:tc>
        <w:tc>
          <w:tcPr>
            <w:tcW w:w="1519" w:type="dxa"/>
          </w:tcPr>
          <w:p w14:paraId="053FA2C6" w14:textId="7B4557AB" w:rsidR="006B5C69" w:rsidRPr="00F30939" w:rsidRDefault="00163CCE" w:rsidP="00E93B9B">
            <w:pPr>
              <w:tabs>
                <w:tab w:val="clear" w:pos="1378"/>
                <w:tab w:val="decimal" w:pos="1020"/>
              </w:tabs>
            </w:pPr>
            <w:r>
              <w:t>24</w:t>
            </w:r>
            <w:r w:rsidR="00E93B9B">
              <w:t>,</w:t>
            </w:r>
            <w:r>
              <w:t>725</w:t>
            </w:r>
          </w:p>
        </w:tc>
        <w:tc>
          <w:tcPr>
            <w:tcW w:w="1519" w:type="dxa"/>
          </w:tcPr>
          <w:p w14:paraId="75544850" w14:textId="6758B7CB" w:rsidR="006B5C69" w:rsidRPr="00F30939" w:rsidRDefault="006B5C69" w:rsidP="006B5C69">
            <w:pPr>
              <w:tabs>
                <w:tab w:val="clear" w:pos="1378"/>
                <w:tab w:val="decimal" w:pos="1020"/>
              </w:tabs>
            </w:pPr>
            <w:r>
              <w:t>19,934</w:t>
            </w:r>
          </w:p>
        </w:tc>
      </w:tr>
      <w:tr w:rsidR="006B5C69" w:rsidRPr="00F30939" w14:paraId="0DF7CCE0" w14:textId="77777777" w:rsidTr="00F1580E">
        <w:trPr>
          <w:cantSplit/>
          <w:trHeight w:val="454"/>
        </w:trPr>
        <w:tc>
          <w:tcPr>
            <w:tcW w:w="6204" w:type="dxa"/>
          </w:tcPr>
          <w:p w14:paraId="38ABB7D9" w14:textId="77777777" w:rsidR="006B5C69" w:rsidRDefault="006B5C69" w:rsidP="006B5C69">
            <w:r>
              <w:t>Gain on disposal of assets</w:t>
            </w:r>
          </w:p>
        </w:tc>
        <w:tc>
          <w:tcPr>
            <w:tcW w:w="1519" w:type="dxa"/>
          </w:tcPr>
          <w:p w14:paraId="2EB8D2DB" w14:textId="44A87712" w:rsidR="006B5C69" w:rsidRDefault="00163CCE" w:rsidP="006B5C69">
            <w:pPr>
              <w:tabs>
                <w:tab w:val="clear" w:pos="1378"/>
                <w:tab w:val="decimal" w:pos="1020"/>
              </w:tabs>
            </w:pPr>
            <w:r>
              <w:t>-</w:t>
            </w:r>
          </w:p>
        </w:tc>
        <w:tc>
          <w:tcPr>
            <w:tcW w:w="1519" w:type="dxa"/>
          </w:tcPr>
          <w:p w14:paraId="037DD8EE" w14:textId="1887AADB" w:rsidR="006B5C69" w:rsidRDefault="006B5C69" w:rsidP="006B5C69">
            <w:pPr>
              <w:tabs>
                <w:tab w:val="clear" w:pos="1378"/>
                <w:tab w:val="decimal" w:pos="1020"/>
              </w:tabs>
            </w:pPr>
            <w:r>
              <w:t>5</w:t>
            </w:r>
          </w:p>
        </w:tc>
      </w:tr>
      <w:tr w:rsidR="006B5C69" w:rsidRPr="007165BD" w14:paraId="52B7BC10" w14:textId="77777777" w:rsidTr="00F1580E">
        <w:trPr>
          <w:cantSplit/>
          <w:trHeight w:val="454"/>
        </w:trPr>
        <w:tc>
          <w:tcPr>
            <w:tcW w:w="6204" w:type="dxa"/>
            <w:tcBorders>
              <w:bottom w:val="single" w:sz="4" w:space="0" w:color="auto"/>
            </w:tcBorders>
          </w:tcPr>
          <w:p w14:paraId="767B5981" w14:textId="77777777" w:rsidR="006B5C69" w:rsidRPr="007165BD" w:rsidRDefault="006B5C69" w:rsidP="006B5C69">
            <w:pPr>
              <w:rPr>
                <w:b/>
              </w:rPr>
            </w:pPr>
            <w:r w:rsidRPr="00C958E6">
              <w:rPr>
                <w:b/>
              </w:rPr>
              <w:t>Total Income</w:t>
            </w:r>
          </w:p>
        </w:tc>
        <w:tc>
          <w:tcPr>
            <w:tcW w:w="1519" w:type="dxa"/>
            <w:tcBorders>
              <w:bottom w:val="single" w:sz="4" w:space="0" w:color="auto"/>
            </w:tcBorders>
          </w:tcPr>
          <w:p w14:paraId="7525A98A" w14:textId="4430CAA8" w:rsidR="006B5C69" w:rsidRPr="007165BD" w:rsidRDefault="00163CCE" w:rsidP="006B5C69">
            <w:pPr>
              <w:tabs>
                <w:tab w:val="clear" w:pos="1378"/>
                <w:tab w:val="decimal" w:pos="1020"/>
              </w:tabs>
              <w:rPr>
                <w:b/>
              </w:rPr>
            </w:pPr>
            <w:r>
              <w:rPr>
                <w:b/>
              </w:rPr>
              <w:t>45,721</w:t>
            </w:r>
          </w:p>
        </w:tc>
        <w:tc>
          <w:tcPr>
            <w:tcW w:w="1519" w:type="dxa"/>
            <w:tcBorders>
              <w:bottom w:val="single" w:sz="4" w:space="0" w:color="auto"/>
            </w:tcBorders>
          </w:tcPr>
          <w:p w14:paraId="40E600C1" w14:textId="019D64EE" w:rsidR="006B5C69" w:rsidRPr="007165BD" w:rsidRDefault="006B5C69" w:rsidP="006B5C69">
            <w:pPr>
              <w:tabs>
                <w:tab w:val="clear" w:pos="1378"/>
                <w:tab w:val="decimal" w:pos="1020"/>
              </w:tabs>
              <w:rPr>
                <w:b/>
              </w:rPr>
            </w:pPr>
            <w:r>
              <w:rPr>
                <w:b/>
              </w:rPr>
              <w:t>48,179</w:t>
            </w:r>
          </w:p>
        </w:tc>
      </w:tr>
      <w:tr w:rsidR="006B5C69" w:rsidRPr="007165BD" w14:paraId="4695EA10" w14:textId="77777777" w:rsidTr="00F1580E">
        <w:trPr>
          <w:cantSplit/>
          <w:trHeight w:val="454"/>
        </w:trPr>
        <w:tc>
          <w:tcPr>
            <w:tcW w:w="6204" w:type="dxa"/>
            <w:tcBorders>
              <w:top w:val="single" w:sz="4" w:space="0" w:color="auto"/>
            </w:tcBorders>
          </w:tcPr>
          <w:p w14:paraId="6DB68462" w14:textId="77777777" w:rsidR="006B5C69" w:rsidRPr="007165BD" w:rsidRDefault="006B5C69" w:rsidP="006B5C69">
            <w:pPr>
              <w:rPr>
                <w:b/>
              </w:rPr>
            </w:pPr>
            <w:r w:rsidRPr="009276BC">
              <w:t xml:space="preserve">Less </w:t>
            </w:r>
            <w:r>
              <w:t>expenditure</w:t>
            </w:r>
          </w:p>
        </w:tc>
        <w:tc>
          <w:tcPr>
            <w:tcW w:w="1519" w:type="dxa"/>
            <w:tcBorders>
              <w:top w:val="single" w:sz="4" w:space="0" w:color="auto"/>
            </w:tcBorders>
          </w:tcPr>
          <w:p w14:paraId="0E0183E3" w14:textId="77777777" w:rsidR="006B5C69" w:rsidRPr="007165BD" w:rsidRDefault="006B5C69" w:rsidP="006B5C69">
            <w:pPr>
              <w:tabs>
                <w:tab w:val="clear" w:pos="1378"/>
                <w:tab w:val="decimal" w:pos="1020"/>
              </w:tabs>
              <w:rPr>
                <w:b/>
              </w:rPr>
            </w:pPr>
          </w:p>
        </w:tc>
        <w:tc>
          <w:tcPr>
            <w:tcW w:w="1519" w:type="dxa"/>
            <w:tcBorders>
              <w:top w:val="single" w:sz="4" w:space="0" w:color="auto"/>
            </w:tcBorders>
          </w:tcPr>
          <w:p w14:paraId="6B2D5EAC" w14:textId="77777777" w:rsidR="006B5C69" w:rsidRPr="007165BD" w:rsidRDefault="006B5C69" w:rsidP="006B5C69">
            <w:pPr>
              <w:tabs>
                <w:tab w:val="clear" w:pos="1378"/>
                <w:tab w:val="decimal" w:pos="1020"/>
              </w:tabs>
              <w:rPr>
                <w:b/>
              </w:rPr>
            </w:pPr>
          </w:p>
        </w:tc>
      </w:tr>
      <w:tr w:rsidR="006B5C69" w:rsidRPr="00F30939" w14:paraId="18F7F6DC" w14:textId="77777777" w:rsidTr="00F1580E">
        <w:trPr>
          <w:cantSplit/>
          <w:trHeight w:val="454"/>
        </w:trPr>
        <w:tc>
          <w:tcPr>
            <w:tcW w:w="6204" w:type="dxa"/>
          </w:tcPr>
          <w:p w14:paraId="00415224" w14:textId="77777777" w:rsidR="006B5C69" w:rsidRPr="00F30939" w:rsidRDefault="006B5C69" w:rsidP="006B5C69">
            <w:r w:rsidRPr="009276BC">
              <w:t>Employee expenses</w:t>
            </w:r>
            <w:r w:rsidRPr="009276BC">
              <w:tab/>
            </w:r>
          </w:p>
        </w:tc>
        <w:tc>
          <w:tcPr>
            <w:tcW w:w="1519" w:type="dxa"/>
          </w:tcPr>
          <w:p w14:paraId="64F8D8E3" w14:textId="02B7A26A" w:rsidR="006B5C69" w:rsidRPr="00F30939" w:rsidRDefault="00E93B9B" w:rsidP="006B5C69">
            <w:pPr>
              <w:tabs>
                <w:tab w:val="clear" w:pos="1378"/>
                <w:tab w:val="decimal" w:pos="1020"/>
              </w:tabs>
            </w:pPr>
            <w:r>
              <w:t>(</w:t>
            </w:r>
            <w:r w:rsidR="00163CCE">
              <w:t>28,415</w:t>
            </w:r>
            <w:r>
              <w:t>)</w:t>
            </w:r>
          </w:p>
        </w:tc>
        <w:tc>
          <w:tcPr>
            <w:tcW w:w="1519" w:type="dxa"/>
          </w:tcPr>
          <w:p w14:paraId="39A563F1" w14:textId="3E8D63A0" w:rsidR="006B5C69" w:rsidRPr="00F30939" w:rsidRDefault="006B5C69" w:rsidP="006B5C69">
            <w:pPr>
              <w:tabs>
                <w:tab w:val="clear" w:pos="1378"/>
                <w:tab w:val="decimal" w:pos="1020"/>
              </w:tabs>
            </w:pPr>
            <w:r>
              <w:t>(27,985)</w:t>
            </w:r>
          </w:p>
        </w:tc>
      </w:tr>
      <w:tr w:rsidR="006B5C69" w:rsidRPr="00F30939" w14:paraId="0F2CFADB" w14:textId="77777777" w:rsidTr="00F1580E">
        <w:trPr>
          <w:cantSplit/>
          <w:trHeight w:val="454"/>
        </w:trPr>
        <w:tc>
          <w:tcPr>
            <w:tcW w:w="6204" w:type="dxa"/>
          </w:tcPr>
          <w:p w14:paraId="7BC61562" w14:textId="77777777" w:rsidR="006B5C69" w:rsidRPr="00F30939" w:rsidRDefault="006B5C69" w:rsidP="006B5C69">
            <w:r>
              <w:t>Administration, operational and other expenses</w:t>
            </w:r>
          </w:p>
        </w:tc>
        <w:tc>
          <w:tcPr>
            <w:tcW w:w="1519" w:type="dxa"/>
          </w:tcPr>
          <w:p w14:paraId="792F4B08" w14:textId="0E4278AA" w:rsidR="006B5C69" w:rsidRPr="00F30939" w:rsidRDefault="00E93B9B" w:rsidP="006B5C69">
            <w:pPr>
              <w:tabs>
                <w:tab w:val="clear" w:pos="1378"/>
                <w:tab w:val="decimal" w:pos="1020"/>
              </w:tabs>
            </w:pPr>
            <w:r>
              <w:t>(</w:t>
            </w:r>
            <w:r w:rsidR="00163CCE">
              <w:t>16,292</w:t>
            </w:r>
            <w:r>
              <w:t>)</w:t>
            </w:r>
          </w:p>
        </w:tc>
        <w:tc>
          <w:tcPr>
            <w:tcW w:w="1519" w:type="dxa"/>
          </w:tcPr>
          <w:p w14:paraId="265E6A9E" w14:textId="4BCE9DFD" w:rsidR="006B5C69" w:rsidRPr="00F30939" w:rsidRDefault="006B5C69" w:rsidP="006B5C69">
            <w:pPr>
              <w:tabs>
                <w:tab w:val="clear" w:pos="1378"/>
                <w:tab w:val="decimal" w:pos="1020"/>
              </w:tabs>
            </w:pPr>
            <w:r>
              <w:t>(16,276)</w:t>
            </w:r>
          </w:p>
        </w:tc>
      </w:tr>
      <w:tr w:rsidR="006B5C69" w:rsidRPr="00AD3933" w14:paraId="284EDDA7" w14:textId="77777777" w:rsidTr="00F1580E">
        <w:trPr>
          <w:cantSplit/>
          <w:trHeight w:val="454"/>
        </w:trPr>
        <w:tc>
          <w:tcPr>
            <w:tcW w:w="6204" w:type="dxa"/>
            <w:tcBorders>
              <w:bottom w:val="single" w:sz="4" w:space="0" w:color="auto"/>
            </w:tcBorders>
          </w:tcPr>
          <w:p w14:paraId="4BA053AA" w14:textId="77777777" w:rsidR="006B5C69" w:rsidRPr="00AD3933" w:rsidRDefault="006B5C69" w:rsidP="006B5C69">
            <w:pPr>
              <w:rPr>
                <w:b/>
              </w:rPr>
            </w:pPr>
            <w:r w:rsidRPr="00C958E6">
              <w:rPr>
                <w:b/>
              </w:rPr>
              <w:t xml:space="preserve">Total expenditure </w:t>
            </w:r>
          </w:p>
        </w:tc>
        <w:tc>
          <w:tcPr>
            <w:tcW w:w="1519" w:type="dxa"/>
            <w:tcBorders>
              <w:bottom w:val="single" w:sz="4" w:space="0" w:color="auto"/>
            </w:tcBorders>
          </w:tcPr>
          <w:p w14:paraId="60B66BC2" w14:textId="681110BE" w:rsidR="006B5C69" w:rsidRPr="0073130B" w:rsidRDefault="00E93B9B" w:rsidP="006B5C69">
            <w:pPr>
              <w:tabs>
                <w:tab w:val="clear" w:pos="1378"/>
                <w:tab w:val="decimal" w:pos="1020"/>
              </w:tabs>
              <w:rPr>
                <w:b/>
              </w:rPr>
            </w:pPr>
            <w:r>
              <w:rPr>
                <w:b/>
              </w:rPr>
              <w:t>(</w:t>
            </w:r>
            <w:r w:rsidR="00163CCE">
              <w:rPr>
                <w:b/>
              </w:rPr>
              <w:t>44,707</w:t>
            </w:r>
            <w:r>
              <w:rPr>
                <w:b/>
              </w:rPr>
              <w:t>)</w:t>
            </w:r>
          </w:p>
        </w:tc>
        <w:tc>
          <w:tcPr>
            <w:tcW w:w="1519" w:type="dxa"/>
            <w:tcBorders>
              <w:bottom w:val="single" w:sz="4" w:space="0" w:color="auto"/>
            </w:tcBorders>
          </w:tcPr>
          <w:p w14:paraId="5150EADC" w14:textId="384FAC2E" w:rsidR="006B5C69" w:rsidRPr="0073130B" w:rsidRDefault="006B5C69" w:rsidP="006B5C69">
            <w:pPr>
              <w:tabs>
                <w:tab w:val="clear" w:pos="1378"/>
                <w:tab w:val="decimal" w:pos="1020"/>
              </w:tabs>
              <w:rPr>
                <w:b/>
              </w:rPr>
            </w:pPr>
            <w:r>
              <w:rPr>
                <w:b/>
              </w:rPr>
              <w:t>(44,261)</w:t>
            </w:r>
          </w:p>
        </w:tc>
      </w:tr>
      <w:tr w:rsidR="006B5C69" w:rsidRPr="00C958E6" w14:paraId="4CB4927A" w14:textId="77777777" w:rsidTr="00F1580E">
        <w:trPr>
          <w:cantSplit/>
          <w:trHeight w:val="454"/>
        </w:trPr>
        <w:tc>
          <w:tcPr>
            <w:tcW w:w="6204" w:type="dxa"/>
          </w:tcPr>
          <w:p w14:paraId="749A2070" w14:textId="77777777" w:rsidR="006B5C69" w:rsidRPr="007165BD" w:rsidRDefault="006B5C69" w:rsidP="006B5C69">
            <w:pPr>
              <w:rPr>
                <w:b/>
              </w:rPr>
            </w:pPr>
            <w:r w:rsidRPr="00C958E6">
              <w:rPr>
                <w:b/>
              </w:rPr>
              <w:t>Surplus before income tax</w:t>
            </w:r>
          </w:p>
        </w:tc>
        <w:tc>
          <w:tcPr>
            <w:tcW w:w="1519" w:type="dxa"/>
          </w:tcPr>
          <w:p w14:paraId="57DB618C" w14:textId="3490F660" w:rsidR="006B5C69" w:rsidRPr="007165BD" w:rsidRDefault="00163CCE" w:rsidP="006B5C69">
            <w:pPr>
              <w:tabs>
                <w:tab w:val="clear" w:pos="1378"/>
                <w:tab w:val="decimal" w:pos="1020"/>
              </w:tabs>
              <w:rPr>
                <w:b/>
              </w:rPr>
            </w:pPr>
            <w:r>
              <w:rPr>
                <w:b/>
              </w:rPr>
              <w:t>1,014</w:t>
            </w:r>
          </w:p>
        </w:tc>
        <w:tc>
          <w:tcPr>
            <w:tcW w:w="1519" w:type="dxa"/>
          </w:tcPr>
          <w:p w14:paraId="163A1140" w14:textId="3BE3C6B5" w:rsidR="006B5C69" w:rsidRPr="007165BD" w:rsidRDefault="006B5C69" w:rsidP="006B5C69">
            <w:pPr>
              <w:tabs>
                <w:tab w:val="clear" w:pos="1378"/>
                <w:tab w:val="decimal" w:pos="1020"/>
              </w:tabs>
              <w:rPr>
                <w:b/>
              </w:rPr>
            </w:pPr>
            <w:r>
              <w:rPr>
                <w:b/>
              </w:rPr>
              <w:t>3,918</w:t>
            </w:r>
          </w:p>
        </w:tc>
      </w:tr>
      <w:tr w:rsidR="006B5C69" w:rsidRPr="007165BD" w14:paraId="5E623A48" w14:textId="77777777" w:rsidTr="00F1580E">
        <w:trPr>
          <w:cantSplit/>
          <w:trHeight w:val="454"/>
        </w:trPr>
        <w:tc>
          <w:tcPr>
            <w:tcW w:w="6204" w:type="dxa"/>
          </w:tcPr>
          <w:p w14:paraId="46641E13" w14:textId="77777777" w:rsidR="006B5C69" w:rsidRPr="007165BD" w:rsidRDefault="006B5C69" w:rsidP="006B5C69">
            <w:pPr>
              <w:rPr>
                <w:b/>
              </w:rPr>
            </w:pPr>
            <w:r>
              <w:t>Income tax expense</w:t>
            </w:r>
          </w:p>
        </w:tc>
        <w:tc>
          <w:tcPr>
            <w:tcW w:w="1519" w:type="dxa"/>
          </w:tcPr>
          <w:p w14:paraId="09E28AE2" w14:textId="662E82DE" w:rsidR="006B5C69" w:rsidRPr="007165BD" w:rsidRDefault="00163CCE" w:rsidP="006B5C69">
            <w:pPr>
              <w:tabs>
                <w:tab w:val="clear" w:pos="1378"/>
                <w:tab w:val="decimal" w:pos="1020"/>
              </w:tabs>
              <w:rPr>
                <w:b/>
              </w:rPr>
            </w:pPr>
            <w:r>
              <w:rPr>
                <w:b/>
              </w:rPr>
              <w:t>-</w:t>
            </w:r>
          </w:p>
        </w:tc>
        <w:tc>
          <w:tcPr>
            <w:tcW w:w="1519" w:type="dxa"/>
          </w:tcPr>
          <w:p w14:paraId="52F6BA9F" w14:textId="4DB82584" w:rsidR="006B5C69" w:rsidRPr="007165BD" w:rsidRDefault="006B5C69" w:rsidP="006B5C69">
            <w:pPr>
              <w:tabs>
                <w:tab w:val="clear" w:pos="1378"/>
                <w:tab w:val="decimal" w:pos="1020"/>
              </w:tabs>
              <w:rPr>
                <w:b/>
              </w:rPr>
            </w:pPr>
            <w:r>
              <w:rPr>
                <w:b/>
              </w:rPr>
              <w:t>-</w:t>
            </w:r>
          </w:p>
        </w:tc>
      </w:tr>
      <w:tr w:rsidR="006B5C69" w:rsidRPr="007165BD" w14:paraId="0FCB35F8" w14:textId="77777777" w:rsidTr="00F1580E">
        <w:trPr>
          <w:cantSplit/>
          <w:trHeight w:val="454"/>
        </w:trPr>
        <w:tc>
          <w:tcPr>
            <w:tcW w:w="6204" w:type="dxa"/>
            <w:tcBorders>
              <w:bottom w:val="single" w:sz="4" w:space="0" w:color="auto"/>
            </w:tcBorders>
          </w:tcPr>
          <w:p w14:paraId="7962B1CC" w14:textId="77777777" w:rsidR="006B5C69" w:rsidRPr="007165BD" w:rsidRDefault="006B5C69" w:rsidP="006B5C69">
            <w:pPr>
              <w:rPr>
                <w:b/>
              </w:rPr>
            </w:pPr>
            <w:r w:rsidRPr="00C958E6">
              <w:rPr>
                <w:b/>
              </w:rPr>
              <w:t>Surplus after income tax expense</w:t>
            </w:r>
          </w:p>
        </w:tc>
        <w:tc>
          <w:tcPr>
            <w:tcW w:w="1519" w:type="dxa"/>
            <w:tcBorders>
              <w:bottom w:val="single" w:sz="4" w:space="0" w:color="auto"/>
            </w:tcBorders>
          </w:tcPr>
          <w:p w14:paraId="5A4BD08D" w14:textId="110BFA25" w:rsidR="006B5C69" w:rsidRPr="007165BD" w:rsidRDefault="00163CCE" w:rsidP="00163CCE">
            <w:pPr>
              <w:tabs>
                <w:tab w:val="clear" w:pos="1378"/>
                <w:tab w:val="decimal" w:pos="1020"/>
              </w:tabs>
              <w:rPr>
                <w:b/>
              </w:rPr>
            </w:pPr>
            <w:r>
              <w:rPr>
                <w:b/>
              </w:rPr>
              <w:t>1,014</w:t>
            </w:r>
          </w:p>
        </w:tc>
        <w:tc>
          <w:tcPr>
            <w:tcW w:w="1519" w:type="dxa"/>
            <w:tcBorders>
              <w:bottom w:val="single" w:sz="4" w:space="0" w:color="auto"/>
            </w:tcBorders>
          </w:tcPr>
          <w:p w14:paraId="298C8B5D" w14:textId="61590CD9" w:rsidR="006B5C69" w:rsidRPr="007165BD" w:rsidRDefault="006B5C69" w:rsidP="006B5C69">
            <w:pPr>
              <w:tabs>
                <w:tab w:val="clear" w:pos="1378"/>
                <w:tab w:val="decimal" w:pos="1020"/>
              </w:tabs>
              <w:rPr>
                <w:b/>
              </w:rPr>
            </w:pPr>
            <w:r>
              <w:rPr>
                <w:b/>
              </w:rPr>
              <w:t>3,918</w:t>
            </w:r>
          </w:p>
        </w:tc>
      </w:tr>
    </w:tbl>
    <w:p w14:paraId="01E23401" w14:textId="77777777" w:rsidR="006B5C69" w:rsidRPr="00F30939" w:rsidRDefault="006B5C69" w:rsidP="006B5C69"/>
    <w:p w14:paraId="5DF1B3B9" w14:textId="77777777" w:rsidR="006B5C69" w:rsidRPr="00F30939" w:rsidRDefault="006B5C69" w:rsidP="00D53A85">
      <w:pPr>
        <w:pStyle w:val="Heading1-continued"/>
      </w:pPr>
      <w:r>
        <w:t>Menzies School of Health Research</w:t>
      </w:r>
      <w:r w:rsidRPr="00F30939">
        <w:t xml:space="preserve"> cont…</w:t>
      </w:r>
    </w:p>
    <w:p w14:paraId="1C88A43E" w14:textId="77777777" w:rsidR="006B5C69" w:rsidRPr="00F30939" w:rsidRDefault="006B5C69" w:rsidP="006B5C69">
      <w:pPr>
        <w:pStyle w:val="Heading2"/>
      </w:pPr>
      <w:r w:rsidRPr="00F30939">
        <w:t>Financial Position at year end</w:t>
      </w:r>
    </w:p>
    <w:tbl>
      <w:tblPr>
        <w:tblW w:w="9100" w:type="dxa"/>
        <w:tblLayout w:type="fixed"/>
        <w:tblLook w:val="04A0" w:firstRow="1" w:lastRow="0" w:firstColumn="1" w:lastColumn="0" w:noHBand="0" w:noVBand="1"/>
        <w:tblCaption w:val="Financial Position at year end"/>
        <w:tblDescription w:val="Financial position information for the current and prior year&#10;"/>
      </w:tblPr>
      <w:tblGrid>
        <w:gridCol w:w="6062"/>
        <w:gridCol w:w="1519"/>
        <w:gridCol w:w="1519"/>
      </w:tblGrid>
      <w:tr w:rsidR="006B5C69" w:rsidRPr="00F30939" w14:paraId="434B7EED" w14:textId="77777777" w:rsidTr="00F1580E">
        <w:trPr>
          <w:cantSplit/>
          <w:trHeight w:val="454"/>
          <w:tblHeader/>
        </w:trPr>
        <w:tc>
          <w:tcPr>
            <w:tcW w:w="6062" w:type="dxa"/>
            <w:tcBorders>
              <w:bottom w:val="single" w:sz="4" w:space="0" w:color="auto"/>
            </w:tcBorders>
          </w:tcPr>
          <w:p w14:paraId="41119572" w14:textId="77777777" w:rsidR="006B5C69" w:rsidRPr="00F30939" w:rsidRDefault="006B5C69" w:rsidP="00F1580E"/>
        </w:tc>
        <w:tc>
          <w:tcPr>
            <w:tcW w:w="1519" w:type="dxa"/>
            <w:tcBorders>
              <w:bottom w:val="single" w:sz="4" w:space="0" w:color="auto"/>
            </w:tcBorders>
          </w:tcPr>
          <w:p w14:paraId="5A9F15B9" w14:textId="2C55A56D" w:rsidR="006B5C69" w:rsidRPr="007165BD" w:rsidRDefault="006B5C69" w:rsidP="006B5C69">
            <w:pPr>
              <w:jc w:val="center"/>
              <w:rPr>
                <w:b/>
              </w:rPr>
            </w:pPr>
            <w:r>
              <w:rPr>
                <w:b/>
              </w:rPr>
              <w:t>2020</w:t>
            </w:r>
          </w:p>
        </w:tc>
        <w:tc>
          <w:tcPr>
            <w:tcW w:w="1519" w:type="dxa"/>
            <w:tcBorders>
              <w:bottom w:val="single" w:sz="4" w:space="0" w:color="auto"/>
            </w:tcBorders>
          </w:tcPr>
          <w:p w14:paraId="241135D9" w14:textId="336E7865" w:rsidR="006B5C69" w:rsidRPr="007165BD" w:rsidRDefault="006B5C69" w:rsidP="00F1580E">
            <w:pPr>
              <w:jc w:val="center"/>
              <w:rPr>
                <w:b/>
              </w:rPr>
            </w:pPr>
            <w:r>
              <w:rPr>
                <w:b/>
              </w:rPr>
              <w:t>2019</w:t>
            </w:r>
          </w:p>
        </w:tc>
      </w:tr>
      <w:tr w:rsidR="006B5C69" w:rsidRPr="00F30939" w14:paraId="194039DF" w14:textId="77777777" w:rsidTr="00F1580E">
        <w:trPr>
          <w:cantSplit/>
          <w:trHeight w:val="454"/>
          <w:tblHeader/>
        </w:trPr>
        <w:tc>
          <w:tcPr>
            <w:tcW w:w="6062" w:type="dxa"/>
            <w:tcBorders>
              <w:top w:val="single" w:sz="4" w:space="0" w:color="auto"/>
            </w:tcBorders>
          </w:tcPr>
          <w:p w14:paraId="425133AC" w14:textId="77777777" w:rsidR="006B5C69" w:rsidRPr="00F30939" w:rsidRDefault="006B5C69" w:rsidP="00F1580E"/>
        </w:tc>
        <w:tc>
          <w:tcPr>
            <w:tcW w:w="1519" w:type="dxa"/>
            <w:tcBorders>
              <w:top w:val="single" w:sz="4" w:space="0" w:color="auto"/>
            </w:tcBorders>
          </w:tcPr>
          <w:p w14:paraId="403824B4" w14:textId="77777777" w:rsidR="006B5C69" w:rsidRPr="007165BD" w:rsidRDefault="006B5C69" w:rsidP="00F1580E">
            <w:pPr>
              <w:jc w:val="center"/>
              <w:rPr>
                <w:b/>
              </w:rPr>
            </w:pPr>
            <w:r w:rsidRPr="007165BD">
              <w:rPr>
                <w:b/>
              </w:rPr>
              <w:t>$’000</w:t>
            </w:r>
          </w:p>
        </w:tc>
        <w:tc>
          <w:tcPr>
            <w:tcW w:w="1519" w:type="dxa"/>
            <w:tcBorders>
              <w:top w:val="single" w:sz="4" w:space="0" w:color="auto"/>
            </w:tcBorders>
          </w:tcPr>
          <w:p w14:paraId="44E4D15A" w14:textId="77777777" w:rsidR="006B5C69" w:rsidRPr="007165BD" w:rsidRDefault="006B5C69" w:rsidP="00F1580E">
            <w:pPr>
              <w:jc w:val="center"/>
              <w:rPr>
                <w:b/>
              </w:rPr>
            </w:pPr>
            <w:r w:rsidRPr="007165BD">
              <w:rPr>
                <w:b/>
              </w:rPr>
              <w:t>$’000</w:t>
            </w:r>
          </w:p>
        </w:tc>
      </w:tr>
      <w:tr w:rsidR="006B5C69" w:rsidRPr="00F30939" w14:paraId="4F8B09F2" w14:textId="77777777" w:rsidTr="00F1580E">
        <w:trPr>
          <w:cantSplit/>
          <w:trHeight w:val="454"/>
        </w:trPr>
        <w:tc>
          <w:tcPr>
            <w:tcW w:w="6062" w:type="dxa"/>
          </w:tcPr>
          <w:p w14:paraId="4FF8E120" w14:textId="77777777" w:rsidR="006B5C69" w:rsidRPr="00F30939" w:rsidRDefault="006B5C69" w:rsidP="006B5C69">
            <w:r w:rsidRPr="00F30939">
              <w:t>Cash and cash equivalents</w:t>
            </w:r>
          </w:p>
        </w:tc>
        <w:tc>
          <w:tcPr>
            <w:tcW w:w="1519" w:type="dxa"/>
          </w:tcPr>
          <w:p w14:paraId="19E15C8C" w14:textId="7319E7A0" w:rsidR="006B5C69" w:rsidRPr="00F30939" w:rsidRDefault="00163CCE" w:rsidP="006B5C69">
            <w:pPr>
              <w:tabs>
                <w:tab w:val="clear" w:pos="1378"/>
                <w:tab w:val="decimal" w:pos="1020"/>
              </w:tabs>
            </w:pPr>
            <w:r>
              <w:t>16</w:t>
            </w:r>
            <w:r w:rsidR="00C940F5">
              <w:t>,</w:t>
            </w:r>
            <w:r>
              <w:t>670</w:t>
            </w:r>
          </w:p>
        </w:tc>
        <w:tc>
          <w:tcPr>
            <w:tcW w:w="1519" w:type="dxa"/>
          </w:tcPr>
          <w:p w14:paraId="75A82B1E" w14:textId="7E6B145F" w:rsidR="006B5C69" w:rsidRPr="00F30939" w:rsidRDefault="006B5C69" w:rsidP="006B5C69">
            <w:pPr>
              <w:tabs>
                <w:tab w:val="clear" w:pos="1378"/>
                <w:tab w:val="decimal" w:pos="1020"/>
              </w:tabs>
            </w:pPr>
            <w:r>
              <w:t>9,153</w:t>
            </w:r>
          </w:p>
        </w:tc>
      </w:tr>
      <w:tr w:rsidR="006B5C69" w:rsidRPr="00F30939" w14:paraId="59DAAA12" w14:textId="77777777" w:rsidTr="00F1580E">
        <w:trPr>
          <w:cantSplit/>
          <w:trHeight w:val="454"/>
        </w:trPr>
        <w:tc>
          <w:tcPr>
            <w:tcW w:w="6062" w:type="dxa"/>
          </w:tcPr>
          <w:p w14:paraId="2409600F" w14:textId="77777777" w:rsidR="006B5C69" w:rsidRPr="00F30939" w:rsidRDefault="006B5C69" w:rsidP="006B5C69">
            <w:r w:rsidRPr="00F30939">
              <w:t>Receivables and other current assets</w:t>
            </w:r>
          </w:p>
        </w:tc>
        <w:tc>
          <w:tcPr>
            <w:tcW w:w="1519" w:type="dxa"/>
          </w:tcPr>
          <w:p w14:paraId="16B6DC72" w14:textId="2955A0F4" w:rsidR="006B5C69" w:rsidRPr="00F30939" w:rsidRDefault="00163CCE" w:rsidP="006B5C69">
            <w:pPr>
              <w:tabs>
                <w:tab w:val="clear" w:pos="1378"/>
                <w:tab w:val="decimal" w:pos="1020"/>
              </w:tabs>
            </w:pPr>
            <w:r>
              <w:t>44</w:t>
            </w:r>
            <w:r w:rsidR="00C940F5">
              <w:t>,</w:t>
            </w:r>
            <w:r>
              <w:t>944</w:t>
            </w:r>
          </w:p>
        </w:tc>
        <w:tc>
          <w:tcPr>
            <w:tcW w:w="1519" w:type="dxa"/>
          </w:tcPr>
          <w:p w14:paraId="0033AF59" w14:textId="37FFFE81" w:rsidR="006B5C69" w:rsidRPr="00F30939" w:rsidRDefault="006B5C69" w:rsidP="006B5C69">
            <w:pPr>
              <w:tabs>
                <w:tab w:val="clear" w:pos="1378"/>
                <w:tab w:val="decimal" w:pos="1020"/>
              </w:tabs>
            </w:pPr>
            <w:r>
              <w:t>35,878</w:t>
            </w:r>
          </w:p>
        </w:tc>
      </w:tr>
      <w:tr w:rsidR="006B5C69" w:rsidRPr="00F30939" w14:paraId="2449F004" w14:textId="77777777" w:rsidTr="00F1580E">
        <w:trPr>
          <w:cantSplit/>
          <w:trHeight w:val="454"/>
        </w:trPr>
        <w:tc>
          <w:tcPr>
            <w:tcW w:w="6062" w:type="dxa"/>
          </w:tcPr>
          <w:p w14:paraId="34BB4BFC" w14:textId="77777777" w:rsidR="006B5C69" w:rsidRPr="00F30939" w:rsidRDefault="006B5C69" w:rsidP="006B5C69">
            <w:r w:rsidRPr="00F30939">
              <w:t>Less current liabilities</w:t>
            </w:r>
          </w:p>
        </w:tc>
        <w:tc>
          <w:tcPr>
            <w:tcW w:w="1519" w:type="dxa"/>
          </w:tcPr>
          <w:p w14:paraId="105EC370" w14:textId="54C91B91" w:rsidR="006B5C69" w:rsidRPr="00F30939" w:rsidRDefault="00163CCE" w:rsidP="006B5C69">
            <w:pPr>
              <w:tabs>
                <w:tab w:val="clear" w:pos="1378"/>
                <w:tab w:val="decimal" w:pos="1020"/>
              </w:tabs>
            </w:pPr>
            <w:r>
              <w:t>(34</w:t>
            </w:r>
            <w:r w:rsidR="00C940F5">
              <w:t>,</w:t>
            </w:r>
            <w:r>
              <w:t>953)</w:t>
            </w:r>
          </w:p>
        </w:tc>
        <w:tc>
          <w:tcPr>
            <w:tcW w:w="1519" w:type="dxa"/>
          </w:tcPr>
          <w:p w14:paraId="1E7C5EB4" w14:textId="35C66857" w:rsidR="006B5C69" w:rsidRPr="00F30939" w:rsidRDefault="006B5C69" w:rsidP="006B5C69">
            <w:pPr>
              <w:tabs>
                <w:tab w:val="clear" w:pos="1378"/>
                <w:tab w:val="decimal" w:pos="1020"/>
              </w:tabs>
            </w:pPr>
            <w:r>
              <w:t>(6,811)</w:t>
            </w:r>
          </w:p>
        </w:tc>
      </w:tr>
      <w:tr w:rsidR="006B5C69" w:rsidRPr="007165BD" w14:paraId="21980A7B" w14:textId="77777777" w:rsidTr="00F1580E">
        <w:trPr>
          <w:cantSplit/>
          <w:trHeight w:val="454"/>
        </w:trPr>
        <w:tc>
          <w:tcPr>
            <w:tcW w:w="6062" w:type="dxa"/>
            <w:tcBorders>
              <w:bottom w:val="single" w:sz="4" w:space="0" w:color="auto"/>
            </w:tcBorders>
          </w:tcPr>
          <w:p w14:paraId="43898E03" w14:textId="77777777" w:rsidR="006B5C69" w:rsidRPr="007165BD" w:rsidRDefault="006B5C69" w:rsidP="006B5C69">
            <w:pPr>
              <w:rPr>
                <w:b/>
              </w:rPr>
            </w:pPr>
            <w:r w:rsidRPr="007165BD">
              <w:rPr>
                <w:b/>
              </w:rPr>
              <w:t xml:space="preserve">Working </w:t>
            </w:r>
            <w:r>
              <w:rPr>
                <w:b/>
              </w:rPr>
              <w:t>c</w:t>
            </w:r>
            <w:r w:rsidRPr="007165BD">
              <w:rPr>
                <w:b/>
              </w:rPr>
              <w:t>apital</w:t>
            </w:r>
          </w:p>
        </w:tc>
        <w:tc>
          <w:tcPr>
            <w:tcW w:w="1519" w:type="dxa"/>
            <w:tcBorders>
              <w:bottom w:val="single" w:sz="4" w:space="0" w:color="auto"/>
            </w:tcBorders>
          </w:tcPr>
          <w:p w14:paraId="0F19EAA6" w14:textId="541E9CBE" w:rsidR="006B5C69" w:rsidRPr="007165BD" w:rsidRDefault="00C940F5" w:rsidP="006B5C69">
            <w:pPr>
              <w:tabs>
                <w:tab w:val="clear" w:pos="1378"/>
                <w:tab w:val="decimal" w:pos="1020"/>
              </w:tabs>
              <w:rPr>
                <w:b/>
              </w:rPr>
            </w:pPr>
            <w:r>
              <w:rPr>
                <w:b/>
              </w:rPr>
              <w:t>26,661</w:t>
            </w:r>
          </w:p>
        </w:tc>
        <w:tc>
          <w:tcPr>
            <w:tcW w:w="1519" w:type="dxa"/>
            <w:tcBorders>
              <w:bottom w:val="single" w:sz="4" w:space="0" w:color="auto"/>
            </w:tcBorders>
          </w:tcPr>
          <w:p w14:paraId="704BA8CF" w14:textId="135D2D67" w:rsidR="006B5C69" w:rsidRPr="007165BD" w:rsidRDefault="006B5C69" w:rsidP="006B5C69">
            <w:pPr>
              <w:tabs>
                <w:tab w:val="clear" w:pos="1378"/>
                <w:tab w:val="decimal" w:pos="1020"/>
              </w:tabs>
              <w:rPr>
                <w:b/>
              </w:rPr>
            </w:pPr>
            <w:r>
              <w:rPr>
                <w:b/>
              </w:rPr>
              <w:t>38,220</w:t>
            </w:r>
          </w:p>
        </w:tc>
      </w:tr>
      <w:tr w:rsidR="006B5C69" w:rsidRPr="00F30939" w14:paraId="40BAE166" w14:textId="77777777" w:rsidTr="00F1580E">
        <w:trPr>
          <w:cantSplit/>
          <w:trHeight w:val="454"/>
        </w:trPr>
        <w:tc>
          <w:tcPr>
            <w:tcW w:w="6062" w:type="dxa"/>
          </w:tcPr>
          <w:p w14:paraId="60D6DF22" w14:textId="77777777" w:rsidR="006B5C69" w:rsidRPr="00F30939" w:rsidRDefault="006B5C69" w:rsidP="006B5C69">
            <w:r w:rsidRPr="00F30939">
              <w:t>Add non-current assets</w:t>
            </w:r>
          </w:p>
        </w:tc>
        <w:tc>
          <w:tcPr>
            <w:tcW w:w="1519" w:type="dxa"/>
          </w:tcPr>
          <w:p w14:paraId="2E3AFC03" w14:textId="6AB31E01" w:rsidR="006B5C69" w:rsidRPr="00F30939" w:rsidRDefault="00C940F5" w:rsidP="006B5C69">
            <w:pPr>
              <w:tabs>
                <w:tab w:val="clear" w:pos="1378"/>
                <w:tab w:val="decimal" w:pos="1020"/>
              </w:tabs>
            </w:pPr>
            <w:r>
              <w:t>1,948</w:t>
            </w:r>
          </w:p>
        </w:tc>
        <w:tc>
          <w:tcPr>
            <w:tcW w:w="1519" w:type="dxa"/>
          </w:tcPr>
          <w:p w14:paraId="27E2BEB5" w14:textId="36896730" w:rsidR="006B5C69" w:rsidRPr="00F30939" w:rsidRDefault="006B5C69" w:rsidP="006B5C69">
            <w:pPr>
              <w:tabs>
                <w:tab w:val="clear" w:pos="1378"/>
                <w:tab w:val="decimal" w:pos="1020"/>
              </w:tabs>
            </w:pPr>
            <w:r>
              <w:t>2,063</w:t>
            </w:r>
          </w:p>
        </w:tc>
      </w:tr>
      <w:tr w:rsidR="006B5C69" w:rsidRPr="00F30939" w14:paraId="45A21816" w14:textId="77777777" w:rsidTr="00F1580E">
        <w:trPr>
          <w:cantSplit/>
          <w:trHeight w:val="454"/>
        </w:trPr>
        <w:tc>
          <w:tcPr>
            <w:tcW w:w="6062" w:type="dxa"/>
          </w:tcPr>
          <w:p w14:paraId="5C65D002" w14:textId="77777777" w:rsidR="006B5C69" w:rsidRPr="00F30939" w:rsidRDefault="006B5C69" w:rsidP="006B5C69">
            <w:r w:rsidRPr="00F30939">
              <w:t>Less non-current liabilities</w:t>
            </w:r>
          </w:p>
        </w:tc>
        <w:tc>
          <w:tcPr>
            <w:tcW w:w="1519" w:type="dxa"/>
          </w:tcPr>
          <w:p w14:paraId="48E9C148" w14:textId="13B16B6D" w:rsidR="006B5C69" w:rsidRPr="00F30939" w:rsidRDefault="00C940F5" w:rsidP="006B5C69">
            <w:pPr>
              <w:tabs>
                <w:tab w:val="clear" w:pos="1378"/>
                <w:tab w:val="decimal" w:pos="1020"/>
              </w:tabs>
            </w:pPr>
            <w:r>
              <w:t>(867)</w:t>
            </w:r>
          </w:p>
        </w:tc>
        <w:tc>
          <w:tcPr>
            <w:tcW w:w="1519" w:type="dxa"/>
          </w:tcPr>
          <w:p w14:paraId="4AA8B7DB" w14:textId="0447F1FD" w:rsidR="006B5C69" w:rsidRPr="00F30939" w:rsidRDefault="006B5C69" w:rsidP="006B5C69">
            <w:pPr>
              <w:tabs>
                <w:tab w:val="clear" w:pos="1378"/>
                <w:tab w:val="decimal" w:pos="1020"/>
              </w:tabs>
            </w:pPr>
            <w:r>
              <w:t>(1,089)</w:t>
            </w:r>
          </w:p>
        </w:tc>
      </w:tr>
      <w:tr w:rsidR="006B5C69" w:rsidRPr="007165BD" w14:paraId="54EDC23C" w14:textId="77777777" w:rsidTr="00F1580E">
        <w:trPr>
          <w:cantSplit/>
          <w:trHeight w:val="454"/>
        </w:trPr>
        <w:tc>
          <w:tcPr>
            <w:tcW w:w="6062" w:type="dxa"/>
            <w:tcBorders>
              <w:bottom w:val="single" w:sz="4" w:space="0" w:color="auto"/>
            </w:tcBorders>
          </w:tcPr>
          <w:p w14:paraId="7682E16D" w14:textId="77777777" w:rsidR="006B5C69" w:rsidRPr="007165BD" w:rsidRDefault="006B5C69" w:rsidP="006B5C69">
            <w:pPr>
              <w:rPr>
                <w:b/>
              </w:rPr>
            </w:pPr>
            <w:r w:rsidRPr="007165BD">
              <w:rPr>
                <w:b/>
              </w:rPr>
              <w:t xml:space="preserve">Net </w:t>
            </w:r>
            <w:r>
              <w:rPr>
                <w:b/>
              </w:rPr>
              <w:t>a</w:t>
            </w:r>
            <w:r w:rsidRPr="007165BD">
              <w:rPr>
                <w:b/>
              </w:rPr>
              <w:t>ssets</w:t>
            </w:r>
          </w:p>
        </w:tc>
        <w:tc>
          <w:tcPr>
            <w:tcW w:w="1519" w:type="dxa"/>
            <w:tcBorders>
              <w:bottom w:val="single" w:sz="4" w:space="0" w:color="auto"/>
            </w:tcBorders>
          </w:tcPr>
          <w:p w14:paraId="160EFFD9" w14:textId="653759C8" w:rsidR="006B5C69" w:rsidRPr="007165BD" w:rsidRDefault="00C940F5" w:rsidP="006B5C69">
            <w:pPr>
              <w:tabs>
                <w:tab w:val="clear" w:pos="1378"/>
                <w:tab w:val="decimal" w:pos="1020"/>
              </w:tabs>
              <w:rPr>
                <w:b/>
              </w:rPr>
            </w:pPr>
            <w:r>
              <w:rPr>
                <w:b/>
              </w:rPr>
              <w:t>27,742</w:t>
            </w:r>
          </w:p>
        </w:tc>
        <w:tc>
          <w:tcPr>
            <w:tcW w:w="1519" w:type="dxa"/>
            <w:tcBorders>
              <w:bottom w:val="single" w:sz="4" w:space="0" w:color="auto"/>
            </w:tcBorders>
          </w:tcPr>
          <w:p w14:paraId="5879D503" w14:textId="4A2A1322" w:rsidR="006B5C69" w:rsidRPr="007165BD" w:rsidRDefault="006B5C69" w:rsidP="006B5C69">
            <w:pPr>
              <w:tabs>
                <w:tab w:val="clear" w:pos="1378"/>
                <w:tab w:val="decimal" w:pos="1020"/>
              </w:tabs>
              <w:rPr>
                <w:b/>
              </w:rPr>
            </w:pPr>
            <w:r>
              <w:rPr>
                <w:b/>
              </w:rPr>
              <w:t>39,194</w:t>
            </w:r>
          </w:p>
        </w:tc>
      </w:tr>
      <w:tr w:rsidR="006B5C69" w:rsidRPr="00F30939" w14:paraId="205E0D01" w14:textId="77777777" w:rsidTr="00F1580E">
        <w:trPr>
          <w:cantSplit/>
          <w:trHeight w:val="454"/>
        </w:trPr>
        <w:tc>
          <w:tcPr>
            <w:tcW w:w="6062" w:type="dxa"/>
            <w:tcBorders>
              <w:top w:val="single" w:sz="4" w:space="0" w:color="auto"/>
            </w:tcBorders>
          </w:tcPr>
          <w:p w14:paraId="40415216" w14:textId="77777777" w:rsidR="006B5C69" w:rsidRPr="00F30939" w:rsidRDefault="006B5C69" w:rsidP="006B5C69">
            <w:r w:rsidRPr="00F30939">
              <w:t>Represented by:</w:t>
            </w:r>
          </w:p>
        </w:tc>
        <w:tc>
          <w:tcPr>
            <w:tcW w:w="1519" w:type="dxa"/>
            <w:tcBorders>
              <w:top w:val="single" w:sz="4" w:space="0" w:color="auto"/>
            </w:tcBorders>
          </w:tcPr>
          <w:p w14:paraId="24F6EB1D" w14:textId="77777777" w:rsidR="006B5C69" w:rsidRPr="00F30939" w:rsidRDefault="006B5C69" w:rsidP="006B5C69">
            <w:pPr>
              <w:tabs>
                <w:tab w:val="clear" w:pos="1378"/>
                <w:tab w:val="decimal" w:pos="1020"/>
              </w:tabs>
            </w:pPr>
          </w:p>
        </w:tc>
        <w:tc>
          <w:tcPr>
            <w:tcW w:w="1519" w:type="dxa"/>
            <w:tcBorders>
              <w:top w:val="single" w:sz="4" w:space="0" w:color="auto"/>
            </w:tcBorders>
          </w:tcPr>
          <w:p w14:paraId="2FA67833" w14:textId="77777777" w:rsidR="006B5C69" w:rsidRPr="00F30939" w:rsidRDefault="006B5C69" w:rsidP="006B5C69">
            <w:pPr>
              <w:tabs>
                <w:tab w:val="clear" w:pos="1378"/>
                <w:tab w:val="decimal" w:pos="1020"/>
              </w:tabs>
            </w:pPr>
          </w:p>
        </w:tc>
      </w:tr>
      <w:tr w:rsidR="006B5C69" w:rsidRPr="00F30939" w14:paraId="765B3A50" w14:textId="77777777" w:rsidTr="00F1580E">
        <w:trPr>
          <w:cantSplit/>
          <w:trHeight w:val="454"/>
        </w:trPr>
        <w:tc>
          <w:tcPr>
            <w:tcW w:w="6062" w:type="dxa"/>
          </w:tcPr>
          <w:p w14:paraId="532595FC" w14:textId="77777777" w:rsidR="006B5C69" w:rsidRPr="00F30939" w:rsidRDefault="006B5C69" w:rsidP="006B5C69">
            <w:r>
              <w:t>Reserves</w:t>
            </w:r>
          </w:p>
        </w:tc>
        <w:tc>
          <w:tcPr>
            <w:tcW w:w="1519" w:type="dxa"/>
          </w:tcPr>
          <w:p w14:paraId="63F7CE58" w14:textId="09D77F87" w:rsidR="006B5C69" w:rsidRPr="00F30939" w:rsidRDefault="00C940F5" w:rsidP="006B5C69">
            <w:pPr>
              <w:tabs>
                <w:tab w:val="clear" w:pos="1378"/>
                <w:tab w:val="decimal" w:pos="1020"/>
              </w:tabs>
            </w:pPr>
            <w:r>
              <w:t>779</w:t>
            </w:r>
          </w:p>
        </w:tc>
        <w:tc>
          <w:tcPr>
            <w:tcW w:w="1519" w:type="dxa"/>
          </w:tcPr>
          <w:p w14:paraId="34B3F217" w14:textId="1449EAD1" w:rsidR="006B5C69" w:rsidRPr="00F30939" w:rsidRDefault="006B5C69" w:rsidP="006B5C69">
            <w:pPr>
              <w:tabs>
                <w:tab w:val="clear" w:pos="1378"/>
                <w:tab w:val="decimal" w:pos="1020"/>
              </w:tabs>
            </w:pPr>
            <w:r>
              <w:t>9,124</w:t>
            </w:r>
          </w:p>
        </w:tc>
      </w:tr>
      <w:tr w:rsidR="006B5C69" w:rsidRPr="00F30939" w14:paraId="5DAE5AB4" w14:textId="77777777" w:rsidTr="00F1580E">
        <w:trPr>
          <w:cantSplit/>
          <w:trHeight w:val="454"/>
        </w:trPr>
        <w:tc>
          <w:tcPr>
            <w:tcW w:w="6062" w:type="dxa"/>
          </w:tcPr>
          <w:p w14:paraId="24D906BA" w14:textId="77777777" w:rsidR="006B5C69" w:rsidRPr="00F30939" w:rsidRDefault="006B5C69" w:rsidP="006B5C69">
            <w:r>
              <w:t>Retained earnings</w:t>
            </w:r>
          </w:p>
        </w:tc>
        <w:tc>
          <w:tcPr>
            <w:tcW w:w="1519" w:type="dxa"/>
          </w:tcPr>
          <w:p w14:paraId="34E3C432" w14:textId="41317A30" w:rsidR="006B5C69" w:rsidRPr="00F30939" w:rsidRDefault="00C940F5" w:rsidP="006B5C69">
            <w:pPr>
              <w:tabs>
                <w:tab w:val="clear" w:pos="1378"/>
                <w:tab w:val="decimal" w:pos="1020"/>
              </w:tabs>
            </w:pPr>
            <w:r>
              <w:t>26,963</w:t>
            </w:r>
          </w:p>
        </w:tc>
        <w:tc>
          <w:tcPr>
            <w:tcW w:w="1519" w:type="dxa"/>
          </w:tcPr>
          <w:p w14:paraId="20EA759A" w14:textId="1C6E6061" w:rsidR="006B5C69" w:rsidRPr="00F30939" w:rsidRDefault="006B5C69" w:rsidP="006B5C69">
            <w:pPr>
              <w:tabs>
                <w:tab w:val="clear" w:pos="1378"/>
                <w:tab w:val="decimal" w:pos="1020"/>
              </w:tabs>
            </w:pPr>
            <w:r>
              <w:t>30,070</w:t>
            </w:r>
          </w:p>
        </w:tc>
      </w:tr>
      <w:tr w:rsidR="00C940F5" w:rsidRPr="007165BD" w14:paraId="6F8E28E7" w14:textId="77777777" w:rsidTr="00F1580E">
        <w:trPr>
          <w:cantSplit/>
          <w:trHeight w:val="454"/>
        </w:trPr>
        <w:tc>
          <w:tcPr>
            <w:tcW w:w="6062" w:type="dxa"/>
            <w:tcBorders>
              <w:bottom w:val="single" w:sz="4" w:space="0" w:color="auto"/>
            </w:tcBorders>
          </w:tcPr>
          <w:p w14:paraId="04DA895B" w14:textId="77777777" w:rsidR="00C940F5" w:rsidRPr="007165BD" w:rsidRDefault="00C940F5" w:rsidP="00C940F5">
            <w:pPr>
              <w:rPr>
                <w:b/>
              </w:rPr>
            </w:pPr>
            <w:r w:rsidRPr="007165BD">
              <w:rPr>
                <w:b/>
              </w:rPr>
              <w:t>Equity</w:t>
            </w:r>
          </w:p>
        </w:tc>
        <w:tc>
          <w:tcPr>
            <w:tcW w:w="1519" w:type="dxa"/>
            <w:tcBorders>
              <w:bottom w:val="single" w:sz="4" w:space="0" w:color="auto"/>
            </w:tcBorders>
          </w:tcPr>
          <w:p w14:paraId="4ED412FE" w14:textId="0873D03F" w:rsidR="00C940F5" w:rsidRPr="007165BD" w:rsidRDefault="00C940F5" w:rsidP="00C940F5">
            <w:pPr>
              <w:tabs>
                <w:tab w:val="clear" w:pos="1378"/>
                <w:tab w:val="decimal" w:pos="1020"/>
              </w:tabs>
              <w:rPr>
                <w:b/>
              </w:rPr>
            </w:pPr>
            <w:r>
              <w:rPr>
                <w:b/>
              </w:rPr>
              <w:t>27,742</w:t>
            </w:r>
          </w:p>
        </w:tc>
        <w:tc>
          <w:tcPr>
            <w:tcW w:w="1519" w:type="dxa"/>
            <w:tcBorders>
              <w:bottom w:val="single" w:sz="4" w:space="0" w:color="auto"/>
            </w:tcBorders>
          </w:tcPr>
          <w:p w14:paraId="38E9772F" w14:textId="7266BD25" w:rsidR="00C940F5" w:rsidRPr="007165BD" w:rsidRDefault="00C940F5" w:rsidP="00C940F5">
            <w:pPr>
              <w:tabs>
                <w:tab w:val="clear" w:pos="1378"/>
                <w:tab w:val="decimal" w:pos="1020"/>
              </w:tabs>
              <w:rPr>
                <w:b/>
              </w:rPr>
            </w:pPr>
            <w:r>
              <w:rPr>
                <w:b/>
              </w:rPr>
              <w:t>39,194</w:t>
            </w:r>
          </w:p>
        </w:tc>
      </w:tr>
    </w:tbl>
    <w:p w14:paraId="55F781CD" w14:textId="061705BF" w:rsidR="006B5C69" w:rsidRDefault="006B5C69" w:rsidP="003D7346"/>
    <w:p w14:paraId="58339236" w14:textId="77777777" w:rsidR="003D7346" w:rsidRPr="000D515D" w:rsidRDefault="003D7346" w:rsidP="003D7346">
      <w:pPr>
        <w:pStyle w:val="Heading1"/>
      </w:pPr>
      <w:bookmarkStart w:id="25" w:name="_Ref58243359"/>
      <w:r>
        <w:t>Nitmiluk (Katherine Gorge) National Park Board</w:t>
      </w:r>
      <w:bookmarkEnd w:id="25"/>
    </w:p>
    <w:p w14:paraId="4D7CF8AF" w14:textId="77777777" w:rsidR="003D7346" w:rsidRPr="000D515D" w:rsidRDefault="003D7346" w:rsidP="003D7346">
      <w:pPr>
        <w:pStyle w:val="Heading2"/>
      </w:pPr>
      <w:bookmarkStart w:id="26" w:name="_Ref32922874"/>
      <w:bookmarkStart w:id="27" w:name="_Ref58243398"/>
      <w:r w:rsidRPr="000D515D">
        <w:t xml:space="preserve">Audit Findings and Analysis of the Financial Statements for the Year Ended </w:t>
      </w:r>
      <w:r>
        <w:t xml:space="preserve">30 June </w:t>
      </w:r>
      <w:bookmarkEnd w:id="26"/>
      <w:r>
        <w:t>2020</w:t>
      </w:r>
      <w:bookmarkEnd w:id="27"/>
    </w:p>
    <w:p w14:paraId="4E5D2DF6" w14:textId="77777777" w:rsidR="003D7346" w:rsidRPr="00F30939" w:rsidRDefault="003D7346" w:rsidP="003D7346">
      <w:pPr>
        <w:pStyle w:val="Heading3"/>
      </w:pPr>
      <w:r>
        <w:t>Background</w:t>
      </w:r>
    </w:p>
    <w:p w14:paraId="67B90EC8" w14:textId="77777777" w:rsidR="003D7346" w:rsidRDefault="003D7346" w:rsidP="003D7346">
      <w:r>
        <w:t xml:space="preserve">The Nitmiluk (Katherine Gorge) National Park Board (the Board) was formed in 1989 under the </w:t>
      </w:r>
      <w:r w:rsidRPr="004264CE">
        <w:rPr>
          <w:i/>
        </w:rPr>
        <w:t>Nitmiluk (Katherine Gorge) National Park Act</w:t>
      </w:r>
      <w:r>
        <w:rPr>
          <w:i/>
        </w:rPr>
        <w:t xml:space="preserve"> 1989</w:t>
      </w:r>
      <w:r>
        <w:t xml:space="preserve"> to acknowledge and secure the rights of those Aboriginals who are the traditional owners of certain land in the Northern Territory of Australia, and certain other Aboriginals, to occupy and use that land, to establish a National Park comprising that land [to be known as the Nitmiluk (Katherine Gorge) National Park] and to provide for the management and control of that Park and certain other land and for related purposes.</w:t>
      </w:r>
    </w:p>
    <w:p w14:paraId="4178F562" w14:textId="77777777" w:rsidR="003D7346" w:rsidRDefault="003D7346" w:rsidP="003D7346">
      <w:pPr>
        <w:pStyle w:val="Heading3"/>
      </w:pPr>
      <w:r>
        <w:t>Scope and Objectives</w:t>
      </w:r>
    </w:p>
    <w:p w14:paraId="586A8B90" w14:textId="44BB718C" w:rsidR="003D7346" w:rsidRPr="00693CD4" w:rsidRDefault="003D7346" w:rsidP="003D7346">
      <w:r w:rsidRPr="00955226">
        <w:t xml:space="preserve">The objective of the audit </w:t>
      </w:r>
      <w:r>
        <w:t>was</w:t>
      </w:r>
      <w:r w:rsidRPr="00955226">
        <w:t xml:space="preserve"> to complete sufficient audit </w:t>
      </w:r>
      <w:r w:rsidR="00786B24">
        <w:t>procedures</w:t>
      </w:r>
      <w:r w:rsidRPr="00955226">
        <w:t xml:space="preserve"> to enable </w:t>
      </w:r>
      <w:r>
        <w:t xml:space="preserve">an </w:t>
      </w:r>
      <w:r w:rsidRPr="00955226">
        <w:t>opinion to be expressed upon</w:t>
      </w:r>
      <w:r>
        <w:t xml:space="preserve"> the financial statements of</w:t>
      </w:r>
      <w:r w:rsidRPr="00381C95">
        <w:t xml:space="preserve"> </w:t>
      </w:r>
      <w:r>
        <w:t>Nitmiluk (Katherine Gorge) National Park Board</w:t>
      </w:r>
      <w:r w:rsidRPr="003D0352">
        <w:t xml:space="preserve"> </w:t>
      </w:r>
      <w:r>
        <w:t>for the year ended 30 June 2020.</w:t>
      </w:r>
    </w:p>
    <w:p w14:paraId="0A7900C9" w14:textId="77777777" w:rsidR="003D7346" w:rsidRPr="00291341" w:rsidRDefault="003D7346" w:rsidP="003D7346">
      <w:pPr>
        <w:pStyle w:val="Heading3"/>
      </w:pPr>
      <w:r w:rsidRPr="00291341">
        <w:t>Audit Opinion</w:t>
      </w:r>
    </w:p>
    <w:p w14:paraId="5F1FE0F4" w14:textId="229CD57E" w:rsidR="003D7346" w:rsidRPr="00F30939" w:rsidRDefault="003D7346" w:rsidP="003D7346">
      <w:r w:rsidRPr="00291341">
        <w:t xml:space="preserve">The audit of the Nitmiluk (Katherine Gorge) National Park Board for the year ended 30 June 2020 resulted in an unmodified independent audit opinion, which was issued on </w:t>
      </w:r>
      <w:r w:rsidR="00291341" w:rsidRPr="00291341">
        <w:t xml:space="preserve">30 March </w:t>
      </w:r>
      <w:r w:rsidRPr="00291341">
        <w:t>2021.</w:t>
      </w:r>
    </w:p>
    <w:p w14:paraId="6505EAD9" w14:textId="77777777" w:rsidR="003D7346" w:rsidRDefault="003D7346" w:rsidP="003D7346">
      <w:pPr>
        <w:pStyle w:val="Heading3"/>
      </w:pPr>
      <w:r>
        <w:t>Audit Observations</w:t>
      </w:r>
    </w:p>
    <w:p w14:paraId="2AEA231B" w14:textId="77777777" w:rsidR="003A1120" w:rsidRDefault="003A1120" w:rsidP="003A1120">
      <w:pPr>
        <w:pStyle w:val="Heading4"/>
      </w:pPr>
      <w:r>
        <w:t>Key Findings</w:t>
      </w:r>
    </w:p>
    <w:p w14:paraId="1516CB7B" w14:textId="77777777" w:rsidR="003A1120" w:rsidRDefault="003A1120" w:rsidP="003A1120">
      <w:pPr>
        <w:pStyle w:val="Heading5"/>
      </w:pPr>
      <w:r>
        <w:t>Processes to ensure the completeness of income could be enhanced.</w:t>
      </w:r>
    </w:p>
    <w:p w14:paraId="328B2807" w14:textId="77777777" w:rsidR="00EE2370" w:rsidRDefault="00EE2370" w:rsidP="00EE2370">
      <w:r>
        <w:t>The Board relies on the tour operators to provide concessionaire returns outlining the royalties they owe the Board. There were no internal audits undertaken by the Board on these returns, and the tour operators do not provide audited concessionaire returns to provide assurance that the figures provided are accurate and complete.</w:t>
      </w:r>
    </w:p>
    <w:p w14:paraId="1F8B63F8" w14:textId="77777777" w:rsidR="00EE2370" w:rsidRDefault="00EE2370" w:rsidP="00EE2370">
      <w:r>
        <w:t>This matter was raised in my previous management letters to the Board dated:</w:t>
      </w:r>
    </w:p>
    <w:p w14:paraId="4186E940" w14:textId="610C10BC" w:rsidR="00EE2370" w:rsidRDefault="00EE2370" w:rsidP="00EE2370">
      <w:pPr>
        <w:pStyle w:val="ListBullet"/>
      </w:pPr>
      <w:r>
        <w:t>19 December 2017 – relating to the 30 June 2017 financial year – to which the Board responded “</w:t>
      </w:r>
      <w:r w:rsidRPr="00EE2370">
        <w:rPr>
          <w:i/>
        </w:rPr>
        <w:t>The recommendation is noted</w:t>
      </w:r>
      <w:r>
        <w:t>”.</w:t>
      </w:r>
    </w:p>
    <w:p w14:paraId="6FAF1304" w14:textId="16C74E31" w:rsidR="00EE2370" w:rsidRDefault="00EE2370" w:rsidP="00EE2370">
      <w:pPr>
        <w:pStyle w:val="ListBullet"/>
      </w:pPr>
      <w:r>
        <w:t>9 January 2019 – relating to the 30 June 2018 financial year – to which the Board responded “</w:t>
      </w:r>
      <w:r w:rsidRPr="00EE2370">
        <w:rPr>
          <w:i/>
        </w:rPr>
        <w:t>The Board notes the audit issue</w:t>
      </w:r>
      <w:r>
        <w:t>”.</w:t>
      </w:r>
    </w:p>
    <w:p w14:paraId="285D8039" w14:textId="3CF18134" w:rsidR="00EE2370" w:rsidRDefault="00EE2370" w:rsidP="00EE2370">
      <w:pPr>
        <w:pStyle w:val="ListBullet"/>
      </w:pPr>
      <w:r>
        <w:t>17 December 2019 – relating to the 30 June 2019 financial year – to which the Board responded “</w:t>
      </w:r>
      <w:r w:rsidRPr="00EE2370">
        <w:rPr>
          <w:i/>
        </w:rPr>
        <w:t>Operational agreements are being amended to require verified financial statements be provided with returns</w:t>
      </w:r>
      <w:r>
        <w:t>”.</w:t>
      </w:r>
    </w:p>
    <w:p w14:paraId="414C3ED0" w14:textId="77777777" w:rsidR="00EE2370" w:rsidRDefault="00EE2370" w:rsidP="00EE2370">
      <w:pPr>
        <w:pStyle w:val="Heading1-continued"/>
      </w:pPr>
      <w:r>
        <w:t>Nitmiluk (Katherine Gorge) National Park Board cont…</w:t>
      </w:r>
    </w:p>
    <w:p w14:paraId="40EF251C" w14:textId="77777777" w:rsidR="003A1120" w:rsidRPr="0063244E" w:rsidRDefault="003A1120" w:rsidP="003A1120">
      <w:pPr>
        <w:pStyle w:val="Heading5"/>
      </w:pPr>
      <w:r>
        <w:t>There was no review of the allocation of revenue across the various categories and no analysis undertaken of significant variations in revenue categories.</w:t>
      </w:r>
    </w:p>
    <w:p w14:paraId="316F899A" w14:textId="5B77FB61" w:rsidR="003A1120" w:rsidRDefault="003A1120" w:rsidP="003A1120">
      <w:r>
        <w:t xml:space="preserve">During the year the </w:t>
      </w:r>
      <w:r w:rsidRPr="00F85AE0">
        <w:t xml:space="preserve">Department </w:t>
      </w:r>
      <w:r>
        <w:t>of Environment, Parks and Water Security</w:t>
      </w:r>
      <w:r w:rsidR="003E5D23">
        <w:t>, who provide financial and governance services to the Board,</w:t>
      </w:r>
      <w:r>
        <w:t xml:space="preserve"> provided</w:t>
      </w:r>
      <w:r w:rsidR="00FE6A3A">
        <w:t xml:space="preserve"> </w:t>
      </w:r>
      <w:r w:rsidRPr="003578BF">
        <w:t xml:space="preserve">no financial information </w:t>
      </w:r>
      <w:r>
        <w:t>to the Board.</w:t>
      </w:r>
      <w:r w:rsidR="00A715EB">
        <w:t xml:space="preserve"> </w:t>
      </w:r>
      <w:r>
        <w:t xml:space="preserve">The </w:t>
      </w:r>
      <w:r w:rsidRPr="003578BF">
        <w:t>Board is presented with the financial statements on an annual basis</w:t>
      </w:r>
      <w:r>
        <w:t xml:space="preserve"> only. This may have impeded the Board’s decision making ability.</w:t>
      </w:r>
    </w:p>
    <w:p w14:paraId="1EFE980A" w14:textId="2AA36149" w:rsidR="003A1120" w:rsidRDefault="003A1120" w:rsidP="003A1120">
      <w:pPr>
        <w:pStyle w:val="ListBullet"/>
        <w:numPr>
          <w:ilvl w:val="0"/>
          <w:numId w:val="0"/>
        </w:numPr>
      </w:pPr>
      <w:r>
        <w:t xml:space="preserve">The absence of alternative procedures designed to confirm the completeness of revenue (as </w:t>
      </w:r>
      <w:r w:rsidR="00FE6A3A">
        <w:t>reported</w:t>
      </w:r>
      <w:r>
        <w:t xml:space="preserve"> above) exacerbates the risk that the financial statements could be materially misstated. </w:t>
      </w:r>
    </w:p>
    <w:p w14:paraId="281B68DD" w14:textId="28C61A60" w:rsidR="003A1120" w:rsidRDefault="003A1120" w:rsidP="003A1120">
      <w:pPr>
        <w:pStyle w:val="ListBullet"/>
        <w:numPr>
          <w:ilvl w:val="0"/>
          <w:numId w:val="0"/>
        </w:numPr>
      </w:pPr>
      <w:r w:rsidRPr="00F85AE0">
        <w:t xml:space="preserve">I recommend that the Department </w:t>
      </w:r>
      <w:r>
        <w:t xml:space="preserve">of Environment, Parks and Water Security </w:t>
      </w:r>
      <w:r w:rsidRPr="00F85AE0">
        <w:t>and the Board review the classification of transactions and undertake an analysis of any significant variances so as to ensure the Board members are appropriately informed of the reason</w:t>
      </w:r>
      <w:r w:rsidR="00FE6A3A">
        <w:t>s</w:t>
      </w:r>
      <w:r w:rsidRPr="00F85AE0">
        <w:t xml:space="preserve"> for any var</w:t>
      </w:r>
      <w:r w:rsidR="007C022F">
        <w:t>iation in revenues and expenses</w:t>
      </w:r>
      <w:r w:rsidRPr="00F85AE0">
        <w:t xml:space="preserve"> during regular Board meetings.</w:t>
      </w:r>
    </w:p>
    <w:p w14:paraId="7D750736" w14:textId="77777777" w:rsidR="003D7346" w:rsidRPr="00AB1BB4" w:rsidRDefault="003D7346" w:rsidP="003D7346">
      <w:pPr>
        <w:pStyle w:val="Heading4"/>
      </w:pPr>
      <w:r w:rsidRPr="00AB1BB4">
        <w:t>Performance Overview</w:t>
      </w:r>
    </w:p>
    <w:p w14:paraId="0DA29F9A" w14:textId="6843A81D" w:rsidR="00F85AE0" w:rsidRDefault="00F85AE0" w:rsidP="00F85AE0">
      <w:r>
        <w:t>Total income of $924 thousand (2019: $1,170 thousand) decrea</w:t>
      </w:r>
      <w:r w:rsidR="00DD50B7">
        <w:t>sed from the prior year by $246 </w:t>
      </w:r>
      <w:r>
        <w:t xml:space="preserve">thousand. This decline was largely due to the impacts of COVID-19 </w:t>
      </w:r>
      <w:r w:rsidR="00F01B77">
        <w:t xml:space="preserve">on tourism </w:t>
      </w:r>
      <w:r>
        <w:t>in the final quarter of the financial year. The impact of COVID-19 was most significant in Boat Tour income which declined by $204 thousand during the year. The dec</w:t>
      </w:r>
      <w:r w:rsidR="00763735">
        <w:t>rease in total expenses of $246 </w:t>
      </w:r>
      <w:r>
        <w:t xml:space="preserve">thousand is due to the reduction in payments to Traditional Owners and the former Department of Tourism, Sport and Culture and is equivalent to the movement in revenue, as all revenue is either paid to the Department to cover operational expenditure or </w:t>
      </w:r>
      <w:r w:rsidR="00F01B77">
        <w:t>distributed</w:t>
      </w:r>
      <w:r>
        <w:t xml:space="preserve"> to the Traditional Owners.</w:t>
      </w:r>
    </w:p>
    <w:p w14:paraId="32D18986" w14:textId="7977207C" w:rsidR="003D7346" w:rsidRDefault="00F85AE0" w:rsidP="00F85AE0">
      <w:r>
        <w:t xml:space="preserve">Total receivables of $18 thousand (2019: $242 thousand) decreased from the prior year by $224 thousand. The decrease in receivables </w:t>
      </w:r>
      <w:r w:rsidR="00F01B77">
        <w:t>is</w:t>
      </w:r>
      <w:r>
        <w:t xml:space="preserve"> due to the decrease in accrued revenue </w:t>
      </w:r>
      <w:r w:rsidR="00F01B77">
        <w:t>from</w:t>
      </w:r>
      <w:r>
        <w:t xml:space="preserve"> the impact of COVID-19. The decrease in total payables is equivalent to the movement in receivables.</w:t>
      </w:r>
    </w:p>
    <w:p w14:paraId="1187B099" w14:textId="77777777" w:rsidR="00F979B4" w:rsidRPr="000D515D" w:rsidRDefault="00F979B4" w:rsidP="0045031A">
      <w:pPr>
        <w:pStyle w:val="Heading1-continued"/>
      </w:pPr>
      <w:r>
        <w:t>Nitmiluk (Katherine Gorge) National Park Board cont…</w:t>
      </w:r>
    </w:p>
    <w:p w14:paraId="1D8EAB6F" w14:textId="77777777" w:rsidR="00F979B4" w:rsidRPr="00F30939" w:rsidRDefault="00F979B4" w:rsidP="00F979B4">
      <w:pPr>
        <w:pStyle w:val="Heading2"/>
      </w:pPr>
      <w:r>
        <w:t xml:space="preserve"> </w:t>
      </w:r>
      <w:r w:rsidRPr="00F30939">
        <w:t>Financial Performance for the year</w:t>
      </w:r>
    </w:p>
    <w:tbl>
      <w:tblPr>
        <w:tblW w:w="9242" w:type="dxa"/>
        <w:tblLayout w:type="fixed"/>
        <w:tblLook w:val="04A0" w:firstRow="1" w:lastRow="0" w:firstColumn="1" w:lastColumn="0" w:noHBand="0" w:noVBand="1"/>
        <w:tblCaption w:val="Financial Performance for the year"/>
        <w:tblDescription w:val="Financial performance information for the current and prior year"/>
      </w:tblPr>
      <w:tblGrid>
        <w:gridCol w:w="6204"/>
        <w:gridCol w:w="1519"/>
        <w:gridCol w:w="1519"/>
      </w:tblGrid>
      <w:tr w:rsidR="00F979B4" w:rsidRPr="00F30939" w14:paraId="4C9DE6D4" w14:textId="77777777" w:rsidTr="00835A8C">
        <w:trPr>
          <w:cantSplit/>
          <w:trHeight w:val="454"/>
          <w:tblHeader/>
        </w:trPr>
        <w:tc>
          <w:tcPr>
            <w:tcW w:w="6204" w:type="dxa"/>
            <w:tcBorders>
              <w:bottom w:val="single" w:sz="4" w:space="0" w:color="auto"/>
            </w:tcBorders>
          </w:tcPr>
          <w:p w14:paraId="0553909A" w14:textId="77777777" w:rsidR="00F979B4" w:rsidRPr="00F30939" w:rsidRDefault="00F979B4" w:rsidP="00835A8C"/>
        </w:tc>
        <w:tc>
          <w:tcPr>
            <w:tcW w:w="1519" w:type="dxa"/>
            <w:tcBorders>
              <w:bottom w:val="single" w:sz="4" w:space="0" w:color="auto"/>
            </w:tcBorders>
          </w:tcPr>
          <w:p w14:paraId="71DF1E29" w14:textId="77777777" w:rsidR="00F979B4" w:rsidRPr="007165BD" w:rsidRDefault="00F979B4" w:rsidP="00835A8C">
            <w:pPr>
              <w:jc w:val="center"/>
              <w:rPr>
                <w:b/>
              </w:rPr>
            </w:pPr>
            <w:r>
              <w:rPr>
                <w:b/>
              </w:rPr>
              <w:t>2020</w:t>
            </w:r>
          </w:p>
        </w:tc>
        <w:tc>
          <w:tcPr>
            <w:tcW w:w="1519" w:type="dxa"/>
            <w:tcBorders>
              <w:bottom w:val="single" w:sz="4" w:space="0" w:color="auto"/>
            </w:tcBorders>
          </w:tcPr>
          <w:p w14:paraId="17951045" w14:textId="77777777" w:rsidR="00F979B4" w:rsidRPr="007165BD" w:rsidRDefault="00F979B4" w:rsidP="00835A8C">
            <w:pPr>
              <w:jc w:val="center"/>
              <w:rPr>
                <w:b/>
              </w:rPr>
            </w:pPr>
            <w:r w:rsidRPr="007165BD">
              <w:rPr>
                <w:b/>
              </w:rPr>
              <w:t>201</w:t>
            </w:r>
            <w:r>
              <w:rPr>
                <w:b/>
              </w:rPr>
              <w:t>9</w:t>
            </w:r>
          </w:p>
        </w:tc>
      </w:tr>
      <w:tr w:rsidR="00F979B4" w:rsidRPr="00F30939" w14:paraId="0E0B9FB2" w14:textId="77777777" w:rsidTr="00835A8C">
        <w:trPr>
          <w:cantSplit/>
          <w:trHeight w:val="454"/>
          <w:tblHeader/>
        </w:trPr>
        <w:tc>
          <w:tcPr>
            <w:tcW w:w="6204" w:type="dxa"/>
            <w:tcBorders>
              <w:top w:val="single" w:sz="4" w:space="0" w:color="auto"/>
            </w:tcBorders>
          </w:tcPr>
          <w:p w14:paraId="60AD42F5" w14:textId="77777777" w:rsidR="00F979B4" w:rsidRPr="00F30939" w:rsidRDefault="00F979B4" w:rsidP="00835A8C"/>
        </w:tc>
        <w:tc>
          <w:tcPr>
            <w:tcW w:w="1519" w:type="dxa"/>
            <w:tcBorders>
              <w:top w:val="single" w:sz="4" w:space="0" w:color="auto"/>
            </w:tcBorders>
          </w:tcPr>
          <w:p w14:paraId="71EE9914" w14:textId="77777777" w:rsidR="00F979B4" w:rsidRPr="007165BD" w:rsidRDefault="00F979B4" w:rsidP="00835A8C">
            <w:pPr>
              <w:jc w:val="center"/>
              <w:rPr>
                <w:b/>
              </w:rPr>
            </w:pPr>
            <w:r w:rsidRPr="007165BD">
              <w:rPr>
                <w:b/>
              </w:rPr>
              <w:t>$’000</w:t>
            </w:r>
          </w:p>
        </w:tc>
        <w:tc>
          <w:tcPr>
            <w:tcW w:w="1519" w:type="dxa"/>
            <w:tcBorders>
              <w:top w:val="single" w:sz="4" w:space="0" w:color="auto"/>
            </w:tcBorders>
          </w:tcPr>
          <w:p w14:paraId="69737991" w14:textId="77777777" w:rsidR="00F979B4" w:rsidRPr="007165BD" w:rsidRDefault="00F979B4" w:rsidP="00835A8C">
            <w:pPr>
              <w:jc w:val="center"/>
              <w:rPr>
                <w:b/>
              </w:rPr>
            </w:pPr>
            <w:r w:rsidRPr="007165BD">
              <w:rPr>
                <w:b/>
              </w:rPr>
              <w:t>$’000</w:t>
            </w:r>
          </w:p>
        </w:tc>
      </w:tr>
      <w:tr w:rsidR="00F979B4" w:rsidRPr="007165BD" w14:paraId="388F948F" w14:textId="77777777" w:rsidTr="00835A8C">
        <w:trPr>
          <w:cantSplit/>
          <w:trHeight w:val="454"/>
        </w:trPr>
        <w:tc>
          <w:tcPr>
            <w:tcW w:w="6204" w:type="dxa"/>
          </w:tcPr>
          <w:p w14:paraId="6EFA3858" w14:textId="77777777" w:rsidR="00F979B4" w:rsidRPr="007165BD" w:rsidRDefault="00F979B4" w:rsidP="00835A8C">
            <w:pPr>
              <w:rPr>
                <w:b/>
              </w:rPr>
            </w:pPr>
            <w:r w:rsidRPr="007165BD">
              <w:rPr>
                <w:b/>
              </w:rPr>
              <w:t>Income</w:t>
            </w:r>
          </w:p>
        </w:tc>
        <w:tc>
          <w:tcPr>
            <w:tcW w:w="1519" w:type="dxa"/>
          </w:tcPr>
          <w:p w14:paraId="10506927" w14:textId="77777777" w:rsidR="00F979B4" w:rsidRPr="007165BD" w:rsidRDefault="00F979B4" w:rsidP="00835A8C">
            <w:pPr>
              <w:tabs>
                <w:tab w:val="clear" w:pos="1378"/>
                <w:tab w:val="decimal" w:pos="1020"/>
              </w:tabs>
              <w:rPr>
                <w:b/>
              </w:rPr>
            </w:pPr>
          </w:p>
        </w:tc>
        <w:tc>
          <w:tcPr>
            <w:tcW w:w="1519" w:type="dxa"/>
          </w:tcPr>
          <w:p w14:paraId="77DEC745" w14:textId="77777777" w:rsidR="00F979B4" w:rsidRPr="007165BD" w:rsidRDefault="00F979B4" w:rsidP="00835A8C">
            <w:pPr>
              <w:tabs>
                <w:tab w:val="clear" w:pos="1378"/>
                <w:tab w:val="decimal" w:pos="1020"/>
              </w:tabs>
              <w:rPr>
                <w:b/>
              </w:rPr>
            </w:pPr>
          </w:p>
        </w:tc>
      </w:tr>
      <w:tr w:rsidR="00F979B4" w:rsidRPr="00F30939" w14:paraId="3E0D573F" w14:textId="77777777" w:rsidTr="00835A8C">
        <w:trPr>
          <w:cantSplit/>
          <w:trHeight w:val="454"/>
        </w:trPr>
        <w:tc>
          <w:tcPr>
            <w:tcW w:w="6204" w:type="dxa"/>
          </w:tcPr>
          <w:p w14:paraId="7742FA67" w14:textId="77777777" w:rsidR="00F979B4" w:rsidRPr="00F30939" w:rsidRDefault="00F979B4" w:rsidP="00835A8C">
            <w:r>
              <w:t>Park income</w:t>
            </w:r>
          </w:p>
        </w:tc>
        <w:tc>
          <w:tcPr>
            <w:tcW w:w="1519" w:type="dxa"/>
          </w:tcPr>
          <w:p w14:paraId="5F8D340F" w14:textId="5A13BAAD" w:rsidR="00F979B4" w:rsidRPr="00F30939" w:rsidRDefault="00140D0B" w:rsidP="00835A8C">
            <w:pPr>
              <w:tabs>
                <w:tab w:val="clear" w:pos="1378"/>
                <w:tab w:val="decimal" w:pos="1020"/>
              </w:tabs>
            </w:pPr>
            <w:r>
              <w:t>751</w:t>
            </w:r>
          </w:p>
        </w:tc>
        <w:tc>
          <w:tcPr>
            <w:tcW w:w="1519" w:type="dxa"/>
          </w:tcPr>
          <w:p w14:paraId="4712F9FE" w14:textId="77777777" w:rsidR="00F979B4" w:rsidRPr="00F30939" w:rsidRDefault="00F979B4" w:rsidP="00835A8C">
            <w:pPr>
              <w:tabs>
                <w:tab w:val="clear" w:pos="1378"/>
                <w:tab w:val="decimal" w:pos="1020"/>
              </w:tabs>
            </w:pPr>
            <w:r>
              <w:t>1,006</w:t>
            </w:r>
          </w:p>
        </w:tc>
      </w:tr>
      <w:tr w:rsidR="00F979B4" w:rsidRPr="00F30939" w14:paraId="1CAB4AA2" w14:textId="77777777" w:rsidTr="00835A8C">
        <w:trPr>
          <w:cantSplit/>
          <w:trHeight w:val="454"/>
        </w:trPr>
        <w:tc>
          <w:tcPr>
            <w:tcW w:w="6204" w:type="dxa"/>
          </w:tcPr>
          <w:p w14:paraId="20D8DACA" w14:textId="77777777" w:rsidR="00F979B4" w:rsidRPr="00F30939" w:rsidRDefault="00F979B4" w:rsidP="00835A8C">
            <w:r>
              <w:t>Less payments to Traditional Owners</w:t>
            </w:r>
          </w:p>
        </w:tc>
        <w:tc>
          <w:tcPr>
            <w:tcW w:w="1519" w:type="dxa"/>
          </w:tcPr>
          <w:p w14:paraId="3A4E3520" w14:textId="2CFF0A62" w:rsidR="00F979B4" w:rsidRPr="00F30939" w:rsidRDefault="00140D0B" w:rsidP="00835A8C">
            <w:pPr>
              <w:tabs>
                <w:tab w:val="clear" w:pos="1378"/>
                <w:tab w:val="decimal" w:pos="1020"/>
              </w:tabs>
            </w:pPr>
            <w:r>
              <w:t>(466)</w:t>
            </w:r>
          </w:p>
        </w:tc>
        <w:tc>
          <w:tcPr>
            <w:tcW w:w="1519" w:type="dxa"/>
          </w:tcPr>
          <w:p w14:paraId="6558D9E0" w14:textId="77777777" w:rsidR="00F979B4" w:rsidRPr="00F30939" w:rsidRDefault="00F979B4" w:rsidP="00835A8C">
            <w:pPr>
              <w:tabs>
                <w:tab w:val="clear" w:pos="1378"/>
                <w:tab w:val="decimal" w:pos="1020"/>
              </w:tabs>
            </w:pPr>
            <w:r>
              <w:t>(626)</w:t>
            </w:r>
          </w:p>
        </w:tc>
      </w:tr>
      <w:tr w:rsidR="00F979B4" w:rsidRPr="00F30939" w14:paraId="52AECCE4" w14:textId="77777777" w:rsidTr="00835A8C">
        <w:trPr>
          <w:cantSplit/>
          <w:trHeight w:val="454"/>
        </w:trPr>
        <w:tc>
          <w:tcPr>
            <w:tcW w:w="6204" w:type="dxa"/>
          </w:tcPr>
          <w:p w14:paraId="725ADDAC" w14:textId="77777777" w:rsidR="00F979B4" w:rsidRPr="00F30939" w:rsidRDefault="00F979B4" w:rsidP="00835A8C">
            <w:r>
              <w:t xml:space="preserve">Less payments to the former Department of Tourism, Sport and Culture </w:t>
            </w:r>
          </w:p>
        </w:tc>
        <w:tc>
          <w:tcPr>
            <w:tcW w:w="1519" w:type="dxa"/>
            <w:vAlign w:val="bottom"/>
          </w:tcPr>
          <w:p w14:paraId="22F711DD" w14:textId="1329D987" w:rsidR="00F979B4" w:rsidRPr="00F30939" w:rsidRDefault="00140D0B" w:rsidP="00835A8C">
            <w:pPr>
              <w:tabs>
                <w:tab w:val="clear" w:pos="1378"/>
                <w:tab w:val="decimal" w:pos="1020"/>
              </w:tabs>
            </w:pPr>
            <w:r>
              <w:t>(285)</w:t>
            </w:r>
          </w:p>
        </w:tc>
        <w:tc>
          <w:tcPr>
            <w:tcW w:w="1519" w:type="dxa"/>
            <w:vAlign w:val="bottom"/>
          </w:tcPr>
          <w:p w14:paraId="7B7500DB" w14:textId="77777777" w:rsidR="00F979B4" w:rsidRPr="00F30939" w:rsidRDefault="00F979B4" w:rsidP="00835A8C">
            <w:pPr>
              <w:tabs>
                <w:tab w:val="clear" w:pos="1378"/>
                <w:tab w:val="decimal" w:pos="1020"/>
              </w:tabs>
            </w:pPr>
            <w:r>
              <w:t>(380)</w:t>
            </w:r>
          </w:p>
        </w:tc>
      </w:tr>
      <w:tr w:rsidR="00F979B4" w:rsidRPr="007165BD" w14:paraId="3114F552" w14:textId="77777777" w:rsidTr="00835A8C">
        <w:trPr>
          <w:cantSplit/>
          <w:trHeight w:val="454"/>
        </w:trPr>
        <w:tc>
          <w:tcPr>
            <w:tcW w:w="6204" w:type="dxa"/>
          </w:tcPr>
          <w:p w14:paraId="16F72012" w14:textId="77777777" w:rsidR="00F979B4" w:rsidRPr="00F30939" w:rsidRDefault="00F979B4" w:rsidP="00835A8C">
            <w:r>
              <w:t>Other revenue (goods and services received free of charge)</w:t>
            </w:r>
          </w:p>
        </w:tc>
        <w:tc>
          <w:tcPr>
            <w:tcW w:w="1519" w:type="dxa"/>
          </w:tcPr>
          <w:p w14:paraId="219612D4" w14:textId="20417315" w:rsidR="00F979B4" w:rsidRPr="00F30939" w:rsidRDefault="00140D0B" w:rsidP="00835A8C">
            <w:pPr>
              <w:tabs>
                <w:tab w:val="clear" w:pos="1378"/>
                <w:tab w:val="decimal" w:pos="1020"/>
              </w:tabs>
            </w:pPr>
            <w:r>
              <w:t>173</w:t>
            </w:r>
          </w:p>
        </w:tc>
        <w:tc>
          <w:tcPr>
            <w:tcW w:w="1519" w:type="dxa"/>
          </w:tcPr>
          <w:p w14:paraId="155D2303" w14:textId="77777777" w:rsidR="00F979B4" w:rsidRPr="00F30939" w:rsidRDefault="00F979B4" w:rsidP="00835A8C">
            <w:pPr>
              <w:tabs>
                <w:tab w:val="clear" w:pos="1378"/>
                <w:tab w:val="decimal" w:pos="1020"/>
              </w:tabs>
            </w:pPr>
            <w:r>
              <w:t>164</w:t>
            </w:r>
          </w:p>
        </w:tc>
      </w:tr>
      <w:tr w:rsidR="00F979B4" w:rsidRPr="007165BD" w14:paraId="5F4D391F" w14:textId="77777777" w:rsidTr="00835A8C">
        <w:trPr>
          <w:cantSplit/>
          <w:trHeight w:val="454"/>
        </w:trPr>
        <w:tc>
          <w:tcPr>
            <w:tcW w:w="6204" w:type="dxa"/>
            <w:tcBorders>
              <w:bottom w:val="single" w:sz="4" w:space="0" w:color="auto"/>
            </w:tcBorders>
          </w:tcPr>
          <w:p w14:paraId="0C140C5B" w14:textId="77777777" w:rsidR="00F979B4" w:rsidRPr="007165BD" w:rsidRDefault="00F979B4" w:rsidP="00835A8C">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782AB00F" w14:textId="5CFE9692" w:rsidR="00F979B4" w:rsidRPr="007165BD" w:rsidRDefault="00006B7C" w:rsidP="00835A8C">
            <w:pPr>
              <w:tabs>
                <w:tab w:val="clear" w:pos="1378"/>
                <w:tab w:val="decimal" w:pos="1020"/>
              </w:tabs>
              <w:rPr>
                <w:b/>
              </w:rPr>
            </w:pPr>
            <w:r>
              <w:rPr>
                <w:b/>
              </w:rPr>
              <w:t>173</w:t>
            </w:r>
          </w:p>
        </w:tc>
        <w:tc>
          <w:tcPr>
            <w:tcW w:w="1519" w:type="dxa"/>
            <w:tcBorders>
              <w:bottom w:val="single" w:sz="4" w:space="0" w:color="auto"/>
            </w:tcBorders>
          </w:tcPr>
          <w:p w14:paraId="18B127B6" w14:textId="77777777" w:rsidR="00F979B4" w:rsidRPr="007165BD" w:rsidRDefault="00F979B4" w:rsidP="00835A8C">
            <w:pPr>
              <w:tabs>
                <w:tab w:val="clear" w:pos="1378"/>
                <w:tab w:val="decimal" w:pos="1020"/>
              </w:tabs>
              <w:rPr>
                <w:b/>
              </w:rPr>
            </w:pPr>
            <w:r>
              <w:rPr>
                <w:b/>
              </w:rPr>
              <w:t>164</w:t>
            </w:r>
          </w:p>
        </w:tc>
      </w:tr>
      <w:tr w:rsidR="00F979B4" w:rsidRPr="00F30939" w14:paraId="2F2ED9E6" w14:textId="77777777" w:rsidTr="00835A8C">
        <w:trPr>
          <w:cantSplit/>
          <w:trHeight w:val="454"/>
        </w:trPr>
        <w:tc>
          <w:tcPr>
            <w:tcW w:w="6204" w:type="dxa"/>
            <w:tcBorders>
              <w:top w:val="single" w:sz="4" w:space="0" w:color="auto"/>
            </w:tcBorders>
          </w:tcPr>
          <w:p w14:paraId="30954975" w14:textId="77777777" w:rsidR="00F979B4" w:rsidRPr="007165BD" w:rsidRDefault="00F979B4" w:rsidP="00835A8C">
            <w:pPr>
              <w:rPr>
                <w:b/>
              </w:rPr>
            </w:pPr>
            <w:r>
              <w:rPr>
                <w:b/>
              </w:rPr>
              <w:t>Expenditure</w:t>
            </w:r>
          </w:p>
        </w:tc>
        <w:tc>
          <w:tcPr>
            <w:tcW w:w="1519" w:type="dxa"/>
            <w:tcBorders>
              <w:top w:val="single" w:sz="4" w:space="0" w:color="auto"/>
            </w:tcBorders>
          </w:tcPr>
          <w:p w14:paraId="6A2FD642" w14:textId="77777777" w:rsidR="00F979B4" w:rsidRPr="007165BD" w:rsidRDefault="00F979B4" w:rsidP="00835A8C">
            <w:pPr>
              <w:tabs>
                <w:tab w:val="clear" w:pos="1378"/>
                <w:tab w:val="decimal" w:pos="1020"/>
              </w:tabs>
              <w:rPr>
                <w:b/>
              </w:rPr>
            </w:pPr>
          </w:p>
        </w:tc>
        <w:tc>
          <w:tcPr>
            <w:tcW w:w="1519" w:type="dxa"/>
            <w:tcBorders>
              <w:top w:val="single" w:sz="4" w:space="0" w:color="auto"/>
            </w:tcBorders>
          </w:tcPr>
          <w:p w14:paraId="483B8A20" w14:textId="77777777" w:rsidR="00F979B4" w:rsidRPr="007165BD" w:rsidRDefault="00F979B4" w:rsidP="00835A8C">
            <w:pPr>
              <w:tabs>
                <w:tab w:val="clear" w:pos="1378"/>
                <w:tab w:val="decimal" w:pos="1020"/>
              </w:tabs>
              <w:rPr>
                <w:b/>
              </w:rPr>
            </w:pPr>
          </w:p>
        </w:tc>
      </w:tr>
      <w:tr w:rsidR="00F979B4" w:rsidRPr="00F30939" w14:paraId="28B4FCA0" w14:textId="77777777" w:rsidTr="00835A8C">
        <w:trPr>
          <w:cantSplit/>
          <w:trHeight w:val="454"/>
        </w:trPr>
        <w:tc>
          <w:tcPr>
            <w:tcW w:w="6204" w:type="dxa"/>
          </w:tcPr>
          <w:p w14:paraId="336A1217" w14:textId="77777777" w:rsidR="00F979B4" w:rsidRPr="00F30939" w:rsidRDefault="00F979B4" w:rsidP="00835A8C">
            <w:r>
              <w:t>Operational costs (goods and services received free of charge)</w:t>
            </w:r>
          </w:p>
        </w:tc>
        <w:tc>
          <w:tcPr>
            <w:tcW w:w="1519" w:type="dxa"/>
          </w:tcPr>
          <w:p w14:paraId="0744C56A" w14:textId="406A3B8C" w:rsidR="00F979B4" w:rsidRPr="00F30939" w:rsidRDefault="00006B7C" w:rsidP="00835A8C">
            <w:pPr>
              <w:tabs>
                <w:tab w:val="clear" w:pos="1378"/>
                <w:tab w:val="decimal" w:pos="1020"/>
              </w:tabs>
            </w:pPr>
            <w:r>
              <w:t>(173)</w:t>
            </w:r>
          </w:p>
        </w:tc>
        <w:tc>
          <w:tcPr>
            <w:tcW w:w="1519" w:type="dxa"/>
          </w:tcPr>
          <w:p w14:paraId="74562ACD" w14:textId="77777777" w:rsidR="00F979B4" w:rsidRPr="00F30939" w:rsidRDefault="00F979B4" w:rsidP="00835A8C">
            <w:pPr>
              <w:tabs>
                <w:tab w:val="clear" w:pos="1378"/>
                <w:tab w:val="decimal" w:pos="1020"/>
              </w:tabs>
            </w:pPr>
            <w:r>
              <w:t>(164)</w:t>
            </w:r>
          </w:p>
        </w:tc>
      </w:tr>
      <w:tr w:rsidR="00F979B4" w:rsidRPr="00F30939" w14:paraId="40B2C0BC" w14:textId="77777777" w:rsidTr="00835A8C">
        <w:trPr>
          <w:cantSplit/>
          <w:trHeight w:val="454"/>
        </w:trPr>
        <w:tc>
          <w:tcPr>
            <w:tcW w:w="6204" w:type="dxa"/>
            <w:tcBorders>
              <w:bottom w:val="single" w:sz="4" w:space="0" w:color="auto"/>
            </w:tcBorders>
          </w:tcPr>
          <w:p w14:paraId="424C4D3B" w14:textId="77777777" w:rsidR="00F979B4" w:rsidRPr="00AD3933" w:rsidRDefault="00F979B4" w:rsidP="00835A8C">
            <w:pPr>
              <w:rPr>
                <w:b/>
              </w:rPr>
            </w:pPr>
            <w:r w:rsidRPr="00AD3933">
              <w:rPr>
                <w:b/>
              </w:rPr>
              <w:t xml:space="preserve">Total </w:t>
            </w:r>
            <w:r>
              <w:rPr>
                <w:b/>
              </w:rPr>
              <w:t>expenditure</w:t>
            </w:r>
          </w:p>
        </w:tc>
        <w:tc>
          <w:tcPr>
            <w:tcW w:w="1519" w:type="dxa"/>
            <w:tcBorders>
              <w:bottom w:val="single" w:sz="4" w:space="0" w:color="auto"/>
            </w:tcBorders>
          </w:tcPr>
          <w:p w14:paraId="043BB8BD" w14:textId="141A29C6" w:rsidR="00F979B4" w:rsidRPr="00AD3933" w:rsidRDefault="00006B7C" w:rsidP="00835A8C">
            <w:pPr>
              <w:tabs>
                <w:tab w:val="clear" w:pos="1378"/>
                <w:tab w:val="decimal" w:pos="1020"/>
              </w:tabs>
              <w:rPr>
                <w:b/>
              </w:rPr>
            </w:pPr>
            <w:r>
              <w:rPr>
                <w:b/>
              </w:rPr>
              <w:t>(173)</w:t>
            </w:r>
          </w:p>
        </w:tc>
        <w:tc>
          <w:tcPr>
            <w:tcW w:w="1519" w:type="dxa"/>
            <w:tcBorders>
              <w:bottom w:val="single" w:sz="4" w:space="0" w:color="auto"/>
            </w:tcBorders>
          </w:tcPr>
          <w:p w14:paraId="022AD825" w14:textId="77777777" w:rsidR="00F979B4" w:rsidRPr="00AD3933" w:rsidRDefault="00F979B4" w:rsidP="00835A8C">
            <w:pPr>
              <w:tabs>
                <w:tab w:val="clear" w:pos="1378"/>
                <w:tab w:val="decimal" w:pos="1020"/>
              </w:tabs>
              <w:rPr>
                <w:b/>
              </w:rPr>
            </w:pPr>
            <w:r>
              <w:rPr>
                <w:b/>
              </w:rPr>
              <w:t>(164)</w:t>
            </w:r>
          </w:p>
        </w:tc>
      </w:tr>
      <w:tr w:rsidR="00F979B4" w:rsidRPr="00F30939" w14:paraId="57736353" w14:textId="77777777" w:rsidTr="00835A8C">
        <w:trPr>
          <w:cantSplit/>
          <w:trHeight w:val="454"/>
        </w:trPr>
        <w:tc>
          <w:tcPr>
            <w:tcW w:w="6204" w:type="dxa"/>
            <w:tcBorders>
              <w:top w:val="single" w:sz="4" w:space="0" w:color="auto"/>
              <w:bottom w:val="single" w:sz="4" w:space="0" w:color="auto"/>
            </w:tcBorders>
          </w:tcPr>
          <w:p w14:paraId="2498B61B" w14:textId="77777777" w:rsidR="00F979B4" w:rsidRPr="007165BD" w:rsidRDefault="00F979B4" w:rsidP="00835A8C">
            <w:pPr>
              <w:rPr>
                <w:b/>
              </w:rPr>
            </w:pPr>
            <w:r>
              <w:rPr>
                <w:b/>
              </w:rPr>
              <w:t>Surplus</w:t>
            </w:r>
          </w:p>
        </w:tc>
        <w:tc>
          <w:tcPr>
            <w:tcW w:w="1519" w:type="dxa"/>
            <w:tcBorders>
              <w:top w:val="single" w:sz="4" w:space="0" w:color="auto"/>
              <w:bottom w:val="single" w:sz="4" w:space="0" w:color="auto"/>
            </w:tcBorders>
          </w:tcPr>
          <w:p w14:paraId="118EF112" w14:textId="4028622B" w:rsidR="00F979B4" w:rsidRPr="007165BD" w:rsidRDefault="00006B7C" w:rsidP="00835A8C">
            <w:pPr>
              <w:tabs>
                <w:tab w:val="clear" w:pos="1378"/>
                <w:tab w:val="decimal" w:pos="1020"/>
              </w:tabs>
              <w:rPr>
                <w:b/>
              </w:rPr>
            </w:pPr>
            <w:r>
              <w:rPr>
                <w:b/>
              </w:rPr>
              <w:t>-</w:t>
            </w:r>
          </w:p>
        </w:tc>
        <w:tc>
          <w:tcPr>
            <w:tcW w:w="1519" w:type="dxa"/>
            <w:tcBorders>
              <w:top w:val="single" w:sz="4" w:space="0" w:color="auto"/>
              <w:bottom w:val="single" w:sz="4" w:space="0" w:color="auto"/>
            </w:tcBorders>
          </w:tcPr>
          <w:p w14:paraId="33C2E90D" w14:textId="77777777" w:rsidR="00F979B4" w:rsidRPr="007165BD" w:rsidRDefault="00F979B4" w:rsidP="00835A8C">
            <w:pPr>
              <w:tabs>
                <w:tab w:val="clear" w:pos="1378"/>
                <w:tab w:val="decimal" w:pos="1020"/>
              </w:tabs>
              <w:rPr>
                <w:b/>
              </w:rPr>
            </w:pPr>
            <w:r>
              <w:rPr>
                <w:b/>
              </w:rPr>
              <w:t>-</w:t>
            </w:r>
          </w:p>
        </w:tc>
      </w:tr>
    </w:tbl>
    <w:p w14:paraId="00B64B8F" w14:textId="77777777" w:rsidR="00F979B4" w:rsidRPr="00F30939" w:rsidRDefault="00F979B4" w:rsidP="00F979B4"/>
    <w:p w14:paraId="6C7D6FB5" w14:textId="77777777" w:rsidR="00F979B4" w:rsidRPr="000D515D" w:rsidRDefault="00F979B4" w:rsidP="0045031A">
      <w:pPr>
        <w:pStyle w:val="Heading1-continued"/>
      </w:pPr>
      <w:r>
        <w:t>Nitmiluk (Katherine Gorge) National Park Board cont…</w:t>
      </w:r>
    </w:p>
    <w:p w14:paraId="23336CE4" w14:textId="77777777" w:rsidR="00F979B4" w:rsidRPr="00F30939" w:rsidRDefault="00F979B4" w:rsidP="00F979B4">
      <w:pPr>
        <w:pStyle w:val="Heading2"/>
      </w:pPr>
      <w:r w:rsidRPr="00F30939">
        <w:t>Financial Position at year end</w:t>
      </w:r>
    </w:p>
    <w:tbl>
      <w:tblPr>
        <w:tblW w:w="9100" w:type="dxa"/>
        <w:tblLayout w:type="fixed"/>
        <w:tblLook w:val="04A0" w:firstRow="1" w:lastRow="0" w:firstColumn="1" w:lastColumn="0" w:noHBand="0" w:noVBand="1"/>
        <w:tblCaption w:val="Financial Position at year end"/>
        <w:tblDescription w:val="Financial position information for the current and prior year&#10;"/>
      </w:tblPr>
      <w:tblGrid>
        <w:gridCol w:w="6062"/>
        <w:gridCol w:w="1519"/>
        <w:gridCol w:w="1519"/>
      </w:tblGrid>
      <w:tr w:rsidR="00F979B4" w:rsidRPr="00F30939" w14:paraId="44B9D60E" w14:textId="77777777" w:rsidTr="00835A8C">
        <w:trPr>
          <w:cantSplit/>
          <w:trHeight w:val="454"/>
          <w:tblHeader/>
        </w:trPr>
        <w:tc>
          <w:tcPr>
            <w:tcW w:w="6062" w:type="dxa"/>
            <w:tcBorders>
              <w:bottom w:val="single" w:sz="4" w:space="0" w:color="auto"/>
            </w:tcBorders>
          </w:tcPr>
          <w:p w14:paraId="06E528B2" w14:textId="77777777" w:rsidR="00F979B4" w:rsidRPr="00F30939" w:rsidRDefault="00F979B4" w:rsidP="00835A8C"/>
        </w:tc>
        <w:tc>
          <w:tcPr>
            <w:tcW w:w="1519" w:type="dxa"/>
            <w:tcBorders>
              <w:bottom w:val="single" w:sz="4" w:space="0" w:color="auto"/>
            </w:tcBorders>
          </w:tcPr>
          <w:p w14:paraId="2056DB2E" w14:textId="77777777" w:rsidR="00F979B4" w:rsidRPr="007165BD" w:rsidRDefault="00F979B4" w:rsidP="00835A8C">
            <w:pPr>
              <w:jc w:val="center"/>
              <w:rPr>
                <w:b/>
              </w:rPr>
            </w:pPr>
            <w:r w:rsidRPr="007165BD">
              <w:rPr>
                <w:b/>
              </w:rPr>
              <w:t>20</w:t>
            </w:r>
            <w:r>
              <w:rPr>
                <w:b/>
              </w:rPr>
              <w:t>20</w:t>
            </w:r>
          </w:p>
        </w:tc>
        <w:tc>
          <w:tcPr>
            <w:tcW w:w="1519" w:type="dxa"/>
            <w:tcBorders>
              <w:bottom w:val="single" w:sz="4" w:space="0" w:color="auto"/>
            </w:tcBorders>
          </w:tcPr>
          <w:p w14:paraId="3F233520" w14:textId="77777777" w:rsidR="00F979B4" w:rsidRPr="007165BD" w:rsidRDefault="00F979B4" w:rsidP="00835A8C">
            <w:pPr>
              <w:jc w:val="center"/>
              <w:rPr>
                <w:b/>
              </w:rPr>
            </w:pPr>
            <w:r w:rsidRPr="007165BD">
              <w:rPr>
                <w:b/>
              </w:rPr>
              <w:t>201</w:t>
            </w:r>
            <w:r>
              <w:rPr>
                <w:b/>
              </w:rPr>
              <w:t>9</w:t>
            </w:r>
          </w:p>
        </w:tc>
      </w:tr>
      <w:tr w:rsidR="00F979B4" w:rsidRPr="00F30939" w14:paraId="0E9B191E" w14:textId="77777777" w:rsidTr="00835A8C">
        <w:trPr>
          <w:cantSplit/>
          <w:trHeight w:val="454"/>
          <w:tblHeader/>
        </w:trPr>
        <w:tc>
          <w:tcPr>
            <w:tcW w:w="6062" w:type="dxa"/>
            <w:tcBorders>
              <w:top w:val="single" w:sz="4" w:space="0" w:color="auto"/>
            </w:tcBorders>
          </w:tcPr>
          <w:p w14:paraId="2855B13A" w14:textId="77777777" w:rsidR="00F979B4" w:rsidRPr="00F30939" w:rsidRDefault="00F979B4" w:rsidP="00835A8C"/>
        </w:tc>
        <w:tc>
          <w:tcPr>
            <w:tcW w:w="1519" w:type="dxa"/>
            <w:tcBorders>
              <w:top w:val="single" w:sz="4" w:space="0" w:color="auto"/>
            </w:tcBorders>
          </w:tcPr>
          <w:p w14:paraId="7A7CC540" w14:textId="77777777" w:rsidR="00F979B4" w:rsidRPr="007165BD" w:rsidRDefault="00F979B4" w:rsidP="00835A8C">
            <w:pPr>
              <w:jc w:val="center"/>
              <w:rPr>
                <w:b/>
              </w:rPr>
            </w:pPr>
            <w:r w:rsidRPr="007165BD">
              <w:rPr>
                <w:b/>
              </w:rPr>
              <w:t>$’000</w:t>
            </w:r>
          </w:p>
        </w:tc>
        <w:tc>
          <w:tcPr>
            <w:tcW w:w="1519" w:type="dxa"/>
            <w:tcBorders>
              <w:top w:val="single" w:sz="4" w:space="0" w:color="auto"/>
            </w:tcBorders>
          </w:tcPr>
          <w:p w14:paraId="1FA81785" w14:textId="77777777" w:rsidR="00F979B4" w:rsidRPr="007165BD" w:rsidRDefault="00F979B4" w:rsidP="00835A8C">
            <w:pPr>
              <w:jc w:val="center"/>
              <w:rPr>
                <w:b/>
              </w:rPr>
            </w:pPr>
            <w:r w:rsidRPr="007165BD">
              <w:rPr>
                <w:b/>
              </w:rPr>
              <w:t>$’000</w:t>
            </w:r>
          </w:p>
        </w:tc>
      </w:tr>
      <w:tr w:rsidR="00F979B4" w:rsidRPr="00F30939" w14:paraId="38F33EC8" w14:textId="77777777" w:rsidTr="00835A8C">
        <w:trPr>
          <w:cantSplit/>
          <w:trHeight w:val="454"/>
        </w:trPr>
        <w:tc>
          <w:tcPr>
            <w:tcW w:w="6062" w:type="dxa"/>
          </w:tcPr>
          <w:p w14:paraId="6F1F5888" w14:textId="77777777" w:rsidR="00F979B4" w:rsidRPr="00F30939" w:rsidRDefault="00F979B4" w:rsidP="00835A8C">
            <w:r w:rsidRPr="00F30939">
              <w:t>Cash and cash equivalents</w:t>
            </w:r>
          </w:p>
        </w:tc>
        <w:tc>
          <w:tcPr>
            <w:tcW w:w="1519" w:type="dxa"/>
          </w:tcPr>
          <w:p w14:paraId="209441EF" w14:textId="4F28FA19" w:rsidR="00F979B4" w:rsidRPr="00F30939" w:rsidRDefault="00006B7C" w:rsidP="00835A8C">
            <w:pPr>
              <w:tabs>
                <w:tab w:val="clear" w:pos="1378"/>
                <w:tab w:val="decimal" w:pos="1020"/>
              </w:tabs>
            </w:pPr>
            <w:r>
              <w:t>-</w:t>
            </w:r>
          </w:p>
        </w:tc>
        <w:tc>
          <w:tcPr>
            <w:tcW w:w="1519" w:type="dxa"/>
          </w:tcPr>
          <w:p w14:paraId="72B23048" w14:textId="77777777" w:rsidR="00F979B4" w:rsidRPr="00F30939" w:rsidRDefault="00F979B4" w:rsidP="00835A8C">
            <w:pPr>
              <w:tabs>
                <w:tab w:val="clear" w:pos="1378"/>
                <w:tab w:val="decimal" w:pos="1020"/>
              </w:tabs>
            </w:pPr>
            <w:r>
              <w:t>-</w:t>
            </w:r>
          </w:p>
        </w:tc>
      </w:tr>
      <w:tr w:rsidR="00F979B4" w:rsidRPr="00F30939" w14:paraId="228C3AFC" w14:textId="77777777" w:rsidTr="00835A8C">
        <w:trPr>
          <w:cantSplit/>
          <w:trHeight w:val="454"/>
        </w:trPr>
        <w:tc>
          <w:tcPr>
            <w:tcW w:w="6062" w:type="dxa"/>
          </w:tcPr>
          <w:p w14:paraId="66BC459C" w14:textId="77777777" w:rsidR="00F979B4" w:rsidRPr="00F30939" w:rsidRDefault="00F979B4" w:rsidP="00835A8C">
            <w:r w:rsidRPr="00F30939">
              <w:t>Receivables and other current assets</w:t>
            </w:r>
          </w:p>
        </w:tc>
        <w:tc>
          <w:tcPr>
            <w:tcW w:w="1519" w:type="dxa"/>
          </w:tcPr>
          <w:p w14:paraId="5FC77266" w14:textId="50E2109A" w:rsidR="00F979B4" w:rsidRPr="00F30939" w:rsidRDefault="00006B7C" w:rsidP="00835A8C">
            <w:pPr>
              <w:tabs>
                <w:tab w:val="clear" w:pos="1378"/>
                <w:tab w:val="decimal" w:pos="1020"/>
              </w:tabs>
            </w:pPr>
            <w:r>
              <w:t>18</w:t>
            </w:r>
          </w:p>
        </w:tc>
        <w:tc>
          <w:tcPr>
            <w:tcW w:w="1519" w:type="dxa"/>
          </w:tcPr>
          <w:p w14:paraId="017C8F25" w14:textId="77777777" w:rsidR="00F979B4" w:rsidRPr="00F30939" w:rsidRDefault="00F979B4" w:rsidP="00835A8C">
            <w:pPr>
              <w:tabs>
                <w:tab w:val="clear" w:pos="1378"/>
                <w:tab w:val="decimal" w:pos="1020"/>
              </w:tabs>
            </w:pPr>
            <w:r>
              <w:t>242</w:t>
            </w:r>
          </w:p>
        </w:tc>
      </w:tr>
      <w:tr w:rsidR="00F979B4" w:rsidRPr="00F30939" w14:paraId="38FE566E" w14:textId="77777777" w:rsidTr="00835A8C">
        <w:trPr>
          <w:cantSplit/>
          <w:trHeight w:val="454"/>
        </w:trPr>
        <w:tc>
          <w:tcPr>
            <w:tcW w:w="6062" w:type="dxa"/>
          </w:tcPr>
          <w:p w14:paraId="78BFA664" w14:textId="77777777" w:rsidR="00F979B4" w:rsidRPr="00F30939" w:rsidRDefault="00F979B4" w:rsidP="00835A8C">
            <w:r w:rsidRPr="00F30939">
              <w:t>Less current liabilities</w:t>
            </w:r>
          </w:p>
        </w:tc>
        <w:tc>
          <w:tcPr>
            <w:tcW w:w="1519" w:type="dxa"/>
          </w:tcPr>
          <w:p w14:paraId="6B5F55A8" w14:textId="4DF40A2F" w:rsidR="00F979B4" w:rsidRPr="00F30939" w:rsidRDefault="00006B7C" w:rsidP="00835A8C">
            <w:pPr>
              <w:tabs>
                <w:tab w:val="clear" w:pos="1378"/>
                <w:tab w:val="decimal" w:pos="1020"/>
              </w:tabs>
            </w:pPr>
            <w:r>
              <w:t>(18)</w:t>
            </w:r>
          </w:p>
        </w:tc>
        <w:tc>
          <w:tcPr>
            <w:tcW w:w="1519" w:type="dxa"/>
          </w:tcPr>
          <w:p w14:paraId="4365F1E9" w14:textId="77777777" w:rsidR="00F979B4" w:rsidRPr="00F30939" w:rsidRDefault="00F979B4" w:rsidP="00835A8C">
            <w:pPr>
              <w:tabs>
                <w:tab w:val="clear" w:pos="1378"/>
                <w:tab w:val="decimal" w:pos="1020"/>
              </w:tabs>
            </w:pPr>
            <w:r w:rsidRPr="00F30939">
              <w:t>(</w:t>
            </w:r>
            <w:r>
              <w:t>242</w:t>
            </w:r>
            <w:r w:rsidRPr="00F30939">
              <w:t>)</w:t>
            </w:r>
          </w:p>
        </w:tc>
      </w:tr>
      <w:tr w:rsidR="00F979B4" w:rsidRPr="007165BD" w14:paraId="3DB53F70" w14:textId="77777777" w:rsidTr="00835A8C">
        <w:trPr>
          <w:cantSplit/>
          <w:trHeight w:val="454"/>
        </w:trPr>
        <w:tc>
          <w:tcPr>
            <w:tcW w:w="6062" w:type="dxa"/>
            <w:tcBorders>
              <w:bottom w:val="single" w:sz="4" w:space="0" w:color="auto"/>
            </w:tcBorders>
          </w:tcPr>
          <w:p w14:paraId="10468B30" w14:textId="77777777" w:rsidR="00F979B4" w:rsidRPr="007165BD" w:rsidRDefault="00F979B4" w:rsidP="00835A8C">
            <w:pPr>
              <w:rPr>
                <w:b/>
              </w:rPr>
            </w:pPr>
            <w:r w:rsidRPr="007165BD">
              <w:rPr>
                <w:b/>
              </w:rPr>
              <w:t>Working Capital</w:t>
            </w:r>
          </w:p>
        </w:tc>
        <w:tc>
          <w:tcPr>
            <w:tcW w:w="1519" w:type="dxa"/>
            <w:tcBorders>
              <w:bottom w:val="single" w:sz="4" w:space="0" w:color="auto"/>
            </w:tcBorders>
          </w:tcPr>
          <w:p w14:paraId="7D566003" w14:textId="2A70A466" w:rsidR="00F979B4" w:rsidRPr="007165BD" w:rsidRDefault="00006B7C" w:rsidP="00835A8C">
            <w:pPr>
              <w:tabs>
                <w:tab w:val="clear" w:pos="1378"/>
                <w:tab w:val="decimal" w:pos="1020"/>
              </w:tabs>
              <w:rPr>
                <w:b/>
              </w:rPr>
            </w:pPr>
            <w:r>
              <w:rPr>
                <w:b/>
              </w:rPr>
              <w:t>-</w:t>
            </w:r>
          </w:p>
        </w:tc>
        <w:tc>
          <w:tcPr>
            <w:tcW w:w="1519" w:type="dxa"/>
            <w:tcBorders>
              <w:bottom w:val="single" w:sz="4" w:space="0" w:color="auto"/>
            </w:tcBorders>
          </w:tcPr>
          <w:p w14:paraId="75AE6067" w14:textId="77777777" w:rsidR="00F979B4" w:rsidRPr="007165BD" w:rsidRDefault="00F979B4" w:rsidP="00835A8C">
            <w:pPr>
              <w:tabs>
                <w:tab w:val="clear" w:pos="1378"/>
                <w:tab w:val="decimal" w:pos="1020"/>
              </w:tabs>
              <w:rPr>
                <w:b/>
              </w:rPr>
            </w:pPr>
            <w:r>
              <w:rPr>
                <w:b/>
              </w:rPr>
              <w:t>-</w:t>
            </w:r>
          </w:p>
        </w:tc>
      </w:tr>
      <w:tr w:rsidR="00F979B4" w:rsidRPr="00F30939" w14:paraId="0B5FA0C0" w14:textId="77777777" w:rsidTr="00835A8C">
        <w:trPr>
          <w:cantSplit/>
          <w:trHeight w:val="454"/>
        </w:trPr>
        <w:tc>
          <w:tcPr>
            <w:tcW w:w="6062" w:type="dxa"/>
          </w:tcPr>
          <w:p w14:paraId="6D4F7471" w14:textId="77777777" w:rsidR="00F979B4" w:rsidRPr="00F30939" w:rsidRDefault="00F979B4" w:rsidP="00835A8C">
            <w:r w:rsidRPr="00F30939">
              <w:t>Add non-current assets</w:t>
            </w:r>
          </w:p>
        </w:tc>
        <w:tc>
          <w:tcPr>
            <w:tcW w:w="1519" w:type="dxa"/>
          </w:tcPr>
          <w:p w14:paraId="1C32FB34" w14:textId="73E5EC60" w:rsidR="00F979B4" w:rsidRPr="00F30939" w:rsidRDefault="00006B7C" w:rsidP="00835A8C">
            <w:pPr>
              <w:tabs>
                <w:tab w:val="clear" w:pos="1378"/>
                <w:tab w:val="decimal" w:pos="1020"/>
              </w:tabs>
            </w:pPr>
            <w:r>
              <w:t>-</w:t>
            </w:r>
          </w:p>
        </w:tc>
        <w:tc>
          <w:tcPr>
            <w:tcW w:w="1519" w:type="dxa"/>
          </w:tcPr>
          <w:p w14:paraId="6ADBBFF2" w14:textId="77777777" w:rsidR="00F979B4" w:rsidRPr="00F30939" w:rsidRDefault="00F979B4" w:rsidP="00835A8C">
            <w:pPr>
              <w:tabs>
                <w:tab w:val="clear" w:pos="1378"/>
                <w:tab w:val="decimal" w:pos="1020"/>
              </w:tabs>
            </w:pPr>
            <w:r>
              <w:t>-</w:t>
            </w:r>
          </w:p>
        </w:tc>
      </w:tr>
      <w:tr w:rsidR="00F979B4" w:rsidRPr="00F30939" w14:paraId="7B9FADF8" w14:textId="77777777" w:rsidTr="00835A8C">
        <w:trPr>
          <w:cantSplit/>
          <w:trHeight w:val="454"/>
        </w:trPr>
        <w:tc>
          <w:tcPr>
            <w:tcW w:w="6062" w:type="dxa"/>
          </w:tcPr>
          <w:p w14:paraId="6EA6A6B6" w14:textId="77777777" w:rsidR="00F979B4" w:rsidRPr="00F30939" w:rsidRDefault="00F979B4" w:rsidP="00835A8C">
            <w:r w:rsidRPr="00F30939">
              <w:t>Less non-current liabilities</w:t>
            </w:r>
          </w:p>
        </w:tc>
        <w:tc>
          <w:tcPr>
            <w:tcW w:w="1519" w:type="dxa"/>
          </w:tcPr>
          <w:p w14:paraId="0A568078" w14:textId="6273BC23" w:rsidR="00F979B4" w:rsidRPr="00F30939" w:rsidRDefault="00006B7C" w:rsidP="00835A8C">
            <w:pPr>
              <w:tabs>
                <w:tab w:val="clear" w:pos="1378"/>
                <w:tab w:val="decimal" w:pos="1020"/>
              </w:tabs>
            </w:pPr>
            <w:r>
              <w:t>-</w:t>
            </w:r>
          </w:p>
        </w:tc>
        <w:tc>
          <w:tcPr>
            <w:tcW w:w="1519" w:type="dxa"/>
          </w:tcPr>
          <w:p w14:paraId="338B21E2" w14:textId="77777777" w:rsidR="00F979B4" w:rsidRPr="00F30939" w:rsidRDefault="00F979B4" w:rsidP="00835A8C">
            <w:pPr>
              <w:tabs>
                <w:tab w:val="clear" w:pos="1378"/>
                <w:tab w:val="decimal" w:pos="1020"/>
              </w:tabs>
            </w:pPr>
            <w:r>
              <w:t>-</w:t>
            </w:r>
          </w:p>
        </w:tc>
      </w:tr>
      <w:tr w:rsidR="00F979B4" w:rsidRPr="007165BD" w14:paraId="03FC2B08" w14:textId="77777777" w:rsidTr="00835A8C">
        <w:trPr>
          <w:cantSplit/>
          <w:trHeight w:val="454"/>
        </w:trPr>
        <w:tc>
          <w:tcPr>
            <w:tcW w:w="6062" w:type="dxa"/>
            <w:tcBorders>
              <w:bottom w:val="single" w:sz="4" w:space="0" w:color="auto"/>
            </w:tcBorders>
          </w:tcPr>
          <w:p w14:paraId="37E1FF40" w14:textId="77777777" w:rsidR="00F979B4" w:rsidRPr="007165BD" w:rsidRDefault="00F979B4" w:rsidP="00835A8C">
            <w:pPr>
              <w:rPr>
                <w:b/>
              </w:rPr>
            </w:pPr>
            <w:r w:rsidRPr="007165BD">
              <w:rPr>
                <w:b/>
              </w:rPr>
              <w:t>Net Assets</w:t>
            </w:r>
          </w:p>
        </w:tc>
        <w:tc>
          <w:tcPr>
            <w:tcW w:w="1519" w:type="dxa"/>
            <w:tcBorders>
              <w:bottom w:val="single" w:sz="4" w:space="0" w:color="auto"/>
            </w:tcBorders>
          </w:tcPr>
          <w:p w14:paraId="740A1356" w14:textId="3E308978" w:rsidR="00F979B4" w:rsidRPr="005367D7" w:rsidRDefault="00006B7C" w:rsidP="00835A8C">
            <w:pPr>
              <w:tabs>
                <w:tab w:val="clear" w:pos="1378"/>
                <w:tab w:val="decimal" w:pos="1020"/>
              </w:tabs>
            </w:pPr>
            <w:r>
              <w:t>-</w:t>
            </w:r>
          </w:p>
        </w:tc>
        <w:tc>
          <w:tcPr>
            <w:tcW w:w="1519" w:type="dxa"/>
            <w:tcBorders>
              <w:bottom w:val="single" w:sz="4" w:space="0" w:color="auto"/>
            </w:tcBorders>
          </w:tcPr>
          <w:p w14:paraId="4194C952" w14:textId="77777777" w:rsidR="00F979B4" w:rsidRPr="005367D7" w:rsidRDefault="00F979B4" w:rsidP="00835A8C">
            <w:pPr>
              <w:tabs>
                <w:tab w:val="clear" w:pos="1378"/>
                <w:tab w:val="decimal" w:pos="1020"/>
              </w:tabs>
            </w:pPr>
            <w:r w:rsidRPr="005367D7">
              <w:t>-</w:t>
            </w:r>
          </w:p>
        </w:tc>
      </w:tr>
      <w:tr w:rsidR="00F979B4" w:rsidRPr="00F30939" w14:paraId="26480CD2" w14:textId="77777777" w:rsidTr="00835A8C">
        <w:trPr>
          <w:cantSplit/>
          <w:trHeight w:val="454"/>
        </w:trPr>
        <w:tc>
          <w:tcPr>
            <w:tcW w:w="6062" w:type="dxa"/>
            <w:tcBorders>
              <w:top w:val="single" w:sz="4" w:space="0" w:color="auto"/>
            </w:tcBorders>
          </w:tcPr>
          <w:p w14:paraId="7C0B7605" w14:textId="77777777" w:rsidR="00F979B4" w:rsidRPr="00F30939" w:rsidRDefault="00F979B4" w:rsidP="00835A8C">
            <w:r w:rsidRPr="00F30939">
              <w:t>Represented by:</w:t>
            </w:r>
          </w:p>
        </w:tc>
        <w:tc>
          <w:tcPr>
            <w:tcW w:w="1519" w:type="dxa"/>
            <w:tcBorders>
              <w:top w:val="single" w:sz="4" w:space="0" w:color="auto"/>
            </w:tcBorders>
          </w:tcPr>
          <w:p w14:paraId="5EBB8CC9" w14:textId="77777777" w:rsidR="00F979B4" w:rsidRPr="00F30939" w:rsidRDefault="00F979B4" w:rsidP="00835A8C">
            <w:pPr>
              <w:tabs>
                <w:tab w:val="clear" w:pos="1378"/>
                <w:tab w:val="decimal" w:pos="1020"/>
              </w:tabs>
            </w:pPr>
          </w:p>
        </w:tc>
        <w:tc>
          <w:tcPr>
            <w:tcW w:w="1519" w:type="dxa"/>
            <w:tcBorders>
              <w:top w:val="single" w:sz="4" w:space="0" w:color="auto"/>
            </w:tcBorders>
          </w:tcPr>
          <w:p w14:paraId="5C14D54F" w14:textId="77777777" w:rsidR="00F979B4" w:rsidRPr="00F30939" w:rsidRDefault="00F979B4" w:rsidP="00835A8C">
            <w:pPr>
              <w:tabs>
                <w:tab w:val="clear" w:pos="1378"/>
                <w:tab w:val="decimal" w:pos="1020"/>
              </w:tabs>
            </w:pPr>
          </w:p>
        </w:tc>
      </w:tr>
      <w:tr w:rsidR="00F979B4" w:rsidRPr="00F30939" w14:paraId="24E4261E" w14:textId="77777777" w:rsidTr="00835A8C">
        <w:trPr>
          <w:cantSplit/>
          <w:trHeight w:val="454"/>
        </w:trPr>
        <w:tc>
          <w:tcPr>
            <w:tcW w:w="6062" w:type="dxa"/>
          </w:tcPr>
          <w:p w14:paraId="352094F4" w14:textId="77777777" w:rsidR="00F979B4" w:rsidRPr="00F30939" w:rsidRDefault="00F979B4" w:rsidP="00835A8C">
            <w:r w:rsidRPr="00F30939">
              <w:t>Accumulated funds</w:t>
            </w:r>
          </w:p>
        </w:tc>
        <w:tc>
          <w:tcPr>
            <w:tcW w:w="1519" w:type="dxa"/>
          </w:tcPr>
          <w:p w14:paraId="3DFF251D" w14:textId="38BF4EE7" w:rsidR="00F979B4" w:rsidRPr="00F30939" w:rsidRDefault="00006B7C" w:rsidP="00835A8C">
            <w:pPr>
              <w:tabs>
                <w:tab w:val="clear" w:pos="1378"/>
                <w:tab w:val="decimal" w:pos="1020"/>
              </w:tabs>
            </w:pPr>
            <w:r>
              <w:t>-</w:t>
            </w:r>
          </w:p>
        </w:tc>
        <w:tc>
          <w:tcPr>
            <w:tcW w:w="1519" w:type="dxa"/>
          </w:tcPr>
          <w:p w14:paraId="003FA686" w14:textId="77777777" w:rsidR="00F979B4" w:rsidRPr="00F30939" w:rsidRDefault="00F979B4" w:rsidP="00835A8C">
            <w:pPr>
              <w:tabs>
                <w:tab w:val="clear" w:pos="1378"/>
                <w:tab w:val="decimal" w:pos="1020"/>
              </w:tabs>
            </w:pPr>
            <w:r>
              <w:t>-</w:t>
            </w:r>
          </w:p>
        </w:tc>
      </w:tr>
      <w:tr w:rsidR="00F979B4" w:rsidRPr="00F30939" w14:paraId="551719F5" w14:textId="77777777" w:rsidTr="00835A8C">
        <w:trPr>
          <w:cantSplit/>
          <w:trHeight w:val="454"/>
        </w:trPr>
        <w:tc>
          <w:tcPr>
            <w:tcW w:w="6062" w:type="dxa"/>
          </w:tcPr>
          <w:p w14:paraId="5F9712A8" w14:textId="77777777" w:rsidR="00F979B4" w:rsidRPr="00F30939" w:rsidRDefault="00F979B4" w:rsidP="00835A8C">
            <w:r w:rsidRPr="00F30939">
              <w:t>Capital</w:t>
            </w:r>
          </w:p>
        </w:tc>
        <w:tc>
          <w:tcPr>
            <w:tcW w:w="1519" w:type="dxa"/>
          </w:tcPr>
          <w:p w14:paraId="41B3A361" w14:textId="36A8AF37" w:rsidR="00F979B4" w:rsidRPr="00F30939" w:rsidRDefault="00006B7C" w:rsidP="00835A8C">
            <w:pPr>
              <w:tabs>
                <w:tab w:val="clear" w:pos="1378"/>
                <w:tab w:val="decimal" w:pos="1020"/>
              </w:tabs>
            </w:pPr>
            <w:r>
              <w:t>-</w:t>
            </w:r>
          </w:p>
        </w:tc>
        <w:tc>
          <w:tcPr>
            <w:tcW w:w="1519" w:type="dxa"/>
          </w:tcPr>
          <w:p w14:paraId="238F8CBE" w14:textId="77777777" w:rsidR="00F979B4" w:rsidRPr="007165BD" w:rsidRDefault="00F979B4" w:rsidP="00835A8C">
            <w:pPr>
              <w:tabs>
                <w:tab w:val="clear" w:pos="1378"/>
                <w:tab w:val="decimal" w:pos="1020"/>
              </w:tabs>
              <w:rPr>
                <w:b/>
              </w:rPr>
            </w:pPr>
            <w:r>
              <w:rPr>
                <w:b/>
              </w:rPr>
              <w:t>-</w:t>
            </w:r>
          </w:p>
        </w:tc>
      </w:tr>
      <w:tr w:rsidR="00F979B4" w:rsidRPr="007165BD" w14:paraId="34F783EB" w14:textId="77777777" w:rsidTr="00835A8C">
        <w:trPr>
          <w:cantSplit/>
          <w:trHeight w:val="454"/>
        </w:trPr>
        <w:tc>
          <w:tcPr>
            <w:tcW w:w="6062" w:type="dxa"/>
            <w:tcBorders>
              <w:bottom w:val="single" w:sz="4" w:space="0" w:color="auto"/>
            </w:tcBorders>
          </w:tcPr>
          <w:p w14:paraId="724BAA09" w14:textId="77777777" w:rsidR="00F979B4" w:rsidRPr="007165BD" w:rsidRDefault="00F979B4" w:rsidP="00835A8C">
            <w:pPr>
              <w:rPr>
                <w:b/>
              </w:rPr>
            </w:pPr>
            <w:r w:rsidRPr="007165BD">
              <w:rPr>
                <w:b/>
              </w:rPr>
              <w:t>Equity</w:t>
            </w:r>
          </w:p>
        </w:tc>
        <w:tc>
          <w:tcPr>
            <w:tcW w:w="1519" w:type="dxa"/>
            <w:tcBorders>
              <w:bottom w:val="single" w:sz="4" w:space="0" w:color="auto"/>
            </w:tcBorders>
          </w:tcPr>
          <w:p w14:paraId="5BC719E6" w14:textId="653F37A9" w:rsidR="00F979B4" w:rsidRPr="005367D7" w:rsidRDefault="00006B7C" w:rsidP="00835A8C">
            <w:pPr>
              <w:tabs>
                <w:tab w:val="clear" w:pos="1378"/>
                <w:tab w:val="decimal" w:pos="1020"/>
              </w:tabs>
              <w:rPr>
                <w:b/>
              </w:rPr>
            </w:pPr>
            <w:r>
              <w:rPr>
                <w:b/>
              </w:rPr>
              <w:t>-</w:t>
            </w:r>
          </w:p>
        </w:tc>
        <w:tc>
          <w:tcPr>
            <w:tcW w:w="1519" w:type="dxa"/>
            <w:tcBorders>
              <w:bottom w:val="single" w:sz="4" w:space="0" w:color="auto"/>
            </w:tcBorders>
          </w:tcPr>
          <w:p w14:paraId="00396580" w14:textId="77777777" w:rsidR="00F979B4" w:rsidRPr="005367D7" w:rsidRDefault="00F979B4" w:rsidP="00835A8C">
            <w:pPr>
              <w:tabs>
                <w:tab w:val="clear" w:pos="1378"/>
                <w:tab w:val="decimal" w:pos="1020"/>
              </w:tabs>
              <w:rPr>
                <w:b/>
              </w:rPr>
            </w:pPr>
            <w:r w:rsidRPr="005367D7">
              <w:rPr>
                <w:b/>
              </w:rPr>
              <w:t>-</w:t>
            </w:r>
          </w:p>
        </w:tc>
      </w:tr>
    </w:tbl>
    <w:p w14:paraId="16331F5B" w14:textId="77777777" w:rsidR="003D7346" w:rsidRDefault="003D7346" w:rsidP="003D7346"/>
    <w:p w14:paraId="4246920B" w14:textId="77777777" w:rsidR="003D7346" w:rsidRPr="000D515D" w:rsidRDefault="003D7346" w:rsidP="003D7346">
      <w:pPr>
        <w:pStyle w:val="Heading1"/>
      </w:pPr>
      <w:bookmarkStart w:id="28" w:name="_Ref16255721"/>
      <w:r>
        <w:t>Northern Territory Police Supplementary Benefit Scheme</w:t>
      </w:r>
      <w:bookmarkEnd w:id="28"/>
    </w:p>
    <w:p w14:paraId="285D7B60" w14:textId="77777777" w:rsidR="003D7346" w:rsidRPr="000D515D" w:rsidRDefault="003D7346" w:rsidP="003D7346">
      <w:pPr>
        <w:pStyle w:val="Heading2"/>
      </w:pPr>
      <w:bookmarkStart w:id="29" w:name="_Ref16255724"/>
      <w:bookmarkStart w:id="30" w:name="_Ref58243404"/>
      <w:r w:rsidRPr="000D515D">
        <w:t xml:space="preserve">Audit Findings and Analysis of the Financial Statements for the Year Ended </w:t>
      </w:r>
      <w:r>
        <w:t xml:space="preserve">30 June </w:t>
      </w:r>
      <w:bookmarkEnd w:id="29"/>
      <w:r>
        <w:t>2020</w:t>
      </w:r>
      <w:bookmarkEnd w:id="30"/>
    </w:p>
    <w:p w14:paraId="2552E160" w14:textId="77777777" w:rsidR="003D7346" w:rsidRPr="00F30939" w:rsidRDefault="003D7346" w:rsidP="003D7346">
      <w:pPr>
        <w:pStyle w:val="Heading3"/>
      </w:pPr>
      <w:r>
        <w:t>Background</w:t>
      </w:r>
    </w:p>
    <w:p w14:paraId="779CEEFF" w14:textId="77777777" w:rsidR="003D7346" w:rsidRDefault="003D7346" w:rsidP="003D7346">
      <w:r>
        <w:t>The Northern Territory Police Supplementary Benefit Scheme was established under a Trust Deed rather than by legislation and is intended to supplement pensions payable from the Commonwealth Superannuation Scheme (CSS) for members of the Northern Territory Police.</w:t>
      </w:r>
    </w:p>
    <w:p w14:paraId="5A89A5A5" w14:textId="3CF2ACA4" w:rsidR="003D7346" w:rsidRDefault="003D7346" w:rsidP="003D7346">
      <w:r w:rsidRPr="001917F5">
        <w:t xml:space="preserve">Eligibility for membership of the CSS ceased from 1 January 1988 and membership of the scheme is declining steadily. At 30 June 2020 there were </w:t>
      </w:r>
      <w:r w:rsidR="001917F5" w:rsidRPr="001917F5">
        <w:t>19</w:t>
      </w:r>
      <w:r w:rsidRPr="001917F5">
        <w:t xml:space="preserve"> members (24 in 2019) and </w:t>
      </w:r>
      <w:r w:rsidR="001917F5" w:rsidRPr="001917F5">
        <w:t>211</w:t>
      </w:r>
      <w:r w:rsidRPr="001917F5">
        <w:t xml:space="preserve"> pensioners (204 in 2019).</w:t>
      </w:r>
    </w:p>
    <w:p w14:paraId="6DA49244" w14:textId="4DB1E7F5" w:rsidR="003D7346" w:rsidRDefault="003D7346" w:rsidP="003D7346">
      <w:r>
        <w:t>Members finance a share of scheme benefits by contributing one per cent of their salary to the fund, which is managed by the Trustee, the Superannuation Trustee Board. Each member has an accumulation account in the fund representing the member’s contributions and earnings.</w:t>
      </w:r>
    </w:p>
    <w:p w14:paraId="5D8C270C" w14:textId="77777777" w:rsidR="003D7346" w:rsidRDefault="003D7346" w:rsidP="003D7346">
      <w:r>
        <w:t>A member qualifies for a supplementary benefit if:</w:t>
      </w:r>
    </w:p>
    <w:p w14:paraId="64C2EA5F" w14:textId="77777777" w:rsidR="003D7346" w:rsidRDefault="003D7346" w:rsidP="003D7346">
      <w:pPr>
        <w:pStyle w:val="ListBullet"/>
      </w:pPr>
      <w:r>
        <w:t>the member is at least 50 years of age or has at least 25 years CSS contributory service when ceasing to be a member of the scheme; and</w:t>
      </w:r>
    </w:p>
    <w:p w14:paraId="24A637BF" w14:textId="77777777" w:rsidR="003D7346" w:rsidRDefault="003D7346" w:rsidP="003D7346">
      <w:pPr>
        <w:pStyle w:val="ListBullet"/>
      </w:pPr>
      <w:r>
        <w:t>the member becomes entitled to a CSS age retirement pension, early retirement pension, deferred pension or postponed pension on or after ceasing to be a member of the scheme.</w:t>
      </w:r>
    </w:p>
    <w:p w14:paraId="17B5702F" w14:textId="0070D519" w:rsidR="003D7346" w:rsidRDefault="003D7346" w:rsidP="003D7346">
      <w:r>
        <w:t>The supplementary benefit is based on the amount of the member’s CSS employer-financed pension and the member’s age when ceasing to be a member of the Northern Territory Police Force or a CSS contributor, whichever occurs later. Upon qualification for a supplementary benefit, the member’s accumulated contributions and earnings are paid to the Northern Territory, which is responsible for the payment of the supplementary benefit.</w:t>
      </w:r>
    </w:p>
    <w:p w14:paraId="269D6DBA" w14:textId="53313495" w:rsidR="003D7346" w:rsidRDefault="003D7346" w:rsidP="003D7346">
      <w:r>
        <w:t>The supplementary benefit is paid as a lifetime indexed pension, which commences when the CSS employer-financed pension commences. Alternatively, a pension may be commuted to a lump sum equal to ten times the annual amount of a pension. Where a person ceases membership and is not entitled to a supplementary benefit, an amount equal to the member’s contributions plus earnings is paid.</w:t>
      </w:r>
    </w:p>
    <w:p w14:paraId="00874A52" w14:textId="77777777" w:rsidR="003D7346" w:rsidRDefault="003D7346" w:rsidP="003D7346">
      <w:pPr>
        <w:pStyle w:val="Heading3"/>
      </w:pPr>
      <w:r>
        <w:t>Scope and Objectives</w:t>
      </w:r>
    </w:p>
    <w:p w14:paraId="613AE5C8" w14:textId="77777777" w:rsidR="003D7346" w:rsidRPr="0032687F" w:rsidRDefault="003D7346" w:rsidP="003D7346">
      <w:r>
        <w:t xml:space="preserve">The objective of the audit was to complete sufficient audit procedures to enable an opinion to be expressed upon the financial statements of the </w:t>
      </w:r>
      <w:r w:rsidRPr="00CA4791">
        <w:t xml:space="preserve">Northern Territory Police Supplementary Benefit </w:t>
      </w:r>
      <w:r w:rsidRPr="0032687F">
        <w:t xml:space="preserve">Scheme for the year ended 30 June </w:t>
      </w:r>
      <w:r>
        <w:t>2020</w:t>
      </w:r>
      <w:r w:rsidRPr="0032687F">
        <w:t>.</w:t>
      </w:r>
    </w:p>
    <w:p w14:paraId="2B8E1A20" w14:textId="77777777" w:rsidR="003D7346" w:rsidRPr="0032687F" w:rsidRDefault="003D7346" w:rsidP="003D7346">
      <w:pPr>
        <w:pStyle w:val="Heading3"/>
      </w:pPr>
      <w:r w:rsidRPr="0032687F">
        <w:t>Audit Opinion</w:t>
      </w:r>
    </w:p>
    <w:p w14:paraId="058D1538" w14:textId="0E9878F5" w:rsidR="003D7346" w:rsidRPr="00F30939" w:rsidRDefault="003D7346" w:rsidP="003D7346">
      <w:r w:rsidRPr="0032687F">
        <w:t xml:space="preserve">The audit of the </w:t>
      </w:r>
      <w:r w:rsidRPr="00006B7C">
        <w:t xml:space="preserve">Northern Territory Police Supplementary Benefit Scheme for the year ended 30 June 2020 resulted in an unmodified independent audit opinion, which was issued on </w:t>
      </w:r>
      <w:r w:rsidR="00006B7C" w:rsidRPr="00006B7C">
        <w:t>7</w:t>
      </w:r>
      <w:r w:rsidR="00006B7C">
        <w:t xml:space="preserve"> April </w:t>
      </w:r>
      <w:r w:rsidR="005A7AF7" w:rsidRPr="00006B7C">
        <w:t>2021</w:t>
      </w:r>
      <w:r w:rsidRPr="00006B7C">
        <w:t>.</w:t>
      </w:r>
    </w:p>
    <w:p w14:paraId="1073C5C9" w14:textId="77777777" w:rsidR="003D7346" w:rsidRPr="000D515D" w:rsidRDefault="003D7346" w:rsidP="0045031A">
      <w:pPr>
        <w:pStyle w:val="Heading1-continued"/>
      </w:pPr>
      <w:r>
        <w:t>Northern Territory Police Supplementary Benefit Scheme cont…</w:t>
      </w:r>
    </w:p>
    <w:p w14:paraId="44776B96" w14:textId="77777777" w:rsidR="003D7346" w:rsidRDefault="003D7346" w:rsidP="003D7346">
      <w:pPr>
        <w:pStyle w:val="Heading3"/>
      </w:pPr>
      <w:r>
        <w:t>Audit Observations</w:t>
      </w:r>
    </w:p>
    <w:p w14:paraId="346742D8" w14:textId="77777777" w:rsidR="003D7346" w:rsidRDefault="003D7346" w:rsidP="003D7346">
      <w:r w:rsidRPr="0007304D">
        <w:t>The audit did not identify any material weaknesses in controls.</w:t>
      </w:r>
    </w:p>
    <w:p w14:paraId="787C1AC7" w14:textId="77777777" w:rsidR="003D7346" w:rsidRPr="00AB1BB4" w:rsidRDefault="003D7346" w:rsidP="003D7346">
      <w:pPr>
        <w:pStyle w:val="Heading4"/>
      </w:pPr>
      <w:r w:rsidRPr="00AB1BB4">
        <w:t>Performance Overview</w:t>
      </w:r>
    </w:p>
    <w:p w14:paraId="4C1C3AFB" w14:textId="48312233" w:rsidR="005A7AF7" w:rsidRDefault="005A7AF7" w:rsidP="005A7AF7">
      <w:r w:rsidRPr="000C7252">
        <w:t xml:space="preserve">Net assets of the Scheme decreased by $1,563,493 to $13,113 (2019: $1,576,606) primarily due to the correction of </w:t>
      </w:r>
      <w:r w:rsidR="004630CA">
        <w:t>a</w:t>
      </w:r>
      <w:r w:rsidRPr="000C7252">
        <w:t xml:space="preserve"> prior period error which resulted in $1,574,862 being reclassified from unallocated surplus to benefits payable. </w:t>
      </w:r>
    </w:p>
    <w:p w14:paraId="720F7E3B" w14:textId="77777777" w:rsidR="005A7AF7" w:rsidRDefault="005A7AF7" w:rsidP="005A7AF7">
      <w:r w:rsidRPr="009F5DCE">
        <w:t>Income decreased by $166,147 to $5,955 (2019: $172,102) largely due to a decrease in distributions from investments of $35,669, a decrease</w:t>
      </w:r>
      <w:r>
        <w:t xml:space="preserve"> in the ‘net change in fair value of investments’ of $117,890 reflecting the investment environment during the year, and a decrease in member contributions of $7,927 reflecting the lower number of members as several members exited the fund.</w:t>
      </w:r>
    </w:p>
    <w:p w14:paraId="576A8F79" w14:textId="4F4E86B6" w:rsidR="005A7AF7" w:rsidRDefault="005A7AF7" w:rsidP="005A7AF7">
      <w:r>
        <w:t>Benefits expense</w:t>
      </w:r>
      <w:r w:rsidRPr="009F5DCE">
        <w:t xml:space="preserve"> decreased by $</w:t>
      </w:r>
      <w:r>
        <w:t>195,090</w:t>
      </w:r>
      <w:r w:rsidRPr="009F5DCE">
        <w:t xml:space="preserve"> to </w:t>
      </w:r>
      <w:r>
        <w:t>(</w:t>
      </w:r>
      <w:r w:rsidRPr="009F5DCE">
        <w:t>$</w:t>
      </w:r>
      <w:r>
        <w:t xml:space="preserve">2,140) in comparison to </w:t>
      </w:r>
      <w:r w:rsidRPr="009F5DCE">
        <w:t>$</w:t>
      </w:r>
      <w:r>
        <w:t>192,950 in 2019</w:t>
      </w:r>
      <w:r w:rsidRPr="009F5DCE">
        <w:t>.</w:t>
      </w:r>
      <w:r>
        <w:t xml:space="preserve"> The benefits expense includes an adjustment relating to the prior period so as to include the expense relating to member’s benefits which were previously not accounted for in</w:t>
      </w:r>
      <w:r w:rsidR="00A715EB">
        <w:t xml:space="preserve"> liabilities (as </w:t>
      </w:r>
      <w:r w:rsidR="00DC1838">
        <w:t>reported</w:t>
      </w:r>
      <w:r w:rsidR="00A715EB">
        <w:t xml:space="preserve"> above). </w:t>
      </w:r>
      <w:r>
        <w:t xml:space="preserve">This expense now includes payments made to the Territory when members leave the scheme and the movement in the overall payables </w:t>
      </w:r>
      <w:r w:rsidR="004630CA">
        <w:t xml:space="preserve">ultimately due </w:t>
      </w:r>
      <w:r>
        <w:t>to members at year</w:t>
      </w:r>
      <w:r>
        <w:noBreakHyphen/>
        <w:t>end.</w:t>
      </w:r>
    </w:p>
    <w:p w14:paraId="2E0F007B" w14:textId="77777777" w:rsidR="00835A8C" w:rsidRPr="00F30939" w:rsidRDefault="00835A8C" w:rsidP="0045031A">
      <w:pPr>
        <w:pStyle w:val="Heading1-continued"/>
      </w:pPr>
      <w:r>
        <w:t>Northern Territory Police Supplementary Benefit Scheme</w:t>
      </w:r>
      <w:r w:rsidRPr="00F30939">
        <w:t xml:space="preserve"> cont…</w:t>
      </w:r>
    </w:p>
    <w:p w14:paraId="10923B43" w14:textId="77777777" w:rsidR="00835A8C" w:rsidRPr="00F30939" w:rsidRDefault="00835A8C" w:rsidP="00835A8C">
      <w:pPr>
        <w:pStyle w:val="Heading2"/>
      </w:pPr>
      <w:r>
        <w:t>Abridged Income Statement</w:t>
      </w:r>
      <w:r w:rsidRPr="00F30939">
        <w:t xml:space="preserve"> for the year</w:t>
      </w:r>
    </w:p>
    <w:tbl>
      <w:tblPr>
        <w:tblW w:w="9242" w:type="dxa"/>
        <w:tblLayout w:type="fixed"/>
        <w:tblLook w:val="04A0" w:firstRow="1" w:lastRow="0" w:firstColumn="1" w:lastColumn="0" w:noHBand="0" w:noVBand="1"/>
        <w:tblCaption w:val="Abridged Income Statement for the year"/>
        <w:tblDescription w:val="Abridged Income Statement information for the current and prior year"/>
      </w:tblPr>
      <w:tblGrid>
        <w:gridCol w:w="6204"/>
        <w:gridCol w:w="1519"/>
        <w:gridCol w:w="1519"/>
      </w:tblGrid>
      <w:tr w:rsidR="00835A8C" w:rsidRPr="00F30939" w14:paraId="517A85C9" w14:textId="77777777" w:rsidTr="00835A8C">
        <w:trPr>
          <w:cantSplit/>
          <w:trHeight w:val="454"/>
          <w:tblHeader/>
        </w:trPr>
        <w:tc>
          <w:tcPr>
            <w:tcW w:w="6204" w:type="dxa"/>
            <w:tcBorders>
              <w:bottom w:val="single" w:sz="4" w:space="0" w:color="auto"/>
            </w:tcBorders>
          </w:tcPr>
          <w:p w14:paraId="54F8453E" w14:textId="77777777" w:rsidR="00835A8C" w:rsidRPr="00F30939" w:rsidRDefault="00835A8C" w:rsidP="00835A8C"/>
        </w:tc>
        <w:tc>
          <w:tcPr>
            <w:tcW w:w="1519" w:type="dxa"/>
            <w:tcBorders>
              <w:bottom w:val="single" w:sz="4" w:space="0" w:color="auto"/>
            </w:tcBorders>
          </w:tcPr>
          <w:p w14:paraId="53853570" w14:textId="77777777" w:rsidR="00835A8C" w:rsidRPr="007165BD" w:rsidRDefault="00835A8C" w:rsidP="00835A8C">
            <w:pPr>
              <w:jc w:val="center"/>
              <w:rPr>
                <w:b/>
              </w:rPr>
            </w:pPr>
            <w:r>
              <w:rPr>
                <w:b/>
              </w:rPr>
              <w:t>2020</w:t>
            </w:r>
          </w:p>
        </w:tc>
        <w:tc>
          <w:tcPr>
            <w:tcW w:w="1519" w:type="dxa"/>
            <w:tcBorders>
              <w:bottom w:val="single" w:sz="4" w:space="0" w:color="auto"/>
            </w:tcBorders>
          </w:tcPr>
          <w:p w14:paraId="385FE254" w14:textId="77777777" w:rsidR="00835A8C" w:rsidRPr="007165BD" w:rsidRDefault="00835A8C" w:rsidP="00835A8C">
            <w:pPr>
              <w:jc w:val="center"/>
              <w:rPr>
                <w:b/>
              </w:rPr>
            </w:pPr>
            <w:r>
              <w:rPr>
                <w:b/>
              </w:rPr>
              <w:t>2019</w:t>
            </w:r>
          </w:p>
        </w:tc>
      </w:tr>
      <w:tr w:rsidR="00835A8C" w:rsidRPr="00F30939" w14:paraId="5F968E7B" w14:textId="77777777" w:rsidTr="00835A8C">
        <w:trPr>
          <w:cantSplit/>
          <w:trHeight w:val="454"/>
          <w:tblHeader/>
        </w:trPr>
        <w:tc>
          <w:tcPr>
            <w:tcW w:w="6204" w:type="dxa"/>
            <w:tcBorders>
              <w:top w:val="single" w:sz="4" w:space="0" w:color="auto"/>
            </w:tcBorders>
          </w:tcPr>
          <w:p w14:paraId="646B3E9E" w14:textId="77777777" w:rsidR="00835A8C" w:rsidRPr="00F30939" w:rsidRDefault="00835A8C" w:rsidP="00835A8C"/>
        </w:tc>
        <w:tc>
          <w:tcPr>
            <w:tcW w:w="1519" w:type="dxa"/>
            <w:tcBorders>
              <w:top w:val="single" w:sz="4" w:space="0" w:color="auto"/>
            </w:tcBorders>
          </w:tcPr>
          <w:p w14:paraId="014E21FF" w14:textId="77777777" w:rsidR="00835A8C" w:rsidRPr="007165BD" w:rsidRDefault="00835A8C" w:rsidP="00835A8C">
            <w:pPr>
              <w:jc w:val="center"/>
              <w:rPr>
                <w:b/>
              </w:rPr>
            </w:pPr>
            <w:r w:rsidRPr="007165BD">
              <w:rPr>
                <w:b/>
              </w:rPr>
              <w:t>$’000</w:t>
            </w:r>
          </w:p>
        </w:tc>
        <w:tc>
          <w:tcPr>
            <w:tcW w:w="1519" w:type="dxa"/>
            <w:tcBorders>
              <w:top w:val="single" w:sz="4" w:space="0" w:color="auto"/>
            </w:tcBorders>
          </w:tcPr>
          <w:p w14:paraId="2D7AEB03" w14:textId="77777777" w:rsidR="00835A8C" w:rsidRPr="007165BD" w:rsidRDefault="00835A8C" w:rsidP="00835A8C">
            <w:pPr>
              <w:jc w:val="center"/>
              <w:rPr>
                <w:b/>
              </w:rPr>
            </w:pPr>
            <w:r w:rsidRPr="007165BD">
              <w:rPr>
                <w:b/>
              </w:rPr>
              <w:t>$’000</w:t>
            </w:r>
          </w:p>
        </w:tc>
      </w:tr>
      <w:tr w:rsidR="00835A8C" w:rsidRPr="007165BD" w14:paraId="52BE1A0E" w14:textId="77777777" w:rsidTr="00835A8C">
        <w:trPr>
          <w:cantSplit/>
          <w:trHeight w:val="454"/>
        </w:trPr>
        <w:tc>
          <w:tcPr>
            <w:tcW w:w="6204" w:type="dxa"/>
          </w:tcPr>
          <w:p w14:paraId="2DE4F976" w14:textId="77777777" w:rsidR="00835A8C" w:rsidRPr="007165BD" w:rsidRDefault="00835A8C" w:rsidP="00835A8C">
            <w:pPr>
              <w:rPr>
                <w:b/>
              </w:rPr>
            </w:pPr>
            <w:r w:rsidRPr="007165BD">
              <w:rPr>
                <w:b/>
              </w:rPr>
              <w:t>Income</w:t>
            </w:r>
          </w:p>
        </w:tc>
        <w:tc>
          <w:tcPr>
            <w:tcW w:w="1519" w:type="dxa"/>
          </w:tcPr>
          <w:p w14:paraId="4442EDE5" w14:textId="77777777" w:rsidR="00835A8C" w:rsidRPr="007165BD" w:rsidRDefault="00835A8C" w:rsidP="00835A8C">
            <w:pPr>
              <w:tabs>
                <w:tab w:val="clear" w:pos="1378"/>
                <w:tab w:val="decimal" w:pos="1020"/>
              </w:tabs>
              <w:rPr>
                <w:b/>
              </w:rPr>
            </w:pPr>
          </w:p>
        </w:tc>
        <w:tc>
          <w:tcPr>
            <w:tcW w:w="1519" w:type="dxa"/>
          </w:tcPr>
          <w:p w14:paraId="56AD55B6" w14:textId="77777777" w:rsidR="00835A8C" w:rsidRPr="007165BD" w:rsidRDefault="00835A8C" w:rsidP="00835A8C">
            <w:pPr>
              <w:tabs>
                <w:tab w:val="clear" w:pos="1378"/>
                <w:tab w:val="decimal" w:pos="1020"/>
              </w:tabs>
              <w:rPr>
                <w:b/>
              </w:rPr>
            </w:pPr>
          </w:p>
        </w:tc>
      </w:tr>
      <w:tr w:rsidR="00835A8C" w:rsidRPr="00F30939" w14:paraId="5D6F7E54" w14:textId="77777777" w:rsidTr="00835A8C">
        <w:trPr>
          <w:cantSplit/>
          <w:trHeight w:val="454"/>
        </w:trPr>
        <w:tc>
          <w:tcPr>
            <w:tcW w:w="6204" w:type="dxa"/>
          </w:tcPr>
          <w:p w14:paraId="61FA7D5A" w14:textId="77777777" w:rsidR="00835A8C" w:rsidRPr="00DC306B" w:rsidRDefault="00835A8C" w:rsidP="00835A8C">
            <w:r w:rsidRPr="00DC306B">
              <w:t>Interest</w:t>
            </w:r>
          </w:p>
        </w:tc>
        <w:tc>
          <w:tcPr>
            <w:tcW w:w="1519" w:type="dxa"/>
          </w:tcPr>
          <w:p w14:paraId="61A7BF9C" w14:textId="77777777" w:rsidR="00835A8C" w:rsidRPr="00F30939" w:rsidRDefault="00835A8C" w:rsidP="00835A8C">
            <w:pPr>
              <w:tabs>
                <w:tab w:val="clear" w:pos="1378"/>
                <w:tab w:val="decimal" w:pos="1020"/>
              </w:tabs>
            </w:pPr>
            <w:r>
              <w:t>-</w:t>
            </w:r>
          </w:p>
        </w:tc>
        <w:tc>
          <w:tcPr>
            <w:tcW w:w="1519" w:type="dxa"/>
          </w:tcPr>
          <w:p w14:paraId="7B6E9C4F" w14:textId="77777777" w:rsidR="00835A8C" w:rsidRPr="00F30939" w:rsidRDefault="00835A8C" w:rsidP="00835A8C">
            <w:pPr>
              <w:tabs>
                <w:tab w:val="clear" w:pos="1378"/>
                <w:tab w:val="decimal" w:pos="1020"/>
              </w:tabs>
            </w:pPr>
            <w:r>
              <w:t>1</w:t>
            </w:r>
          </w:p>
        </w:tc>
      </w:tr>
      <w:tr w:rsidR="00835A8C" w:rsidRPr="00F30939" w14:paraId="30AE6D43" w14:textId="77777777" w:rsidTr="00835A8C">
        <w:trPr>
          <w:cantSplit/>
          <w:trHeight w:val="454"/>
        </w:trPr>
        <w:tc>
          <w:tcPr>
            <w:tcW w:w="6204" w:type="dxa"/>
          </w:tcPr>
          <w:p w14:paraId="194E51A2" w14:textId="77777777" w:rsidR="00835A8C" w:rsidRPr="00DC306B" w:rsidRDefault="00835A8C" w:rsidP="00835A8C">
            <w:r w:rsidRPr="00DC306B">
              <w:t>Distribution from investments</w:t>
            </w:r>
          </w:p>
        </w:tc>
        <w:tc>
          <w:tcPr>
            <w:tcW w:w="1519" w:type="dxa"/>
          </w:tcPr>
          <w:p w14:paraId="6C9E63A7" w14:textId="77777777" w:rsidR="00835A8C" w:rsidRPr="00F30939" w:rsidRDefault="00835A8C" w:rsidP="00835A8C">
            <w:pPr>
              <w:tabs>
                <w:tab w:val="clear" w:pos="1378"/>
                <w:tab w:val="decimal" w:pos="1020"/>
              </w:tabs>
            </w:pPr>
            <w:r>
              <w:t>84</w:t>
            </w:r>
          </w:p>
        </w:tc>
        <w:tc>
          <w:tcPr>
            <w:tcW w:w="1519" w:type="dxa"/>
          </w:tcPr>
          <w:p w14:paraId="1361F987" w14:textId="77777777" w:rsidR="00835A8C" w:rsidRPr="00F30939" w:rsidRDefault="00835A8C" w:rsidP="00835A8C">
            <w:pPr>
              <w:tabs>
                <w:tab w:val="clear" w:pos="1378"/>
                <w:tab w:val="decimal" w:pos="1020"/>
              </w:tabs>
            </w:pPr>
            <w:r>
              <w:t>119</w:t>
            </w:r>
          </w:p>
        </w:tc>
      </w:tr>
      <w:tr w:rsidR="00835A8C" w:rsidRPr="00F30939" w14:paraId="118B6F41" w14:textId="77777777" w:rsidTr="00835A8C">
        <w:trPr>
          <w:cantSplit/>
          <w:trHeight w:val="454"/>
        </w:trPr>
        <w:tc>
          <w:tcPr>
            <w:tcW w:w="6204" w:type="dxa"/>
          </w:tcPr>
          <w:p w14:paraId="2EA2662D" w14:textId="77777777" w:rsidR="00835A8C" w:rsidRPr="00DC306B" w:rsidRDefault="00835A8C" w:rsidP="00835A8C">
            <w:r w:rsidRPr="00DC306B">
              <w:t>Movement in net market value of investments</w:t>
            </w:r>
          </w:p>
        </w:tc>
        <w:tc>
          <w:tcPr>
            <w:tcW w:w="1519" w:type="dxa"/>
          </w:tcPr>
          <w:p w14:paraId="2736A716" w14:textId="77777777" w:rsidR="00835A8C" w:rsidRPr="00F30939" w:rsidRDefault="00835A8C" w:rsidP="00835A8C">
            <w:pPr>
              <w:tabs>
                <w:tab w:val="clear" w:pos="1378"/>
                <w:tab w:val="decimal" w:pos="1020"/>
              </w:tabs>
            </w:pPr>
            <w:r>
              <w:t>(114)</w:t>
            </w:r>
          </w:p>
        </w:tc>
        <w:tc>
          <w:tcPr>
            <w:tcW w:w="1519" w:type="dxa"/>
          </w:tcPr>
          <w:p w14:paraId="76B4CF8E" w14:textId="77777777" w:rsidR="00835A8C" w:rsidRPr="00F30939" w:rsidRDefault="00835A8C" w:rsidP="00835A8C">
            <w:pPr>
              <w:tabs>
                <w:tab w:val="clear" w:pos="1378"/>
                <w:tab w:val="decimal" w:pos="1020"/>
              </w:tabs>
            </w:pPr>
            <w:r>
              <w:t>4</w:t>
            </w:r>
          </w:p>
        </w:tc>
      </w:tr>
      <w:tr w:rsidR="00835A8C" w:rsidRPr="00F30939" w14:paraId="466594FD" w14:textId="77777777" w:rsidTr="00835A8C">
        <w:trPr>
          <w:cantSplit/>
          <w:trHeight w:val="454"/>
        </w:trPr>
        <w:tc>
          <w:tcPr>
            <w:tcW w:w="6204" w:type="dxa"/>
          </w:tcPr>
          <w:p w14:paraId="2D37BD0C" w14:textId="77777777" w:rsidR="00835A8C" w:rsidRDefault="00835A8C" w:rsidP="00835A8C">
            <w:r w:rsidRPr="00DC306B">
              <w:t>Member revenue</w:t>
            </w:r>
          </w:p>
        </w:tc>
        <w:tc>
          <w:tcPr>
            <w:tcW w:w="1519" w:type="dxa"/>
          </w:tcPr>
          <w:p w14:paraId="4E5C442F" w14:textId="77777777" w:rsidR="00835A8C" w:rsidRDefault="00835A8C" w:rsidP="00835A8C">
            <w:pPr>
              <w:tabs>
                <w:tab w:val="clear" w:pos="1378"/>
                <w:tab w:val="decimal" w:pos="1020"/>
              </w:tabs>
            </w:pPr>
            <w:r>
              <w:t>36</w:t>
            </w:r>
          </w:p>
        </w:tc>
        <w:tc>
          <w:tcPr>
            <w:tcW w:w="1519" w:type="dxa"/>
          </w:tcPr>
          <w:p w14:paraId="44B09C36" w14:textId="77777777" w:rsidR="00835A8C" w:rsidRDefault="00835A8C" w:rsidP="00835A8C">
            <w:pPr>
              <w:tabs>
                <w:tab w:val="clear" w:pos="1378"/>
                <w:tab w:val="decimal" w:pos="1020"/>
              </w:tabs>
            </w:pPr>
            <w:r>
              <w:t>48</w:t>
            </w:r>
          </w:p>
        </w:tc>
      </w:tr>
      <w:tr w:rsidR="00835A8C" w:rsidRPr="007165BD" w14:paraId="6FC4DD85" w14:textId="77777777" w:rsidTr="00835A8C">
        <w:trPr>
          <w:cantSplit/>
          <w:trHeight w:val="454"/>
        </w:trPr>
        <w:tc>
          <w:tcPr>
            <w:tcW w:w="6204" w:type="dxa"/>
            <w:tcBorders>
              <w:bottom w:val="single" w:sz="4" w:space="0" w:color="auto"/>
            </w:tcBorders>
          </w:tcPr>
          <w:p w14:paraId="421191CA" w14:textId="77777777" w:rsidR="00835A8C" w:rsidRPr="007165BD" w:rsidRDefault="00835A8C" w:rsidP="00835A8C">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3712D118" w14:textId="77777777" w:rsidR="00835A8C" w:rsidRPr="007165BD" w:rsidRDefault="00835A8C" w:rsidP="00835A8C">
            <w:pPr>
              <w:tabs>
                <w:tab w:val="clear" w:pos="1378"/>
                <w:tab w:val="decimal" w:pos="1020"/>
              </w:tabs>
              <w:rPr>
                <w:b/>
              </w:rPr>
            </w:pPr>
            <w:r>
              <w:rPr>
                <w:b/>
              </w:rPr>
              <w:t>6</w:t>
            </w:r>
          </w:p>
        </w:tc>
        <w:tc>
          <w:tcPr>
            <w:tcW w:w="1519" w:type="dxa"/>
            <w:tcBorders>
              <w:bottom w:val="single" w:sz="4" w:space="0" w:color="auto"/>
            </w:tcBorders>
          </w:tcPr>
          <w:p w14:paraId="67EC4FF8" w14:textId="77777777" w:rsidR="00835A8C" w:rsidRPr="007165BD" w:rsidRDefault="00835A8C" w:rsidP="00835A8C">
            <w:pPr>
              <w:tabs>
                <w:tab w:val="clear" w:pos="1378"/>
                <w:tab w:val="decimal" w:pos="1020"/>
              </w:tabs>
              <w:rPr>
                <w:b/>
              </w:rPr>
            </w:pPr>
            <w:r>
              <w:rPr>
                <w:b/>
              </w:rPr>
              <w:t>172</w:t>
            </w:r>
          </w:p>
        </w:tc>
      </w:tr>
      <w:tr w:rsidR="00835A8C" w:rsidRPr="007165BD" w14:paraId="06C25D9E" w14:textId="77777777" w:rsidTr="00835A8C">
        <w:trPr>
          <w:cantSplit/>
          <w:trHeight w:val="454"/>
        </w:trPr>
        <w:tc>
          <w:tcPr>
            <w:tcW w:w="6204" w:type="dxa"/>
            <w:tcBorders>
              <w:top w:val="single" w:sz="4" w:space="0" w:color="auto"/>
            </w:tcBorders>
          </w:tcPr>
          <w:p w14:paraId="6E731DE4" w14:textId="77777777" w:rsidR="00835A8C" w:rsidRPr="007165BD" w:rsidRDefault="00835A8C" w:rsidP="00835A8C">
            <w:pPr>
              <w:rPr>
                <w:b/>
              </w:rPr>
            </w:pPr>
            <w:r>
              <w:rPr>
                <w:b/>
              </w:rPr>
              <w:t>Expenditure</w:t>
            </w:r>
          </w:p>
        </w:tc>
        <w:tc>
          <w:tcPr>
            <w:tcW w:w="1519" w:type="dxa"/>
            <w:tcBorders>
              <w:top w:val="single" w:sz="4" w:space="0" w:color="auto"/>
            </w:tcBorders>
          </w:tcPr>
          <w:p w14:paraId="514EA74B" w14:textId="77777777" w:rsidR="00835A8C" w:rsidRPr="007165BD" w:rsidRDefault="00835A8C" w:rsidP="00835A8C">
            <w:pPr>
              <w:tabs>
                <w:tab w:val="clear" w:pos="1378"/>
                <w:tab w:val="decimal" w:pos="1020"/>
              </w:tabs>
              <w:rPr>
                <w:b/>
              </w:rPr>
            </w:pPr>
          </w:p>
        </w:tc>
        <w:tc>
          <w:tcPr>
            <w:tcW w:w="1519" w:type="dxa"/>
            <w:tcBorders>
              <w:top w:val="single" w:sz="4" w:space="0" w:color="auto"/>
            </w:tcBorders>
          </w:tcPr>
          <w:p w14:paraId="5174BEA3" w14:textId="77777777" w:rsidR="00835A8C" w:rsidRPr="007165BD" w:rsidRDefault="00835A8C" w:rsidP="00835A8C">
            <w:pPr>
              <w:tabs>
                <w:tab w:val="clear" w:pos="1378"/>
                <w:tab w:val="decimal" w:pos="1020"/>
              </w:tabs>
              <w:rPr>
                <w:b/>
              </w:rPr>
            </w:pPr>
          </w:p>
        </w:tc>
      </w:tr>
      <w:tr w:rsidR="00835A8C" w:rsidRPr="00F30939" w14:paraId="038FC5AE" w14:textId="77777777" w:rsidTr="00835A8C">
        <w:trPr>
          <w:cantSplit/>
          <w:trHeight w:val="454"/>
        </w:trPr>
        <w:tc>
          <w:tcPr>
            <w:tcW w:w="6204" w:type="dxa"/>
          </w:tcPr>
          <w:p w14:paraId="698E272D" w14:textId="77777777" w:rsidR="00835A8C" w:rsidRPr="00F30939" w:rsidRDefault="00835A8C" w:rsidP="00835A8C">
            <w:r>
              <w:t>Benefits</w:t>
            </w:r>
          </w:p>
        </w:tc>
        <w:tc>
          <w:tcPr>
            <w:tcW w:w="1519" w:type="dxa"/>
          </w:tcPr>
          <w:p w14:paraId="0D81CCB5" w14:textId="77777777" w:rsidR="00835A8C" w:rsidRPr="00F30939" w:rsidRDefault="00835A8C" w:rsidP="00835A8C">
            <w:pPr>
              <w:tabs>
                <w:tab w:val="clear" w:pos="1378"/>
                <w:tab w:val="decimal" w:pos="1020"/>
              </w:tabs>
            </w:pPr>
          </w:p>
        </w:tc>
        <w:tc>
          <w:tcPr>
            <w:tcW w:w="1519" w:type="dxa"/>
          </w:tcPr>
          <w:p w14:paraId="4796E9AF" w14:textId="77777777" w:rsidR="00835A8C" w:rsidRPr="00F30939" w:rsidRDefault="00835A8C" w:rsidP="00835A8C">
            <w:pPr>
              <w:tabs>
                <w:tab w:val="clear" w:pos="1378"/>
                <w:tab w:val="decimal" w:pos="1020"/>
              </w:tabs>
            </w:pPr>
          </w:p>
        </w:tc>
      </w:tr>
      <w:tr w:rsidR="00835A8C" w:rsidRPr="00F30939" w14:paraId="23516B8D" w14:textId="77777777" w:rsidTr="00835A8C">
        <w:trPr>
          <w:cantSplit/>
          <w:trHeight w:val="454"/>
        </w:trPr>
        <w:tc>
          <w:tcPr>
            <w:tcW w:w="6204" w:type="dxa"/>
          </w:tcPr>
          <w:p w14:paraId="3D9F554A" w14:textId="77777777" w:rsidR="00835A8C" w:rsidRPr="00DD1E55" w:rsidRDefault="00067150" w:rsidP="00835A8C">
            <w:pPr>
              <w:pStyle w:val="BodyTextFirstIndent"/>
            </w:pPr>
            <w:r>
              <w:t>Decrease in member liabilities</w:t>
            </w:r>
          </w:p>
        </w:tc>
        <w:tc>
          <w:tcPr>
            <w:tcW w:w="1519" w:type="dxa"/>
          </w:tcPr>
          <w:p w14:paraId="2497D0C0" w14:textId="77777777" w:rsidR="00835A8C" w:rsidRPr="00F30939" w:rsidRDefault="00067150" w:rsidP="00835A8C">
            <w:pPr>
              <w:tabs>
                <w:tab w:val="clear" w:pos="1378"/>
                <w:tab w:val="decimal" w:pos="1020"/>
              </w:tabs>
            </w:pPr>
            <w:r>
              <w:t>368</w:t>
            </w:r>
          </w:p>
        </w:tc>
        <w:tc>
          <w:tcPr>
            <w:tcW w:w="1519" w:type="dxa"/>
          </w:tcPr>
          <w:p w14:paraId="6F30198F" w14:textId="77777777" w:rsidR="00835A8C" w:rsidRPr="00F30939" w:rsidRDefault="00067150" w:rsidP="00835A8C">
            <w:pPr>
              <w:tabs>
                <w:tab w:val="clear" w:pos="1378"/>
                <w:tab w:val="decimal" w:pos="1020"/>
              </w:tabs>
            </w:pPr>
            <w:r>
              <w:t>249</w:t>
            </w:r>
          </w:p>
        </w:tc>
      </w:tr>
      <w:tr w:rsidR="00835A8C" w:rsidRPr="00F30939" w14:paraId="3A1C114E" w14:textId="77777777" w:rsidTr="00835A8C">
        <w:trPr>
          <w:cantSplit/>
          <w:trHeight w:val="454"/>
        </w:trPr>
        <w:tc>
          <w:tcPr>
            <w:tcW w:w="6204" w:type="dxa"/>
          </w:tcPr>
          <w:p w14:paraId="0597C995" w14:textId="77777777" w:rsidR="00835A8C" w:rsidRDefault="00835A8C" w:rsidP="00835A8C">
            <w:pPr>
              <w:pStyle w:val="BodyTextFirstIndent"/>
            </w:pPr>
            <w:r w:rsidRPr="00DD1E55">
              <w:t>Payment of accumulated contributions to the Territory</w:t>
            </w:r>
          </w:p>
        </w:tc>
        <w:tc>
          <w:tcPr>
            <w:tcW w:w="1519" w:type="dxa"/>
          </w:tcPr>
          <w:p w14:paraId="2B1D05F0" w14:textId="77777777" w:rsidR="00835A8C" w:rsidRPr="00F30939" w:rsidRDefault="00067150" w:rsidP="00835A8C">
            <w:pPr>
              <w:tabs>
                <w:tab w:val="clear" w:pos="1378"/>
                <w:tab w:val="decimal" w:pos="1020"/>
              </w:tabs>
            </w:pPr>
            <w:r>
              <w:t>(366)</w:t>
            </w:r>
          </w:p>
        </w:tc>
        <w:tc>
          <w:tcPr>
            <w:tcW w:w="1519" w:type="dxa"/>
          </w:tcPr>
          <w:p w14:paraId="1379937E" w14:textId="77777777" w:rsidR="00835A8C" w:rsidRPr="00F30939" w:rsidRDefault="00835A8C" w:rsidP="00835A8C">
            <w:pPr>
              <w:tabs>
                <w:tab w:val="clear" w:pos="1378"/>
                <w:tab w:val="decimal" w:pos="1020"/>
              </w:tabs>
            </w:pPr>
            <w:r>
              <w:t>(442)</w:t>
            </w:r>
          </w:p>
        </w:tc>
      </w:tr>
      <w:tr w:rsidR="00835A8C" w:rsidRPr="00F30939" w14:paraId="423765A3" w14:textId="77777777" w:rsidTr="00835A8C">
        <w:trPr>
          <w:cantSplit/>
          <w:trHeight w:val="454"/>
        </w:trPr>
        <w:tc>
          <w:tcPr>
            <w:tcW w:w="6204" w:type="dxa"/>
          </w:tcPr>
          <w:p w14:paraId="61D0B094" w14:textId="77777777" w:rsidR="00835A8C" w:rsidRPr="00F30939" w:rsidRDefault="00835A8C" w:rsidP="00835A8C">
            <w:r>
              <w:t>Other expenses</w:t>
            </w:r>
          </w:p>
        </w:tc>
        <w:tc>
          <w:tcPr>
            <w:tcW w:w="1519" w:type="dxa"/>
          </w:tcPr>
          <w:p w14:paraId="1E131667" w14:textId="77777777" w:rsidR="00835A8C" w:rsidRPr="00F30939" w:rsidRDefault="00067150" w:rsidP="00067150">
            <w:pPr>
              <w:tabs>
                <w:tab w:val="clear" w:pos="1378"/>
                <w:tab w:val="decimal" w:pos="1020"/>
              </w:tabs>
            </w:pPr>
            <w:r>
              <w:t>(5)</w:t>
            </w:r>
          </w:p>
        </w:tc>
        <w:tc>
          <w:tcPr>
            <w:tcW w:w="1519" w:type="dxa"/>
          </w:tcPr>
          <w:p w14:paraId="5D4F31D3" w14:textId="77777777" w:rsidR="00835A8C" w:rsidRPr="00F30939" w:rsidRDefault="00835A8C" w:rsidP="00835A8C">
            <w:pPr>
              <w:tabs>
                <w:tab w:val="clear" w:pos="1378"/>
                <w:tab w:val="decimal" w:pos="1020"/>
              </w:tabs>
            </w:pPr>
            <w:r>
              <w:t>(7)</w:t>
            </w:r>
          </w:p>
        </w:tc>
      </w:tr>
      <w:tr w:rsidR="00835A8C" w:rsidRPr="00AD3933" w14:paraId="46B2A5DD" w14:textId="77777777" w:rsidTr="00835A8C">
        <w:trPr>
          <w:cantSplit/>
          <w:trHeight w:val="454"/>
        </w:trPr>
        <w:tc>
          <w:tcPr>
            <w:tcW w:w="6204" w:type="dxa"/>
            <w:tcBorders>
              <w:bottom w:val="single" w:sz="4" w:space="0" w:color="auto"/>
            </w:tcBorders>
          </w:tcPr>
          <w:p w14:paraId="6242ECF6" w14:textId="77777777" w:rsidR="00835A8C" w:rsidRPr="00AD3933" w:rsidRDefault="00835A8C" w:rsidP="00835A8C">
            <w:pPr>
              <w:rPr>
                <w:b/>
              </w:rPr>
            </w:pPr>
            <w:r w:rsidRPr="00AD3933">
              <w:rPr>
                <w:b/>
              </w:rPr>
              <w:t xml:space="preserve">Total </w:t>
            </w:r>
            <w:r>
              <w:rPr>
                <w:b/>
              </w:rPr>
              <w:t>expenditure</w:t>
            </w:r>
          </w:p>
        </w:tc>
        <w:tc>
          <w:tcPr>
            <w:tcW w:w="1519" w:type="dxa"/>
            <w:tcBorders>
              <w:bottom w:val="single" w:sz="4" w:space="0" w:color="auto"/>
            </w:tcBorders>
          </w:tcPr>
          <w:p w14:paraId="3C8995E6" w14:textId="77777777" w:rsidR="00835A8C" w:rsidRPr="0073130B" w:rsidRDefault="00067150" w:rsidP="00835A8C">
            <w:pPr>
              <w:tabs>
                <w:tab w:val="clear" w:pos="1378"/>
                <w:tab w:val="decimal" w:pos="1020"/>
              </w:tabs>
              <w:rPr>
                <w:b/>
              </w:rPr>
            </w:pPr>
            <w:r>
              <w:rPr>
                <w:b/>
              </w:rPr>
              <w:t>(3)</w:t>
            </w:r>
          </w:p>
        </w:tc>
        <w:tc>
          <w:tcPr>
            <w:tcW w:w="1519" w:type="dxa"/>
            <w:tcBorders>
              <w:bottom w:val="single" w:sz="4" w:space="0" w:color="auto"/>
            </w:tcBorders>
          </w:tcPr>
          <w:p w14:paraId="05486E0D" w14:textId="77777777" w:rsidR="00835A8C" w:rsidRPr="0073130B" w:rsidRDefault="00835A8C" w:rsidP="00067150">
            <w:pPr>
              <w:tabs>
                <w:tab w:val="clear" w:pos="1378"/>
                <w:tab w:val="decimal" w:pos="1020"/>
              </w:tabs>
              <w:rPr>
                <w:b/>
              </w:rPr>
            </w:pPr>
            <w:r w:rsidRPr="0073130B">
              <w:rPr>
                <w:b/>
              </w:rPr>
              <w:t>(</w:t>
            </w:r>
            <w:r w:rsidR="00067150">
              <w:rPr>
                <w:b/>
              </w:rPr>
              <w:t>200</w:t>
            </w:r>
            <w:r w:rsidRPr="0073130B">
              <w:rPr>
                <w:b/>
              </w:rPr>
              <w:t>)</w:t>
            </w:r>
          </w:p>
        </w:tc>
      </w:tr>
      <w:tr w:rsidR="00835A8C" w:rsidRPr="007165BD" w14:paraId="73EADFEF" w14:textId="77777777" w:rsidTr="00835A8C">
        <w:trPr>
          <w:cantSplit/>
          <w:trHeight w:val="454"/>
        </w:trPr>
        <w:tc>
          <w:tcPr>
            <w:tcW w:w="6204" w:type="dxa"/>
            <w:tcBorders>
              <w:top w:val="single" w:sz="4" w:space="0" w:color="auto"/>
              <w:bottom w:val="single" w:sz="4" w:space="0" w:color="auto"/>
            </w:tcBorders>
          </w:tcPr>
          <w:p w14:paraId="4E91F184" w14:textId="77777777" w:rsidR="00835A8C" w:rsidRPr="0021404D" w:rsidRDefault="00835A8C" w:rsidP="00835A8C">
            <w:pPr>
              <w:rPr>
                <w:b/>
              </w:rPr>
            </w:pPr>
            <w:r w:rsidRPr="0021404D">
              <w:rPr>
                <w:b/>
              </w:rPr>
              <w:t>Revenue less expenses before income tax expense</w:t>
            </w:r>
          </w:p>
        </w:tc>
        <w:tc>
          <w:tcPr>
            <w:tcW w:w="1519" w:type="dxa"/>
            <w:tcBorders>
              <w:top w:val="single" w:sz="4" w:space="0" w:color="auto"/>
              <w:bottom w:val="single" w:sz="4" w:space="0" w:color="auto"/>
            </w:tcBorders>
          </w:tcPr>
          <w:p w14:paraId="4FEB33D0" w14:textId="77777777" w:rsidR="00835A8C" w:rsidRPr="007165BD" w:rsidRDefault="00067150" w:rsidP="00835A8C">
            <w:pPr>
              <w:tabs>
                <w:tab w:val="clear" w:pos="1378"/>
                <w:tab w:val="decimal" w:pos="1020"/>
              </w:tabs>
              <w:rPr>
                <w:b/>
              </w:rPr>
            </w:pPr>
            <w:r>
              <w:rPr>
                <w:b/>
              </w:rPr>
              <w:t>3</w:t>
            </w:r>
          </w:p>
        </w:tc>
        <w:tc>
          <w:tcPr>
            <w:tcW w:w="1519" w:type="dxa"/>
            <w:tcBorders>
              <w:top w:val="single" w:sz="4" w:space="0" w:color="auto"/>
              <w:bottom w:val="single" w:sz="4" w:space="0" w:color="auto"/>
            </w:tcBorders>
          </w:tcPr>
          <w:p w14:paraId="0D2F8AC2" w14:textId="77777777" w:rsidR="00835A8C" w:rsidRPr="007165BD" w:rsidRDefault="00067150" w:rsidP="00835A8C">
            <w:pPr>
              <w:tabs>
                <w:tab w:val="clear" w:pos="1378"/>
                <w:tab w:val="decimal" w:pos="1020"/>
              </w:tabs>
              <w:rPr>
                <w:b/>
              </w:rPr>
            </w:pPr>
            <w:r>
              <w:rPr>
                <w:b/>
              </w:rPr>
              <w:t>(28</w:t>
            </w:r>
            <w:r w:rsidR="00835A8C">
              <w:rPr>
                <w:b/>
              </w:rPr>
              <w:t>)</w:t>
            </w:r>
          </w:p>
        </w:tc>
      </w:tr>
      <w:tr w:rsidR="00835A8C" w:rsidRPr="007165BD" w14:paraId="47FB3E50" w14:textId="77777777" w:rsidTr="00835A8C">
        <w:trPr>
          <w:cantSplit/>
          <w:trHeight w:val="454"/>
        </w:trPr>
        <w:tc>
          <w:tcPr>
            <w:tcW w:w="6204" w:type="dxa"/>
            <w:tcBorders>
              <w:top w:val="single" w:sz="4" w:space="0" w:color="auto"/>
            </w:tcBorders>
          </w:tcPr>
          <w:p w14:paraId="149DBB27" w14:textId="77777777" w:rsidR="00835A8C" w:rsidRPr="00A46356" w:rsidRDefault="00835A8C" w:rsidP="00835A8C">
            <w:r w:rsidRPr="00A46356">
              <w:t xml:space="preserve">Income tax </w:t>
            </w:r>
            <w:r w:rsidR="00067150">
              <w:t>benefit/(</w:t>
            </w:r>
            <w:r w:rsidRPr="00A46356">
              <w:t>expense</w:t>
            </w:r>
            <w:r w:rsidR="00067150">
              <w:t>)</w:t>
            </w:r>
          </w:p>
        </w:tc>
        <w:tc>
          <w:tcPr>
            <w:tcW w:w="1519" w:type="dxa"/>
            <w:tcBorders>
              <w:top w:val="single" w:sz="4" w:space="0" w:color="auto"/>
            </w:tcBorders>
          </w:tcPr>
          <w:p w14:paraId="02218D3B" w14:textId="77777777" w:rsidR="00835A8C" w:rsidRPr="00A624C4" w:rsidRDefault="00067150" w:rsidP="00835A8C">
            <w:pPr>
              <w:tabs>
                <w:tab w:val="clear" w:pos="1378"/>
                <w:tab w:val="decimal" w:pos="1020"/>
              </w:tabs>
            </w:pPr>
            <w:r>
              <w:t>8</w:t>
            </w:r>
          </w:p>
        </w:tc>
        <w:tc>
          <w:tcPr>
            <w:tcW w:w="1519" w:type="dxa"/>
            <w:tcBorders>
              <w:top w:val="single" w:sz="4" w:space="0" w:color="auto"/>
            </w:tcBorders>
          </w:tcPr>
          <w:p w14:paraId="5C33BD8A" w14:textId="77777777" w:rsidR="00835A8C" w:rsidRPr="00A624C4" w:rsidRDefault="00835A8C" w:rsidP="00835A8C">
            <w:pPr>
              <w:tabs>
                <w:tab w:val="clear" w:pos="1378"/>
                <w:tab w:val="decimal" w:pos="1020"/>
              </w:tabs>
            </w:pPr>
            <w:r w:rsidRPr="00A624C4">
              <w:t>(3)</w:t>
            </w:r>
          </w:p>
        </w:tc>
      </w:tr>
      <w:tr w:rsidR="00835A8C" w:rsidRPr="007165BD" w14:paraId="791566E9" w14:textId="77777777" w:rsidTr="00835A8C">
        <w:trPr>
          <w:cantSplit/>
          <w:trHeight w:val="454"/>
        </w:trPr>
        <w:tc>
          <w:tcPr>
            <w:tcW w:w="6204" w:type="dxa"/>
            <w:tcBorders>
              <w:bottom w:val="single" w:sz="4" w:space="0" w:color="auto"/>
            </w:tcBorders>
          </w:tcPr>
          <w:p w14:paraId="0C92521E" w14:textId="77777777" w:rsidR="00835A8C" w:rsidRPr="0021404D" w:rsidRDefault="00835A8C" w:rsidP="00835A8C">
            <w:pPr>
              <w:rPr>
                <w:b/>
              </w:rPr>
            </w:pPr>
            <w:r w:rsidRPr="0021404D">
              <w:rPr>
                <w:b/>
              </w:rPr>
              <w:t>Change in net assets</w:t>
            </w:r>
          </w:p>
        </w:tc>
        <w:tc>
          <w:tcPr>
            <w:tcW w:w="1519" w:type="dxa"/>
            <w:tcBorders>
              <w:bottom w:val="single" w:sz="4" w:space="0" w:color="auto"/>
            </w:tcBorders>
          </w:tcPr>
          <w:p w14:paraId="6464EE36" w14:textId="77777777" w:rsidR="00835A8C" w:rsidRPr="007165BD" w:rsidRDefault="00067150" w:rsidP="00835A8C">
            <w:pPr>
              <w:tabs>
                <w:tab w:val="clear" w:pos="1378"/>
                <w:tab w:val="decimal" w:pos="1020"/>
              </w:tabs>
              <w:rPr>
                <w:b/>
              </w:rPr>
            </w:pPr>
            <w:r>
              <w:rPr>
                <w:b/>
              </w:rPr>
              <w:t>11</w:t>
            </w:r>
          </w:p>
        </w:tc>
        <w:tc>
          <w:tcPr>
            <w:tcW w:w="1519" w:type="dxa"/>
            <w:tcBorders>
              <w:bottom w:val="single" w:sz="4" w:space="0" w:color="auto"/>
            </w:tcBorders>
          </w:tcPr>
          <w:p w14:paraId="0F1378FE" w14:textId="77777777" w:rsidR="00835A8C" w:rsidRPr="007165BD" w:rsidRDefault="00835A8C" w:rsidP="00067150">
            <w:pPr>
              <w:tabs>
                <w:tab w:val="clear" w:pos="1378"/>
                <w:tab w:val="decimal" w:pos="1020"/>
              </w:tabs>
              <w:rPr>
                <w:b/>
              </w:rPr>
            </w:pPr>
            <w:r>
              <w:rPr>
                <w:b/>
              </w:rPr>
              <w:t>(</w:t>
            </w:r>
            <w:r w:rsidR="00067150">
              <w:rPr>
                <w:b/>
              </w:rPr>
              <w:t>31</w:t>
            </w:r>
            <w:r>
              <w:rPr>
                <w:b/>
              </w:rPr>
              <w:t>)</w:t>
            </w:r>
          </w:p>
        </w:tc>
      </w:tr>
    </w:tbl>
    <w:p w14:paraId="4519F327" w14:textId="77777777" w:rsidR="00835A8C" w:rsidRPr="00F30939" w:rsidRDefault="00835A8C" w:rsidP="00835A8C"/>
    <w:p w14:paraId="0F91F869" w14:textId="77777777" w:rsidR="00835A8C" w:rsidRPr="00F30939" w:rsidRDefault="00835A8C" w:rsidP="0045031A">
      <w:pPr>
        <w:pStyle w:val="Heading1-continued"/>
      </w:pPr>
      <w:r>
        <w:t>Northern Territory Police Supplementary Benefit Scheme</w:t>
      </w:r>
      <w:r w:rsidRPr="00F30939">
        <w:t xml:space="preserve"> cont…</w:t>
      </w:r>
    </w:p>
    <w:p w14:paraId="6DF3946E" w14:textId="77777777" w:rsidR="00835A8C" w:rsidRPr="00F30939" w:rsidRDefault="00835A8C" w:rsidP="00835A8C">
      <w:pPr>
        <w:pStyle w:val="Heading2"/>
      </w:pPr>
      <w:r w:rsidRPr="00F30939">
        <w:t>Financial Position at year end</w:t>
      </w:r>
    </w:p>
    <w:tbl>
      <w:tblPr>
        <w:tblW w:w="9100" w:type="dxa"/>
        <w:tblLayout w:type="fixed"/>
        <w:tblLook w:val="04A0" w:firstRow="1" w:lastRow="0" w:firstColumn="1" w:lastColumn="0" w:noHBand="0" w:noVBand="1"/>
        <w:tblCaption w:val="Financial Position at year end"/>
        <w:tblDescription w:val="Financial position information for the current and prior year&#10;"/>
      </w:tblPr>
      <w:tblGrid>
        <w:gridCol w:w="6062"/>
        <w:gridCol w:w="1519"/>
        <w:gridCol w:w="1519"/>
      </w:tblGrid>
      <w:tr w:rsidR="00835A8C" w:rsidRPr="00F30939" w14:paraId="66CD467E" w14:textId="77777777" w:rsidTr="00835A8C">
        <w:trPr>
          <w:cantSplit/>
          <w:trHeight w:val="454"/>
          <w:tblHeader/>
        </w:trPr>
        <w:tc>
          <w:tcPr>
            <w:tcW w:w="6062" w:type="dxa"/>
            <w:tcBorders>
              <w:bottom w:val="single" w:sz="4" w:space="0" w:color="auto"/>
            </w:tcBorders>
          </w:tcPr>
          <w:p w14:paraId="34923A52" w14:textId="77777777" w:rsidR="00835A8C" w:rsidRPr="00F30939" w:rsidRDefault="00835A8C" w:rsidP="00835A8C"/>
        </w:tc>
        <w:tc>
          <w:tcPr>
            <w:tcW w:w="1519" w:type="dxa"/>
            <w:tcBorders>
              <w:bottom w:val="single" w:sz="4" w:space="0" w:color="auto"/>
            </w:tcBorders>
          </w:tcPr>
          <w:p w14:paraId="68D42717" w14:textId="77777777" w:rsidR="00835A8C" w:rsidRPr="007165BD" w:rsidRDefault="00835A8C" w:rsidP="00835A8C">
            <w:pPr>
              <w:jc w:val="center"/>
              <w:rPr>
                <w:b/>
              </w:rPr>
            </w:pPr>
            <w:r>
              <w:rPr>
                <w:b/>
              </w:rPr>
              <w:t>2020</w:t>
            </w:r>
          </w:p>
        </w:tc>
        <w:tc>
          <w:tcPr>
            <w:tcW w:w="1519" w:type="dxa"/>
            <w:tcBorders>
              <w:bottom w:val="single" w:sz="4" w:space="0" w:color="auto"/>
            </w:tcBorders>
          </w:tcPr>
          <w:p w14:paraId="2DEC8C40" w14:textId="77777777" w:rsidR="00835A8C" w:rsidRPr="007165BD" w:rsidRDefault="00835A8C" w:rsidP="00835A8C">
            <w:pPr>
              <w:jc w:val="center"/>
              <w:rPr>
                <w:b/>
              </w:rPr>
            </w:pPr>
            <w:r>
              <w:rPr>
                <w:b/>
              </w:rPr>
              <w:t>2019</w:t>
            </w:r>
          </w:p>
        </w:tc>
      </w:tr>
      <w:tr w:rsidR="00835A8C" w:rsidRPr="00F30939" w14:paraId="370D56E0" w14:textId="77777777" w:rsidTr="00835A8C">
        <w:trPr>
          <w:cantSplit/>
          <w:trHeight w:val="454"/>
          <w:tblHeader/>
        </w:trPr>
        <w:tc>
          <w:tcPr>
            <w:tcW w:w="6062" w:type="dxa"/>
            <w:tcBorders>
              <w:top w:val="single" w:sz="4" w:space="0" w:color="auto"/>
            </w:tcBorders>
          </w:tcPr>
          <w:p w14:paraId="6C164868" w14:textId="77777777" w:rsidR="00835A8C" w:rsidRPr="00F30939" w:rsidRDefault="00835A8C" w:rsidP="00835A8C"/>
        </w:tc>
        <w:tc>
          <w:tcPr>
            <w:tcW w:w="1519" w:type="dxa"/>
            <w:tcBorders>
              <w:top w:val="single" w:sz="4" w:space="0" w:color="auto"/>
            </w:tcBorders>
          </w:tcPr>
          <w:p w14:paraId="2DE4A88E" w14:textId="77777777" w:rsidR="00835A8C" w:rsidRPr="007165BD" w:rsidRDefault="00835A8C" w:rsidP="00835A8C">
            <w:pPr>
              <w:jc w:val="center"/>
              <w:rPr>
                <w:b/>
              </w:rPr>
            </w:pPr>
            <w:r w:rsidRPr="007165BD">
              <w:rPr>
                <w:b/>
              </w:rPr>
              <w:t>$’000</w:t>
            </w:r>
          </w:p>
        </w:tc>
        <w:tc>
          <w:tcPr>
            <w:tcW w:w="1519" w:type="dxa"/>
            <w:tcBorders>
              <w:top w:val="single" w:sz="4" w:space="0" w:color="auto"/>
            </w:tcBorders>
          </w:tcPr>
          <w:p w14:paraId="38232348" w14:textId="77777777" w:rsidR="00835A8C" w:rsidRPr="007165BD" w:rsidRDefault="00835A8C" w:rsidP="00835A8C">
            <w:pPr>
              <w:jc w:val="center"/>
              <w:rPr>
                <w:b/>
              </w:rPr>
            </w:pPr>
            <w:r w:rsidRPr="007165BD">
              <w:rPr>
                <w:b/>
              </w:rPr>
              <w:t>$’000</w:t>
            </w:r>
          </w:p>
        </w:tc>
      </w:tr>
      <w:tr w:rsidR="00835A8C" w:rsidRPr="00F30939" w14:paraId="4CA9EC96" w14:textId="77777777" w:rsidTr="00835A8C">
        <w:trPr>
          <w:cantSplit/>
          <w:trHeight w:val="454"/>
        </w:trPr>
        <w:tc>
          <w:tcPr>
            <w:tcW w:w="6062" w:type="dxa"/>
            <w:vAlign w:val="bottom"/>
          </w:tcPr>
          <w:p w14:paraId="15CAA16D" w14:textId="77777777" w:rsidR="00835A8C" w:rsidRPr="00DD6ACC" w:rsidRDefault="00835A8C" w:rsidP="004630CA">
            <w:pPr>
              <w:contextualSpacing/>
            </w:pPr>
            <w:r w:rsidRPr="00DD6ACC">
              <w:t>Cash and cash equivalents</w:t>
            </w:r>
          </w:p>
        </w:tc>
        <w:tc>
          <w:tcPr>
            <w:tcW w:w="1519" w:type="dxa"/>
            <w:vAlign w:val="bottom"/>
          </w:tcPr>
          <w:p w14:paraId="199F821B" w14:textId="77777777" w:rsidR="00835A8C" w:rsidRPr="00F30939" w:rsidRDefault="00721003" w:rsidP="004630CA">
            <w:pPr>
              <w:tabs>
                <w:tab w:val="clear" w:pos="1378"/>
                <w:tab w:val="decimal" w:pos="1020"/>
              </w:tabs>
              <w:contextualSpacing/>
            </w:pPr>
            <w:r>
              <w:t>39</w:t>
            </w:r>
          </w:p>
        </w:tc>
        <w:tc>
          <w:tcPr>
            <w:tcW w:w="1519" w:type="dxa"/>
            <w:vAlign w:val="bottom"/>
          </w:tcPr>
          <w:p w14:paraId="174EFF6E" w14:textId="77777777" w:rsidR="00835A8C" w:rsidRPr="00F30939" w:rsidRDefault="00835A8C" w:rsidP="004630CA">
            <w:pPr>
              <w:tabs>
                <w:tab w:val="clear" w:pos="1378"/>
                <w:tab w:val="decimal" w:pos="1020"/>
              </w:tabs>
              <w:contextualSpacing/>
            </w:pPr>
            <w:r>
              <w:t>19</w:t>
            </w:r>
          </w:p>
        </w:tc>
      </w:tr>
      <w:tr w:rsidR="00835A8C" w:rsidRPr="00F30939" w14:paraId="19E9C7FE" w14:textId="77777777" w:rsidTr="00835A8C">
        <w:trPr>
          <w:cantSplit/>
          <w:trHeight w:val="568"/>
        </w:trPr>
        <w:tc>
          <w:tcPr>
            <w:tcW w:w="6062" w:type="dxa"/>
            <w:vAlign w:val="bottom"/>
          </w:tcPr>
          <w:p w14:paraId="2DE6173A" w14:textId="77777777" w:rsidR="00835A8C" w:rsidRPr="00DD6ACC" w:rsidRDefault="00835A8C" w:rsidP="004630CA">
            <w:r w:rsidRPr="00DD6ACC">
              <w:t>Investments and other current assets</w:t>
            </w:r>
          </w:p>
        </w:tc>
        <w:tc>
          <w:tcPr>
            <w:tcW w:w="1519" w:type="dxa"/>
            <w:vAlign w:val="bottom"/>
          </w:tcPr>
          <w:p w14:paraId="6F15D2A6" w14:textId="77777777" w:rsidR="00835A8C" w:rsidRPr="00F30939" w:rsidRDefault="00721003" w:rsidP="004630CA">
            <w:pPr>
              <w:tabs>
                <w:tab w:val="clear" w:pos="1378"/>
                <w:tab w:val="decimal" w:pos="1020"/>
              </w:tabs>
            </w:pPr>
            <w:r>
              <w:t>1,645</w:t>
            </w:r>
          </w:p>
        </w:tc>
        <w:tc>
          <w:tcPr>
            <w:tcW w:w="1519" w:type="dxa"/>
            <w:vAlign w:val="bottom"/>
          </w:tcPr>
          <w:p w14:paraId="333F2E8E" w14:textId="77777777" w:rsidR="00835A8C" w:rsidRPr="00F30939" w:rsidRDefault="00835A8C" w:rsidP="004630CA">
            <w:pPr>
              <w:tabs>
                <w:tab w:val="clear" w:pos="1378"/>
                <w:tab w:val="decimal" w:pos="1020"/>
              </w:tabs>
            </w:pPr>
            <w:r>
              <w:t>1,954</w:t>
            </w:r>
          </w:p>
        </w:tc>
      </w:tr>
      <w:tr w:rsidR="00835A8C" w:rsidRPr="00052614" w14:paraId="649CBBD2" w14:textId="77777777" w:rsidTr="00835A8C">
        <w:trPr>
          <w:cantSplit/>
          <w:trHeight w:val="454"/>
        </w:trPr>
        <w:tc>
          <w:tcPr>
            <w:tcW w:w="6062" w:type="dxa"/>
            <w:tcBorders>
              <w:bottom w:val="single" w:sz="4" w:space="0" w:color="auto"/>
            </w:tcBorders>
            <w:vAlign w:val="bottom"/>
          </w:tcPr>
          <w:p w14:paraId="38AA1CE9" w14:textId="77777777" w:rsidR="00835A8C" w:rsidRPr="00052614" w:rsidRDefault="00835A8C" w:rsidP="00835A8C">
            <w:pPr>
              <w:rPr>
                <w:b/>
              </w:rPr>
            </w:pPr>
            <w:r w:rsidRPr="00052614">
              <w:rPr>
                <w:b/>
              </w:rPr>
              <w:t>Total assets</w:t>
            </w:r>
          </w:p>
        </w:tc>
        <w:tc>
          <w:tcPr>
            <w:tcW w:w="1519" w:type="dxa"/>
            <w:tcBorders>
              <w:bottom w:val="single" w:sz="4" w:space="0" w:color="auto"/>
            </w:tcBorders>
            <w:vAlign w:val="bottom"/>
          </w:tcPr>
          <w:p w14:paraId="7123F4FA" w14:textId="77777777" w:rsidR="00835A8C" w:rsidRPr="007165BD" w:rsidRDefault="00721003" w:rsidP="00835A8C">
            <w:pPr>
              <w:tabs>
                <w:tab w:val="clear" w:pos="1378"/>
                <w:tab w:val="decimal" w:pos="1020"/>
              </w:tabs>
              <w:rPr>
                <w:b/>
              </w:rPr>
            </w:pPr>
            <w:r>
              <w:rPr>
                <w:b/>
              </w:rPr>
              <w:t>1,684</w:t>
            </w:r>
          </w:p>
        </w:tc>
        <w:tc>
          <w:tcPr>
            <w:tcW w:w="1519" w:type="dxa"/>
            <w:tcBorders>
              <w:bottom w:val="single" w:sz="4" w:space="0" w:color="auto"/>
            </w:tcBorders>
            <w:vAlign w:val="bottom"/>
          </w:tcPr>
          <w:p w14:paraId="0B7A0EF6" w14:textId="77777777" w:rsidR="00835A8C" w:rsidRPr="007165BD" w:rsidRDefault="00835A8C" w:rsidP="00835A8C">
            <w:pPr>
              <w:tabs>
                <w:tab w:val="clear" w:pos="1378"/>
                <w:tab w:val="decimal" w:pos="1020"/>
              </w:tabs>
              <w:rPr>
                <w:b/>
              </w:rPr>
            </w:pPr>
            <w:r>
              <w:rPr>
                <w:b/>
              </w:rPr>
              <w:t>1,973</w:t>
            </w:r>
          </w:p>
        </w:tc>
      </w:tr>
      <w:tr w:rsidR="00835A8C" w:rsidRPr="00F30939" w14:paraId="1247DC3C" w14:textId="77777777" w:rsidTr="00835A8C">
        <w:trPr>
          <w:cantSplit/>
          <w:trHeight w:val="454"/>
        </w:trPr>
        <w:tc>
          <w:tcPr>
            <w:tcW w:w="6062" w:type="dxa"/>
            <w:tcBorders>
              <w:top w:val="single" w:sz="4" w:space="0" w:color="auto"/>
            </w:tcBorders>
            <w:vAlign w:val="bottom"/>
          </w:tcPr>
          <w:p w14:paraId="6BDE59ED" w14:textId="77777777" w:rsidR="00835A8C" w:rsidRPr="00DD6ACC" w:rsidRDefault="00835A8C" w:rsidP="00835A8C">
            <w:r w:rsidRPr="00DD6ACC">
              <w:t>Less liabilities</w:t>
            </w:r>
          </w:p>
        </w:tc>
        <w:tc>
          <w:tcPr>
            <w:tcW w:w="1519" w:type="dxa"/>
            <w:tcBorders>
              <w:top w:val="single" w:sz="4" w:space="0" w:color="auto"/>
            </w:tcBorders>
            <w:vAlign w:val="bottom"/>
          </w:tcPr>
          <w:p w14:paraId="4C2CD5DA" w14:textId="77777777" w:rsidR="00835A8C" w:rsidRPr="00F30939" w:rsidRDefault="00721003" w:rsidP="00835A8C">
            <w:pPr>
              <w:tabs>
                <w:tab w:val="clear" w:pos="1378"/>
                <w:tab w:val="decimal" w:pos="1020"/>
              </w:tabs>
            </w:pPr>
            <w:r>
              <w:t>(1,671)</w:t>
            </w:r>
          </w:p>
        </w:tc>
        <w:tc>
          <w:tcPr>
            <w:tcW w:w="1519" w:type="dxa"/>
            <w:tcBorders>
              <w:top w:val="single" w:sz="4" w:space="0" w:color="auto"/>
            </w:tcBorders>
            <w:vAlign w:val="bottom"/>
          </w:tcPr>
          <w:p w14:paraId="6F14F6AA" w14:textId="77777777" w:rsidR="00835A8C" w:rsidRPr="00F30939" w:rsidRDefault="00835A8C" w:rsidP="00835A8C">
            <w:pPr>
              <w:tabs>
                <w:tab w:val="clear" w:pos="1378"/>
                <w:tab w:val="decimal" w:pos="1020"/>
              </w:tabs>
            </w:pPr>
            <w:r>
              <w:t>(396)</w:t>
            </w:r>
          </w:p>
        </w:tc>
      </w:tr>
      <w:tr w:rsidR="00835A8C" w:rsidRPr="00052614" w14:paraId="786F8C90" w14:textId="77777777" w:rsidTr="00835A8C">
        <w:trPr>
          <w:cantSplit/>
          <w:trHeight w:val="454"/>
        </w:trPr>
        <w:tc>
          <w:tcPr>
            <w:tcW w:w="6062" w:type="dxa"/>
            <w:tcBorders>
              <w:bottom w:val="single" w:sz="4" w:space="0" w:color="auto"/>
            </w:tcBorders>
            <w:vAlign w:val="bottom"/>
          </w:tcPr>
          <w:p w14:paraId="69D8A2AA" w14:textId="77777777" w:rsidR="00835A8C" w:rsidRPr="00052614" w:rsidRDefault="00835A8C" w:rsidP="00835A8C">
            <w:pPr>
              <w:rPr>
                <w:b/>
              </w:rPr>
            </w:pPr>
            <w:r w:rsidRPr="00052614">
              <w:rPr>
                <w:b/>
              </w:rPr>
              <w:t>Net assets</w:t>
            </w:r>
          </w:p>
        </w:tc>
        <w:tc>
          <w:tcPr>
            <w:tcW w:w="1519" w:type="dxa"/>
            <w:tcBorders>
              <w:bottom w:val="single" w:sz="4" w:space="0" w:color="auto"/>
            </w:tcBorders>
            <w:vAlign w:val="bottom"/>
          </w:tcPr>
          <w:p w14:paraId="36E54ECA" w14:textId="77777777" w:rsidR="00835A8C" w:rsidRPr="007165BD" w:rsidRDefault="00721003" w:rsidP="00835A8C">
            <w:pPr>
              <w:tabs>
                <w:tab w:val="clear" w:pos="1378"/>
                <w:tab w:val="decimal" w:pos="1020"/>
              </w:tabs>
              <w:rPr>
                <w:b/>
              </w:rPr>
            </w:pPr>
            <w:r>
              <w:rPr>
                <w:b/>
              </w:rPr>
              <w:t>13</w:t>
            </w:r>
          </w:p>
        </w:tc>
        <w:tc>
          <w:tcPr>
            <w:tcW w:w="1519" w:type="dxa"/>
            <w:tcBorders>
              <w:bottom w:val="single" w:sz="4" w:space="0" w:color="auto"/>
            </w:tcBorders>
            <w:vAlign w:val="bottom"/>
          </w:tcPr>
          <w:p w14:paraId="160C7EF7" w14:textId="77777777" w:rsidR="00835A8C" w:rsidRPr="007165BD" w:rsidRDefault="00835A8C" w:rsidP="00835A8C">
            <w:pPr>
              <w:tabs>
                <w:tab w:val="clear" w:pos="1378"/>
                <w:tab w:val="decimal" w:pos="1020"/>
              </w:tabs>
              <w:rPr>
                <w:b/>
              </w:rPr>
            </w:pPr>
            <w:r>
              <w:rPr>
                <w:b/>
              </w:rPr>
              <w:t>1,577</w:t>
            </w:r>
          </w:p>
        </w:tc>
      </w:tr>
      <w:tr w:rsidR="00835A8C" w:rsidRPr="006232C9" w14:paraId="44ECBAA7" w14:textId="77777777" w:rsidTr="00835A8C">
        <w:trPr>
          <w:cantSplit/>
          <w:trHeight w:val="854"/>
        </w:trPr>
        <w:tc>
          <w:tcPr>
            <w:tcW w:w="6062" w:type="dxa"/>
            <w:tcBorders>
              <w:top w:val="single" w:sz="4" w:space="0" w:color="auto"/>
            </w:tcBorders>
            <w:shd w:val="clear" w:color="auto" w:fill="auto"/>
            <w:vAlign w:val="bottom"/>
          </w:tcPr>
          <w:p w14:paraId="6A707169" w14:textId="77777777" w:rsidR="00835A8C" w:rsidRPr="006232C9" w:rsidRDefault="00835A8C" w:rsidP="00835A8C">
            <w:pPr>
              <w:rPr>
                <w:b/>
              </w:rPr>
            </w:pPr>
            <w:r w:rsidRPr="006232C9">
              <w:rPr>
                <w:b/>
              </w:rPr>
              <w:t>Vested benefits</w:t>
            </w:r>
          </w:p>
        </w:tc>
        <w:tc>
          <w:tcPr>
            <w:tcW w:w="1519" w:type="dxa"/>
            <w:tcBorders>
              <w:top w:val="single" w:sz="4" w:space="0" w:color="auto"/>
            </w:tcBorders>
            <w:shd w:val="clear" w:color="auto" w:fill="auto"/>
            <w:vAlign w:val="bottom"/>
          </w:tcPr>
          <w:p w14:paraId="76BBC825" w14:textId="77777777" w:rsidR="00835A8C" w:rsidRPr="006232C9" w:rsidRDefault="00835A8C" w:rsidP="00835A8C">
            <w:pPr>
              <w:tabs>
                <w:tab w:val="clear" w:pos="1378"/>
                <w:tab w:val="decimal" w:pos="1020"/>
              </w:tabs>
            </w:pPr>
          </w:p>
        </w:tc>
        <w:tc>
          <w:tcPr>
            <w:tcW w:w="1519" w:type="dxa"/>
            <w:tcBorders>
              <w:top w:val="single" w:sz="4" w:space="0" w:color="auto"/>
            </w:tcBorders>
            <w:shd w:val="clear" w:color="auto" w:fill="auto"/>
            <w:vAlign w:val="bottom"/>
          </w:tcPr>
          <w:p w14:paraId="1CFA2F13" w14:textId="77777777" w:rsidR="00835A8C" w:rsidRPr="006232C9" w:rsidRDefault="00835A8C" w:rsidP="00835A8C">
            <w:pPr>
              <w:tabs>
                <w:tab w:val="clear" w:pos="1378"/>
                <w:tab w:val="decimal" w:pos="1020"/>
              </w:tabs>
            </w:pPr>
          </w:p>
        </w:tc>
      </w:tr>
      <w:tr w:rsidR="00835A8C" w:rsidRPr="006232C9" w14:paraId="3AF4AE34" w14:textId="77777777" w:rsidTr="00835A8C">
        <w:trPr>
          <w:cantSplit/>
          <w:trHeight w:val="454"/>
        </w:trPr>
        <w:tc>
          <w:tcPr>
            <w:tcW w:w="6062" w:type="dxa"/>
            <w:shd w:val="clear" w:color="auto" w:fill="auto"/>
            <w:vAlign w:val="bottom"/>
          </w:tcPr>
          <w:p w14:paraId="48C16ED6" w14:textId="77777777" w:rsidR="00835A8C" w:rsidRPr="006232C9" w:rsidRDefault="00835A8C" w:rsidP="00835A8C">
            <w:r w:rsidRPr="006232C9">
              <w:t>Member financed</w:t>
            </w:r>
          </w:p>
        </w:tc>
        <w:tc>
          <w:tcPr>
            <w:tcW w:w="1519" w:type="dxa"/>
            <w:shd w:val="clear" w:color="auto" w:fill="auto"/>
            <w:vAlign w:val="bottom"/>
          </w:tcPr>
          <w:p w14:paraId="3FC5DD3C" w14:textId="77777777" w:rsidR="00835A8C" w:rsidRPr="006232C9" w:rsidRDefault="006232C9" w:rsidP="00835A8C">
            <w:pPr>
              <w:tabs>
                <w:tab w:val="clear" w:pos="1378"/>
                <w:tab w:val="decimal" w:pos="1020"/>
              </w:tabs>
            </w:pPr>
            <w:r>
              <w:t>1,207</w:t>
            </w:r>
          </w:p>
        </w:tc>
        <w:tc>
          <w:tcPr>
            <w:tcW w:w="1519" w:type="dxa"/>
            <w:shd w:val="clear" w:color="auto" w:fill="auto"/>
            <w:vAlign w:val="bottom"/>
          </w:tcPr>
          <w:p w14:paraId="24C52A4E" w14:textId="77777777" w:rsidR="00835A8C" w:rsidRPr="006232C9" w:rsidRDefault="00835A8C" w:rsidP="00835A8C">
            <w:pPr>
              <w:tabs>
                <w:tab w:val="clear" w:pos="1378"/>
                <w:tab w:val="decimal" w:pos="1020"/>
              </w:tabs>
            </w:pPr>
            <w:r w:rsidRPr="006232C9">
              <w:t>1,575</w:t>
            </w:r>
          </w:p>
        </w:tc>
      </w:tr>
      <w:tr w:rsidR="00835A8C" w:rsidRPr="006232C9" w14:paraId="392496D7" w14:textId="77777777" w:rsidTr="00835A8C">
        <w:trPr>
          <w:cantSplit/>
          <w:trHeight w:val="454"/>
        </w:trPr>
        <w:tc>
          <w:tcPr>
            <w:tcW w:w="6062" w:type="dxa"/>
            <w:shd w:val="clear" w:color="auto" w:fill="auto"/>
            <w:vAlign w:val="bottom"/>
          </w:tcPr>
          <w:p w14:paraId="57CBDFC0" w14:textId="77777777" w:rsidR="00835A8C" w:rsidRPr="006232C9" w:rsidRDefault="00835A8C" w:rsidP="00835A8C">
            <w:r w:rsidRPr="006232C9">
              <w:t>Employer financed</w:t>
            </w:r>
          </w:p>
        </w:tc>
        <w:tc>
          <w:tcPr>
            <w:tcW w:w="1519" w:type="dxa"/>
            <w:shd w:val="clear" w:color="auto" w:fill="auto"/>
            <w:vAlign w:val="bottom"/>
          </w:tcPr>
          <w:p w14:paraId="4353A0F1" w14:textId="77777777" w:rsidR="00835A8C" w:rsidRPr="006232C9" w:rsidRDefault="006232C9" w:rsidP="00835A8C">
            <w:pPr>
              <w:tabs>
                <w:tab w:val="clear" w:pos="1378"/>
                <w:tab w:val="decimal" w:pos="1020"/>
              </w:tabs>
            </w:pPr>
            <w:r>
              <w:t>84,900</w:t>
            </w:r>
          </w:p>
        </w:tc>
        <w:tc>
          <w:tcPr>
            <w:tcW w:w="1519" w:type="dxa"/>
            <w:shd w:val="clear" w:color="auto" w:fill="auto"/>
            <w:vAlign w:val="bottom"/>
          </w:tcPr>
          <w:p w14:paraId="7A520F5F" w14:textId="77777777" w:rsidR="00835A8C" w:rsidRPr="006232C9" w:rsidRDefault="00835A8C" w:rsidP="00835A8C">
            <w:pPr>
              <w:tabs>
                <w:tab w:val="clear" w:pos="1378"/>
                <w:tab w:val="decimal" w:pos="1020"/>
              </w:tabs>
            </w:pPr>
            <w:r w:rsidRPr="006232C9">
              <w:t>87,400</w:t>
            </w:r>
          </w:p>
        </w:tc>
      </w:tr>
      <w:tr w:rsidR="00835A8C" w:rsidRPr="006232C9" w14:paraId="6F0F65DE" w14:textId="77777777" w:rsidTr="00835A8C">
        <w:trPr>
          <w:cantSplit/>
          <w:trHeight w:val="454"/>
        </w:trPr>
        <w:tc>
          <w:tcPr>
            <w:tcW w:w="6062" w:type="dxa"/>
            <w:tcBorders>
              <w:bottom w:val="single" w:sz="4" w:space="0" w:color="auto"/>
            </w:tcBorders>
            <w:shd w:val="clear" w:color="auto" w:fill="auto"/>
            <w:vAlign w:val="bottom"/>
          </w:tcPr>
          <w:p w14:paraId="4BBB7C2A" w14:textId="77777777" w:rsidR="00835A8C" w:rsidRPr="006232C9" w:rsidRDefault="00835A8C" w:rsidP="00835A8C">
            <w:pPr>
              <w:rPr>
                <w:b/>
              </w:rPr>
            </w:pPr>
            <w:r w:rsidRPr="006232C9">
              <w:rPr>
                <w:b/>
              </w:rPr>
              <w:t>Total vested benefits</w:t>
            </w:r>
          </w:p>
        </w:tc>
        <w:tc>
          <w:tcPr>
            <w:tcW w:w="1519" w:type="dxa"/>
            <w:tcBorders>
              <w:bottom w:val="single" w:sz="4" w:space="0" w:color="auto"/>
            </w:tcBorders>
            <w:shd w:val="clear" w:color="auto" w:fill="auto"/>
            <w:vAlign w:val="bottom"/>
          </w:tcPr>
          <w:p w14:paraId="72972ABA" w14:textId="77777777" w:rsidR="00835A8C" w:rsidRPr="006232C9" w:rsidRDefault="006232C9" w:rsidP="00835A8C">
            <w:pPr>
              <w:tabs>
                <w:tab w:val="clear" w:pos="1378"/>
                <w:tab w:val="decimal" w:pos="1020"/>
              </w:tabs>
              <w:rPr>
                <w:b/>
              </w:rPr>
            </w:pPr>
            <w:r>
              <w:rPr>
                <w:b/>
              </w:rPr>
              <w:t>86,107</w:t>
            </w:r>
          </w:p>
        </w:tc>
        <w:tc>
          <w:tcPr>
            <w:tcW w:w="1519" w:type="dxa"/>
            <w:tcBorders>
              <w:bottom w:val="single" w:sz="4" w:space="0" w:color="auto"/>
            </w:tcBorders>
            <w:shd w:val="clear" w:color="auto" w:fill="auto"/>
            <w:vAlign w:val="bottom"/>
          </w:tcPr>
          <w:p w14:paraId="2C4F08C0" w14:textId="77777777" w:rsidR="00835A8C" w:rsidRPr="006232C9" w:rsidRDefault="00835A8C" w:rsidP="00835A8C">
            <w:pPr>
              <w:tabs>
                <w:tab w:val="clear" w:pos="1378"/>
                <w:tab w:val="decimal" w:pos="1020"/>
              </w:tabs>
              <w:rPr>
                <w:b/>
              </w:rPr>
            </w:pPr>
            <w:r w:rsidRPr="006232C9">
              <w:rPr>
                <w:b/>
              </w:rPr>
              <w:t>88,975</w:t>
            </w:r>
          </w:p>
        </w:tc>
      </w:tr>
      <w:tr w:rsidR="00835A8C" w:rsidRPr="007165BD" w14:paraId="4B352DED" w14:textId="77777777" w:rsidTr="00835A8C">
        <w:trPr>
          <w:cantSplit/>
          <w:trHeight w:val="454"/>
        </w:trPr>
        <w:tc>
          <w:tcPr>
            <w:tcW w:w="6062" w:type="dxa"/>
            <w:tcBorders>
              <w:top w:val="single" w:sz="4" w:space="0" w:color="auto"/>
              <w:bottom w:val="single" w:sz="4" w:space="0" w:color="auto"/>
            </w:tcBorders>
            <w:shd w:val="clear" w:color="auto" w:fill="auto"/>
            <w:vAlign w:val="bottom"/>
          </w:tcPr>
          <w:p w14:paraId="3CC3F7B9" w14:textId="77777777" w:rsidR="00835A8C" w:rsidRPr="006232C9" w:rsidRDefault="00835A8C" w:rsidP="00835A8C">
            <w:pPr>
              <w:rPr>
                <w:b/>
              </w:rPr>
            </w:pPr>
            <w:r w:rsidRPr="006232C9">
              <w:rPr>
                <w:b/>
              </w:rPr>
              <w:t>Net assets as a percentage of vested benefits</w:t>
            </w:r>
          </w:p>
        </w:tc>
        <w:tc>
          <w:tcPr>
            <w:tcW w:w="1519" w:type="dxa"/>
            <w:tcBorders>
              <w:top w:val="single" w:sz="4" w:space="0" w:color="auto"/>
              <w:bottom w:val="single" w:sz="4" w:space="0" w:color="auto"/>
            </w:tcBorders>
            <w:shd w:val="clear" w:color="auto" w:fill="auto"/>
            <w:vAlign w:val="bottom"/>
          </w:tcPr>
          <w:p w14:paraId="45035AA2" w14:textId="77777777" w:rsidR="00835A8C" w:rsidRPr="006232C9" w:rsidRDefault="006232C9" w:rsidP="0006307F">
            <w:pPr>
              <w:tabs>
                <w:tab w:val="clear" w:pos="1378"/>
                <w:tab w:val="decimal" w:pos="639"/>
              </w:tabs>
              <w:rPr>
                <w:b/>
              </w:rPr>
            </w:pPr>
            <w:r>
              <w:rPr>
                <w:b/>
              </w:rPr>
              <w:t>0.02%</w:t>
            </w:r>
          </w:p>
        </w:tc>
        <w:tc>
          <w:tcPr>
            <w:tcW w:w="1519" w:type="dxa"/>
            <w:tcBorders>
              <w:top w:val="single" w:sz="4" w:space="0" w:color="auto"/>
              <w:bottom w:val="single" w:sz="4" w:space="0" w:color="auto"/>
            </w:tcBorders>
            <w:shd w:val="clear" w:color="auto" w:fill="auto"/>
            <w:vAlign w:val="bottom"/>
          </w:tcPr>
          <w:p w14:paraId="2CB8DE4E" w14:textId="77777777" w:rsidR="00835A8C" w:rsidRPr="0063650A" w:rsidRDefault="00835A8C" w:rsidP="0006307F">
            <w:pPr>
              <w:tabs>
                <w:tab w:val="clear" w:pos="1378"/>
                <w:tab w:val="decimal" w:pos="669"/>
              </w:tabs>
              <w:rPr>
                <w:b/>
              </w:rPr>
            </w:pPr>
            <w:r w:rsidRPr="006232C9">
              <w:rPr>
                <w:b/>
              </w:rPr>
              <w:t>1.</w:t>
            </w:r>
            <w:r w:rsidR="006232C9">
              <w:rPr>
                <w:b/>
              </w:rPr>
              <w:t>77</w:t>
            </w:r>
            <w:r w:rsidRPr="006232C9">
              <w:rPr>
                <w:b/>
              </w:rPr>
              <w:t>%</w:t>
            </w:r>
          </w:p>
        </w:tc>
      </w:tr>
    </w:tbl>
    <w:p w14:paraId="644D9302" w14:textId="599552D7" w:rsidR="00671318" w:rsidRDefault="00671318" w:rsidP="00671318"/>
    <w:p w14:paraId="355A0538" w14:textId="77777777" w:rsidR="000B31F7" w:rsidRPr="00F30939" w:rsidRDefault="000B31F7" w:rsidP="000B31F7">
      <w:pPr>
        <w:pStyle w:val="Heading1"/>
      </w:pPr>
      <w:bookmarkStart w:id="31" w:name="_Ref68860306"/>
      <w:r>
        <w:t>Department of Corporate and Digital Development</w:t>
      </w:r>
    </w:p>
    <w:p w14:paraId="5986FABA" w14:textId="6DB29F8B" w:rsidR="000B31F7" w:rsidRPr="00F30939" w:rsidRDefault="000B31F7" w:rsidP="000B31F7">
      <w:pPr>
        <w:pStyle w:val="Heading2"/>
      </w:pPr>
      <w:bookmarkStart w:id="32" w:name="_Ref74894097"/>
      <w:r w:rsidRPr="0004605C">
        <w:t>Identity and Access Management</w:t>
      </w:r>
      <w:r w:rsidR="0067458D">
        <w:t xml:space="preserve"> System </w:t>
      </w:r>
      <w:r w:rsidRPr="0004605C">
        <w:t>(IAMS) Review</w:t>
      </w:r>
      <w:bookmarkEnd w:id="32"/>
    </w:p>
    <w:p w14:paraId="2A4D930E" w14:textId="77777777" w:rsidR="000B31F7" w:rsidRPr="00F30939" w:rsidRDefault="000B31F7" w:rsidP="000B31F7">
      <w:pPr>
        <w:pStyle w:val="Heading3"/>
      </w:pPr>
      <w:r>
        <w:t>Background</w:t>
      </w:r>
    </w:p>
    <w:p w14:paraId="7D0F3F9F" w14:textId="67202A19" w:rsidR="000B31F7" w:rsidRDefault="00D9588C" w:rsidP="000B31F7">
      <w:r>
        <w:t xml:space="preserve">The </w:t>
      </w:r>
      <w:r w:rsidR="000B31F7" w:rsidRPr="0004605C">
        <w:t xml:space="preserve">Department of Corporate and Digital Development </w:t>
      </w:r>
      <w:r w:rsidR="000B31F7">
        <w:t>(DCDD) provide</w:t>
      </w:r>
      <w:r>
        <w:t>s</w:t>
      </w:r>
      <w:r w:rsidR="000B31F7">
        <w:t xml:space="preserve"> enterprise information and technology services and shared corporate services to support Northern Territory (NT) Government agencies. </w:t>
      </w:r>
    </w:p>
    <w:p w14:paraId="4D08B82A" w14:textId="317CC5C3" w:rsidR="000B31F7" w:rsidRDefault="000B31F7" w:rsidP="000B31F7">
      <w:r>
        <w:t xml:space="preserve">The ePASS system is the primary identity management solution used to manage the unique identity of computer users that access and use any system, application, or information that is the property of the </w:t>
      </w:r>
      <w:r w:rsidR="00EC0273" w:rsidRPr="00220748">
        <w:t>N</w:t>
      </w:r>
      <w:r w:rsidR="00EC0273">
        <w:t>orthern Territory Government</w:t>
      </w:r>
      <w:r>
        <w:t xml:space="preserve">. DCDD staff follow a prescribed set of processes to ensure that access and termination requests initiated within ePASS are appropriately </w:t>
      </w:r>
      <w:r w:rsidR="00D9588C">
        <w:t>actioned</w:t>
      </w:r>
      <w:r w:rsidR="00763735">
        <w:t xml:space="preserve"> over in</w:t>
      </w:r>
      <w:r w:rsidR="00763735">
        <w:noBreakHyphen/>
      </w:r>
      <w:r>
        <w:t>scope systems.</w:t>
      </w:r>
    </w:p>
    <w:p w14:paraId="628DF168" w14:textId="77777777" w:rsidR="000B31F7" w:rsidRDefault="000B31F7" w:rsidP="000B31F7">
      <w:pPr>
        <w:pStyle w:val="Heading3"/>
      </w:pPr>
      <w:r>
        <w:t>Scope and Objective</w:t>
      </w:r>
    </w:p>
    <w:p w14:paraId="7A730DED" w14:textId="254CA56E" w:rsidR="000B31F7" w:rsidRDefault="000B31F7" w:rsidP="000B31F7">
      <w:r>
        <w:t xml:space="preserve">The objective of this review was to assess the effectiveness of </w:t>
      </w:r>
      <w:r w:rsidR="009B07E8">
        <w:t xml:space="preserve">information technology general </w:t>
      </w:r>
      <w:r w:rsidR="0002737E">
        <w:t xml:space="preserve">computer </w:t>
      </w:r>
      <w:r w:rsidR="009B07E8">
        <w:t xml:space="preserve">(ITGC) </w:t>
      </w:r>
      <w:r w:rsidR="0002737E">
        <w:t xml:space="preserve">controls </w:t>
      </w:r>
      <w:r>
        <w:t>in relation to the across</w:t>
      </w:r>
      <w:r>
        <w:noBreakHyphen/>
        <w:t xml:space="preserve">government Identity and Access Management </w:t>
      </w:r>
      <w:r w:rsidR="0067458D">
        <w:t xml:space="preserve">System </w:t>
      </w:r>
      <w:r>
        <w:t>(IAMS) solution.</w:t>
      </w:r>
    </w:p>
    <w:p w14:paraId="2AEA3390" w14:textId="77777777" w:rsidR="000B31F7" w:rsidRDefault="000B31F7" w:rsidP="000B31F7">
      <w:r>
        <w:t>The scope of this review included a review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ope of this review included a review of the following:"/>
        <w:tblDescription w:val="Details of the scope of the inclusions in the review.&#10;"/>
      </w:tblPr>
      <w:tblGrid>
        <w:gridCol w:w="2972"/>
        <w:gridCol w:w="5760"/>
      </w:tblGrid>
      <w:tr w:rsidR="000B31F7" w:rsidRPr="0004605C" w14:paraId="10A145A3" w14:textId="77777777" w:rsidTr="00EC0D5A">
        <w:trPr>
          <w:tblHeader/>
        </w:trPr>
        <w:tc>
          <w:tcPr>
            <w:tcW w:w="2972" w:type="dxa"/>
          </w:tcPr>
          <w:p w14:paraId="75C8D587" w14:textId="77777777" w:rsidR="000B31F7" w:rsidRPr="0004605C" w:rsidRDefault="000B31F7" w:rsidP="008E3BB6">
            <w:pPr>
              <w:tabs>
                <w:tab w:val="clear" w:pos="1378"/>
              </w:tabs>
              <w:jc w:val="center"/>
              <w:rPr>
                <w:b/>
              </w:rPr>
            </w:pPr>
            <w:r w:rsidRPr="0004605C">
              <w:rPr>
                <w:b/>
              </w:rPr>
              <w:t>ITGC Review Area</w:t>
            </w:r>
          </w:p>
        </w:tc>
        <w:tc>
          <w:tcPr>
            <w:tcW w:w="5760" w:type="dxa"/>
          </w:tcPr>
          <w:p w14:paraId="34B4A16B" w14:textId="77777777" w:rsidR="000B31F7" w:rsidRPr="0004605C" w:rsidRDefault="000B31F7" w:rsidP="008E3BB6">
            <w:pPr>
              <w:tabs>
                <w:tab w:val="clear" w:pos="1378"/>
              </w:tabs>
              <w:jc w:val="center"/>
              <w:rPr>
                <w:b/>
              </w:rPr>
            </w:pPr>
            <w:r w:rsidRPr="0004605C">
              <w:rPr>
                <w:b/>
              </w:rPr>
              <w:t>Scope</w:t>
            </w:r>
          </w:p>
        </w:tc>
      </w:tr>
      <w:tr w:rsidR="000B31F7" w:rsidRPr="0004605C" w14:paraId="2B5F4398" w14:textId="77777777" w:rsidTr="008E3BB6">
        <w:tc>
          <w:tcPr>
            <w:tcW w:w="2972" w:type="dxa"/>
          </w:tcPr>
          <w:p w14:paraId="15F947CC" w14:textId="77777777" w:rsidR="000B31F7" w:rsidRPr="0004605C" w:rsidRDefault="000B31F7" w:rsidP="008E3BB6">
            <w:pPr>
              <w:tabs>
                <w:tab w:val="clear" w:pos="1378"/>
              </w:tabs>
            </w:pPr>
            <w:r w:rsidRPr="0004605C">
              <w:t xml:space="preserve">Access management </w:t>
            </w:r>
          </w:p>
        </w:tc>
        <w:tc>
          <w:tcPr>
            <w:tcW w:w="5760" w:type="dxa"/>
          </w:tcPr>
          <w:p w14:paraId="17441ED3" w14:textId="35F583BB" w:rsidR="000B31F7" w:rsidRPr="0004605C" w:rsidRDefault="000B31F7" w:rsidP="00EC0273">
            <w:pPr>
              <w:tabs>
                <w:tab w:val="clear" w:pos="1378"/>
              </w:tabs>
            </w:pPr>
            <w:r w:rsidRPr="0004605C">
              <w:t xml:space="preserve">Access provisioning and termination of Government </w:t>
            </w:r>
            <w:r w:rsidR="00EC0273">
              <w:t>information technology</w:t>
            </w:r>
            <w:r w:rsidRPr="0004605C">
              <w:t xml:space="preserve"> users via IAMS </w:t>
            </w:r>
          </w:p>
        </w:tc>
      </w:tr>
      <w:tr w:rsidR="000B31F7" w:rsidRPr="0004605C" w14:paraId="5AB20B45" w14:textId="77777777" w:rsidTr="009B07E8">
        <w:tc>
          <w:tcPr>
            <w:tcW w:w="2972" w:type="dxa"/>
          </w:tcPr>
          <w:p w14:paraId="00B0E7E1" w14:textId="77777777" w:rsidR="000B31F7" w:rsidRPr="0004605C" w:rsidRDefault="000B31F7" w:rsidP="008E3BB6">
            <w:pPr>
              <w:tabs>
                <w:tab w:val="clear" w:pos="1378"/>
              </w:tabs>
            </w:pPr>
          </w:p>
        </w:tc>
        <w:tc>
          <w:tcPr>
            <w:tcW w:w="5760" w:type="dxa"/>
          </w:tcPr>
          <w:p w14:paraId="1DBC450F" w14:textId="77777777" w:rsidR="000B31F7" w:rsidRPr="0004605C" w:rsidRDefault="000B31F7" w:rsidP="008E3BB6">
            <w:pPr>
              <w:tabs>
                <w:tab w:val="clear" w:pos="1378"/>
              </w:tabs>
            </w:pPr>
            <w:r w:rsidRPr="0004605C">
              <w:t>Monitoring and review of active users</w:t>
            </w:r>
          </w:p>
        </w:tc>
      </w:tr>
      <w:tr w:rsidR="000B31F7" w:rsidRPr="0004605C" w14:paraId="697D3987" w14:textId="77777777" w:rsidTr="009B07E8">
        <w:tc>
          <w:tcPr>
            <w:tcW w:w="2972" w:type="dxa"/>
          </w:tcPr>
          <w:p w14:paraId="7B672B98" w14:textId="77777777" w:rsidR="000B31F7" w:rsidRPr="0004605C" w:rsidRDefault="000B31F7" w:rsidP="008E3BB6">
            <w:pPr>
              <w:tabs>
                <w:tab w:val="clear" w:pos="1378"/>
              </w:tabs>
            </w:pPr>
            <w:r w:rsidRPr="0004605C">
              <w:t>Privileged access management</w:t>
            </w:r>
          </w:p>
        </w:tc>
        <w:tc>
          <w:tcPr>
            <w:tcW w:w="5760" w:type="dxa"/>
          </w:tcPr>
          <w:p w14:paraId="4000605A" w14:textId="77777777" w:rsidR="000B31F7" w:rsidRPr="0004605C" w:rsidRDefault="000B31F7" w:rsidP="008E3BB6">
            <w:pPr>
              <w:tabs>
                <w:tab w:val="clear" w:pos="1378"/>
              </w:tabs>
            </w:pPr>
            <w:r w:rsidRPr="0004605C">
              <w:t>Access provisioning</w:t>
            </w:r>
          </w:p>
        </w:tc>
      </w:tr>
      <w:tr w:rsidR="000B31F7" w:rsidRPr="0004605C" w14:paraId="1B11DC64" w14:textId="77777777" w:rsidTr="009B07E8">
        <w:tc>
          <w:tcPr>
            <w:tcW w:w="2972" w:type="dxa"/>
          </w:tcPr>
          <w:p w14:paraId="0414F246" w14:textId="77777777" w:rsidR="000B31F7" w:rsidRPr="0004605C" w:rsidRDefault="000B31F7" w:rsidP="008E3BB6">
            <w:pPr>
              <w:tabs>
                <w:tab w:val="clear" w:pos="1378"/>
              </w:tabs>
            </w:pPr>
          </w:p>
        </w:tc>
        <w:tc>
          <w:tcPr>
            <w:tcW w:w="5760" w:type="dxa"/>
          </w:tcPr>
          <w:p w14:paraId="329F0F11" w14:textId="77777777" w:rsidR="000B31F7" w:rsidRPr="0004605C" w:rsidRDefault="000B31F7" w:rsidP="008E3BB6">
            <w:pPr>
              <w:tabs>
                <w:tab w:val="clear" w:pos="1378"/>
              </w:tabs>
            </w:pPr>
            <w:r w:rsidRPr="0004605C">
              <w:t>Management of assigned delegations</w:t>
            </w:r>
          </w:p>
        </w:tc>
      </w:tr>
      <w:tr w:rsidR="000B31F7" w:rsidRPr="0004605C" w14:paraId="71C7B1CD" w14:textId="77777777" w:rsidTr="009B07E8">
        <w:tc>
          <w:tcPr>
            <w:tcW w:w="2972" w:type="dxa"/>
          </w:tcPr>
          <w:p w14:paraId="17409A4F" w14:textId="77777777" w:rsidR="000B31F7" w:rsidRPr="0004605C" w:rsidRDefault="000B31F7" w:rsidP="008E3BB6">
            <w:pPr>
              <w:tabs>
                <w:tab w:val="clear" w:pos="1378"/>
              </w:tabs>
            </w:pPr>
          </w:p>
        </w:tc>
        <w:tc>
          <w:tcPr>
            <w:tcW w:w="5760" w:type="dxa"/>
          </w:tcPr>
          <w:p w14:paraId="246C8219" w14:textId="77777777" w:rsidR="000B31F7" w:rsidRPr="0004605C" w:rsidRDefault="000B31F7" w:rsidP="008E3BB6">
            <w:pPr>
              <w:tabs>
                <w:tab w:val="clear" w:pos="1378"/>
              </w:tabs>
            </w:pPr>
            <w:r w:rsidRPr="0004605C">
              <w:t>Review and assessment of privileged user membership</w:t>
            </w:r>
          </w:p>
        </w:tc>
      </w:tr>
      <w:tr w:rsidR="002E7B17" w:rsidRPr="0004605C" w14:paraId="629E4096" w14:textId="77777777" w:rsidTr="00EA1073">
        <w:trPr>
          <w:trHeight w:val="803"/>
        </w:trPr>
        <w:tc>
          <w:tcPr>
            <w:tcW w:w="2972" w:type="dxa"/>
          </w:tcPr>
          <w:p w14:paraId="14FCF292" w14:textId="58F0F3C4" w:rsidR="002E7B17" w:rsidRPr="0004605C" w:rsidRDefault="002E7B17" w:rsidP="008E3BB6">
            <w:pPr>
              <w:tabs>
                <w:tab w:val="clear" w:pos="1378"/>
              </w:tabs>
            </w:pPr>
            <w:r w:rsidRPr="0004605C">
              <w:t>Solution managem</w:t>
            </w:r>
            <w:r>
              <w:t>ent roles and responsibilities</w:t>
            </w:r>
          </w:p>
        </w:tc>
        <w:tc>
          <w:tcPr>
            <w:tcW w:w="5760" w:type="dxa"/>
          </w:tcPr>
          <w:p w14:paraId="43451E70" w14:textId="77777777" w:rsidR="002E7B17" w:rsidRPr="0004605C" w:rsidRDefault="002E7B17" w:rsidP="008E3BB6">
            <w:pPr>
              <w:tabs>
                <w:tab w:val="clear" w:pos="1378"/>
              </w:tabs>
            </w:pPr>
            <w:r w:rsidRPr="0004605C">
              <w:t>Role and responsibility documentation</w:t>
            </w:r>
          </w:p>
          <w:p w14:paraId="46F2907F" w14:textId="4DAD8920" w:rsidR="002E7B17" w:rsidRPr="0004605C" w:rsidRDefault="002E7B17" w:rsidP="008E3BB6">
            <w:r w:rsidRPr="0004605C">
              <w:t>Segregation of duties</w:t>
            </w:r>
          </w:p>
        </w:tc>
      </w:tr>
      <w:tr w:rsidR="000B31F7" w:rsidRPr="0004605C" w14:paraId="459167C8" w14:textId="77777777" w:rsidTr="009B07E8">
        <w:tc>
          <w:tcPr>
            <w:tcW w:w="2972" w:type="dxa"/>
          </w:tcPr>
          <w:p w14:paraId="025ABEC2" w14:textId="77777777" w:rsidR="000B31F7" w:rsidRPr="0004605C" w:rsidRDefault="000B31F7" w:rsidP="008E3BB6">
            <w:pPr>
              <w:tabs>
                <w:tab w:val="clear" w:pos="1378"/>
              </w:tabs>
            </w:pPr>
            <w:r w:rsidRPr="0004605C">
              <w:t>IAMS logging and monitoring</w:t>
            </w:r>
          </w:p>
        </w:tc>
        <w:tc>
          <w:tcPr>
            <w:tcW w:w="5760" w:type="dxa"/>
          </w:tcPr>
          <w:p w14:paraId="6E54C834" w14:textId="77777777" w:rsidR="000B31F7" w:rsidRPr="0004605C" w:rsidRDefault="000B31F7" w:rsidP="008E3BB6">
            <w:pPr>
              <w:tabs>
                <w:tab w:val="clear" w:pos="1378"/>
              </w:tabs>
            </w:pPr>
            <w:r w:rsidRPr="0004605C">
              <w:t>Logging and monitoring of IAMS user changes (IT users)</w:t>
            </w:r>
          </w:p>
        </w:tc>
      </w:tr>
      <w:tr w:rsidR="000B31F7" w:rsidRPr="0004605C" w14:paraId="0B6B52EE" w14:textId="77777777" w:rsidTr="008E3BB6">
        <w:tc>
          <w:tcPr>
            <w:tcW w:w="2972" w:type="dxa"/>
          </w:tcPr>
          <w:p w14:paraId="76473BFE" w14:textId="77777777" w:rsidR="000B31F7" w:rsidRPr="0004605C" w:rsidRDefault="000B31F7" w:rsidP="008E3BB6">
            <w:pPr>
              <w:tabs>
                <w:tab w:val="clear" w:pos="1378"/>
              </w:tabs>
            </w:pPr>
          </w:p>
        </w:tc>
        <w:tc>
          <w:tcPr>
            <w:tcW w:w="5760" w:type="dxa"/>
          </w:tcPr>
          <w:p w14:paraId="25D58566" w14:textId="77777777" w:rsidR="000B31F7" w:rsidRPr="0004605C" w:rsidRDefault="000B31F7" w:rsidP="008E3BB6">
            <w:pPr>
              <w:tabs>
                <w:tab w:val="clear" w:pos="1378"/>
              </w:tabs>
            </w:pPr>
            <w:r w:rsidRPr="0004605C">
              <w:t>Logging and monitoring of IAMS use and activities</w:t>
            </w:r>
          </w:p>
        </w:tc>
      </w:tr>
      <w:tr w:rsidR="000B31F7" w:rsidRPr="0004605C" w14:paraId="18668DDC" w14:textId="77777777" w:rsidTr="008E3BB6">
        <w:tc>
          <w:tcPr>
            <w:tcW w:w="2972" w:type="dxa"/>
          </w:tcPr>
          <w:p w14:paraId="2F5922C5" w14:textId="77777777" w:rsidR="000B31F7" w:rsidRPr="0004605C" w:rsidRDefault="000B31F7" w:rsidP="008E3BB6">
            <w:pPr>
              <w:tabs>
                <w:tab w:val="clear" w:pos="1378"/>
              </w:tabs>
            </w:pPr>
          </w:p>
        </w:tc>
        <w:tc>
          <w:tcPr>
            <w:tcW w:w="5760" w:type="dxa"/>
          </w:tcPr>
          <w:p w14:paraId="09979CC9" w14:textId="77777777" w:rsidR="000B31F7" w:rsidRPr="0004605C" w:rsidRDefault="000B31F7" w:rsidP="008E3BB6">
            <w:pPr>
              <w:tabs>
                <w:tab w:val="clear" w:pos="1378"/>
              </w:tabs>
            </w:pPr>
            <w:r w:rsidRPr="0004605C">
              <w:t>Monitoring of logging outputs</w:t>
            </w:r>
          </w:p>
        </w:tc>
      </w:tr>
      <w:tr w:rsidR="000B31F7" w14:paraId="3DCA25A6" w14:textId="77777777" w:rsidTr="008E3BB6">
        <w:tc>
          <w:tcPr>
            <w:tcW w:w="2972" w:type="dxa"/>
          </w:tcPr>
          <w:p w14:paraId="315CE54C" w14:textId="77777777" w:rsidR="000B31F7" w:rsidRDefault="000B31F7" w:rsidP="008E3BB6">
            <w:pPr>
              <w:tabs>
                <w:tab w:val="clear" w:pos="1378"/>
              </w:tabs>
            </w:pPr>
          </w:p>
        </w:tc>
        <w:tc>
          <w:tcPr>
            <w:tcW w:w="5760" w:type="dxa"/>
          </w:tcPr>
          <w:p w14:paraId="53D56D2C" w14:textId="77777777" w:rsidR="000B31F7" w:rsidRDefault="000B31F7" w:rsidP="008E3BB6">
            <w:pPr>
              <w:tabs>
                <w:tab w:val="clear" w:pos="1378"/>
              </w:tabs>
            </w:pPr>
            <w:r w:rsidRPr="0004605C">
              <w:t>Escalation, ownership, and resolution of alert items</w:t>
            </w:r>
          </w:p>
        </w:tc>
      </w:tr>
    </w:tbl>
    <w:p w14:paraId="6C59E866" w14:textId="0C6BC772" w:rsidR="000B31F7" w:rsidRDefault="000B31F7" w:rsidP="000B31F7">
      <w:r>
        <w:t>The findings are based on a review of documentation, limited testing and discussions with relevant DCDD personnel.</w:t>
      </w:r>
    </w:p>
    <w:p w14:paraId="50357250" w14:textId="77777777" w:rsidR="000B31F7" w:rsidRDefault="000B31F7" w:rsidP="000B31F7">
      <w:pPr>
        <w:pStyle w:val="Heading1-continued"/>
      </w:pPr>
      <w:r>
        <w:t>Department of Corporate and Digital Development</w:t>
      </w:r>
      <w:r w:rsidRPr="00F30939">
        <w:t xml:space="preserve"> cont…</w:t>
      </w:r>
    </w:p>
    <w:p w14:paraId="2D6F3836" w14:textId="77777777" w:rsidR="000B31F7" w:rsidRDefault="000B31F7" w:rsidP="000B31F7">
      <w:pPr>
        <w:pStyle w:val="Heading3"/>
      </w:pPr>
      <w:r>
        <w:t>Limitation of Scope</w:t>
      </w:r>
    </w:p>
    <w:p w14:paraId="1ECC3E98" w14:textId="2D21426F" w:rsidR="000B31F7" w:rsidRDefault="00EE4B0C" w:rsidP="000B31F7">
      <w:r>
        <w:t>The review involved</w:t>
      </w:r>
      <w:r w:rsidR="000B31F7">
        <w:t xml:space="preserve"> limited evaluation and testing of general computer controls across the application, database and operating systems relating to the IAMS solution, particularly ePass. </w:t>
      </w:r>
    </w:p>
    <w:p w14:paraId="1C8A11EE" w14:textId="4D575E39" w:rsidR="000B31F7" w:rsidRPr="005D5AE5" w:rsidRDefault="000B31F7" w:rsidP="000B31F7">
      <w:r>
        <w:t>Testing within this review was directed at only those items identified in the Scope</w:t>
      </w:r>
      <w:r w:rsidR="00EE4B0C">
        <w:t xml:space="preserve"> and Objective</w:t>
      </w:r>
      <w:r>
        <w:t xml:space="preserve"> section. A number of </w:t>
      </w:r>
      <w:r w:rsidR="00EC0273">
        <w:t>information technology</w:t>
      </w:r>
      <w:r>
        <w:t xml:space="preserve"> controls relating to network security controls, cryptography and data pro</w:t>
      </w:r>
      <w:r w:rsidR="00EE4B0C">
        <w:t>cessing are managed by DCDD. Tho</w:t>
      </w:r>
      <w:r>
        <w:t>se controls were not subject to testing within this review.</w:t>
      </w:r>
    </w:p>
    <w:p w14:paraId="77DEA096" w14:textId="77777777" w:rsidR="000B31F7" w:rsidRDefault="000B31F7" w:rsidP="000B31F7">
      <w:pPr>
        <w:pStyle w:val="Heading3"/>
      </w:pPr>
      <w:r>
        <w:t>Opinion</w:t>
      </w:r>
    </w:p>
    <w:p w14:paraId="32C3A57C" w14:textId="77777777" w:rsidR="000B31F7" w:rsidRDefault="000B31F7" w:rsidP="000B31F7">
      <w:r>
        <w:t xml:space="preserve">Based on the scope of review and testing performed, except for the matters raised in this report, key general computer controls tested in relation to the review scope appeared to have operated effectively throughout the review period. </w:t>
      </w:r>
    </w:p>
    <w:p w14:paraId="16B05DCA" w14:textId="77777777" w:rsidR="000B31F7" w:rsidRDefault="000B31F7" w:rsidP="000B31F7">
      <w:pPr>
        <w:pStyle w:val="Heading3"/>
      </w:pPr>
      <w:r>
        <w:t>Audit Observations</w:t>
      </w:r>
    </w:p>
    <w:p w14:paraId="070ADCC3" w14:textId="77777777" w:rsidR="000B31F7" w:rsidRDefault="000B31F7" w:rsidP="000B31F7">
      <w:pPr>
        <w:pStyle w:val="Heading4"/>
      </w:pPr>
      <w:r>
        <w:t>ePASS scope is inconsistently described.</w:t>
      </w:r>
    </w:p>
    <w:p w14:paraId="46C3D82A" w14:textId="5E9A2645" w:rsidR="000B31F7" w:rsidRDefault="000B31F7" w:rsidP="000B31F7">
      <w:r>
        <w:t>The ePASS us</w:t>
      </w:r>
      <w:r w:rsidR="0067458D">
        <w:t xml:space="preserve">er guide states that the ePASS </w:t>
      </w:r>
      <w:r>
        <w:t>IAMS is “</w:t>
      </w:r>
      <w:r w:rsidRPr="008C6DDD">
        <w:rPr>
          <w:i/>
        </w:rPr>
        <w:t>used to manage the unique identity of computer users that access and use any system, application, or information that is the property of the Northern Territory Government</w:t>
      </w:r>
      <w:r>
        <w:t>” however user m</w:t>
      </w:r>
      <w:r w:rsidR="0067458D">
        <w:t xml:space="preserve">anagement for some </w:t>
      </w:r>
      <w:r w:rsidR="0067458D" w:rsidRPr="00220748">
        <w:t>N</w:t>
      </w:r>
      <w:r w:rsidR="0067458D">
        <w:t>orthern Territory Government</w:t>
      </w:r>
      <w:r>
        <w:t xml:space="preserve"> </w:t>
      </w:r>
      <w:r w:rsidR="00EC0273">
        <w:t>information technology</w:t>
      </w:r>
      <w:r>
        <w:t xml:space="preserve"> systems is not managed through ePASS. </w:t>
      </w:r>
    </w:p>
    <w:p w14:paraId="192F5DB1" w14:textId="36FDA469" w:rsidR="000B31F7" w:rsidRDefault="000B31F7" w:rsidP="000B31F7">
      <w:r>
        <w:t xml:space="preserve">Where the understanding of user management processes differ between systems and environments, there is a risk that parties responsible for the management of user access across </w:t>
      </w:r>
      <w:r w:rsidR="0067458D" w:rsidRPr="00220748">
        <w:t>N</w:t>
      </w:r>
      <w:r w:rsidR="0067458D">
        <w:t>orthern Territory Government</w:t>
      </w:r>
      <w:r>
        <w:t xml:space="preserve"> </w:t>
      </w:r>
      <w:r w:rsidR="00EC0273">
        <w:t>information technology</w:t>
      </w:r>
      <w:r>
        <w:t xml:space="preserve"> systems may not understand the extent of their responsibilities and / or the controls may differ in strength and effectiveness.</w:t>
      </w:r>
      <w:r w:rsidR="00A94896">
        <w:t xml:space="preserve"> </w:t>
      </w:r>
      <w:r>
        <w:t xml:space="preserve">There is a risk that inconsistent approaches to review and audit of system access across </w:t>
      </w:r>
      <w:r w:rsidR="0067458D" w:rsidRPr="00220748">
        <w:t>N</w:t>
      </w:r>
      <w:r w:rsidR="0067458D">
        <w:t>orthern Territory Government</w:t>
      </w:r>
      <w:r>
        <w:t xml:space="preserve"> </w:t>
      </w:r>
      <w:r w:rsidR="00EC0273">
        <w:t>information technology</w:t>
      </w:r>
      <w:r>
        <w:t xml:space="preserve"> systems may result in reliance on incorrect or incomplete data sets, leading to poorly informed management decisions/actions.</w:t>
      </w:r>
    </w:p>
    <w:p w14:paraId="492A1CC7" w14:textId="5406D48B" w:rsidR="000B31F7" w:rsidRDefault="000B31F7" w:rsidP="000B31F7">
      <w:pPr>
        <w:pStyle w:val="Heading4"/>
      </w:pPr>
      <w:r>
        <w:t>Separations do not automatically trigger a user termination process across all N</w:t>
      </w:r>
      <w:r w:rsidR="00EC0273">
        <w:t xml:space="preserve">orthern </w:t>
      </w:r>
      <w:r>
        <w:t>T</w:t>
      </w:r>
      <w:r w:rsidR="00EC0273">
        <w:t>erritory</w:t>
      </w:r>
      <w:r>
        <w:t xml:space="preserve"> Government systems.</w:t>
      </w:r>
    </w:p>
    <w:p w14:paraId="6F9ED116" w14:textId="64D3E2C7" w:rsidR="000B31F7" w:rsidRDefault="000B31F7" w:rsidP="000B31F7">
      <w:r>
        <w:t xml:space="preserve">Staff separations do not automatically trigger a user termination process across all </w:t>
      </w:r>
      <w:r w:rsidR="0067458D" w:rsidRPr="00220748">
        <w:t>N</w:t>
      </w:r>
      <w:r w:rsidR="0067458D">
        <w:t>orthern Territory Government</w:t>
      </w:r>
      <w:r>
        <w:t xml:space="preserve"> systems (via the creation of an ePASS termination request). Notification of user terminations is a manual process initiated by individual agencies and departments. </w:t>
      </w:r>
    </w:p>
    <w:p w14:paraId="3AC82E2E" w14:textId="77777777" w:rsidR="000B31F7" w:rsidRDefault="000B31F7" w:rsidP="000B31F7">
      <w:r>
        <w:t>DCDD support have implemented a compensating control (a trigger to initiate an ePASS termination request upon identification of LAN account inactivity of seven months), however:</w:t>
      </w:r>
    </w:p>
    <w:p w14:paraId="2CA077D9" w14:textId="2AB7688C" w:rsidR="000B31F7" w:rsidRDefault="00A94896" w:rsidP="000B31F7">
      <w:pPr>
        <w:pStyle w:val="ListBullet"/>
      </w:pPr>
      <w:r>
        <w:t>t</w:t>
      </w:r>
      <w:r w:rsidR="000B31F7">
        <w:t>here are scenarios whereby this control may not trigger;</w:t>
      </w:r>
    </w:p>
    <w:p w14:paraId="23229135" w14:textId="131D4AE9" w:rsidR="000B31F7" w:rsidRDefault="00A94896" w:rsidP="000B31F7">
      <w:pPr>
        <w:pStyle w:val="ListBullet"/>
      </w:pPr>
      <w:r>
        <w:t>t</w:t>
      </w:r>
      <w:r w:rsidR="000B31F7">
        <w:t>his compensating control would not trigger user terminations within any systems that are managed outside of ePASS; and</w:t>
      </w:r>
    </w:p>
    <w:p w14:paraId="00295BC6" w14:textId="3CBA77BE" w:rsidR="000B31F7" w:rsidRDefault="00A94896" w:rsidP="000B31F7">
      <w:pPr>
        <w:pStyle w:val="ListBullet"/>
      </w:pPr>
      <w:r>
        <w:t>t</w:t>
      </w:r>
      <w:r w:rsidR="000B31F7">
        <w:t xml:space="preserve">he </w:t>
      </w:r>
      <w:r>
        <w:t xml:space="preserve">time </w:t>
      </w:r>
      <w:r w:rsidR="000B31F7">
        <w:t>threshold introduces an extended period of time for redundant user accounts to remain active post separation.</w:t>
      </w:r>
    </w:p>
    <w:p w14:paraId="4DB27346" w14:textId="635CB5D5" w:rsidR="000B31F7" w:rsidRDefault="000B31F7" w:rsidP="000B31F7">
      <w:r>
        <w:t xml:space="preserve">There is a risk that user accounts may remain active across </w:t>
      </w:r>
      <w:r w:rsidR="0067458D" w:rsidRPr="00220748">
        <w:t>N</w:t>
      </w:r>
      <w:r w:rsidR="0067458D">
        <w:t>orthern Territory Government</w:t>
      </w:r>
      <w:r>
        <w:t xml:space="preserve"> </w:t>
      </w:r>
      <w:r w:rsidR="00EC0273">
        <w:t>information technology</w:t>
      </w:r>
      <w:r>
        <w:t xml:space="preserve"> systems after the separation of a staff member from </w:t>
      </w:r>
      <w:r w:rsidR="0067458D">
        <w:t xml:space="preserve">the </w:t>
      </w:r>
      <w:r w:rsidR="0067458D" w:rsidRPr="00220748">
        <w:t>N</w:t>
      </w:r>
      <w:r w:rsidR="0067458D">
        <w:t>orthern Territory Government</w:t>
      </w:r>
      <w:r>
        <w:t xml:space="preserve">, creating a vector for the separated staff member, or another person, to access </w:t>
      </w:r>
      <w:r w:rsidR="0067458D" w:rsidRPr="00220748">
        <w:t>N</w:t>
      </w:r>
      <w:r w:rsidR="0067458D">
        <w:t>orthern Territory Government</w:t>
      </w:r>
      <w:r>
        <w:t xml:space="preserve"> systems and data in a manner inconsistent with </w:t>
      </w:r>
      <w:r w:rsidR="0067458D">
        <w:t xml:space="preserve">the </w:t>
      </w:r>
      <w:r w:rsidR="0067458D" w:rsidRPr="00220748">
        <w:t>N</w:t>
      </w:r>
      <w:r w:rsidR="0067458D">
        <w:t xml:space="preserve">orthern Territory Government’s </w:t>
      </w:r>
      <w:r>
        <w:t>Access Policy.</w:t>
      </w:r>
    </w:p>
    <w:p w14:paraId="51FD350C" w14:textId="77777777" w:rsidR="000B31F7" w:rsidRDefault="000B31F7" w:rsidP="000B31F7">
      <w:pPr>
        <w:pStyle w:val="Heading1-continued"/>
      </w:pPr>
      <w:r>
        <w:t>Department of Corporate and Digital Development</w:t>
      </w:r>
      <w:r w:rsidRPr="00F30939">
        <w:t xml:space="preserve">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Department of Corporate and Digital Development response"/>
      </w:tblPr>
      <w:tblGrid>
        <w:gridCol w:w="8448"/>
      </w:tblGrid>
      <w:tr w:rsidR="000B31F7" w14:paraId="792AE7FA" w14:textId="77777777" w:rsidTr="008E3BB6">
        <w:trPr>
          <w:tblHeader/>
        </w:trPr>
        <w:tc>
          <w:tcPr>
            <w:tcW w:w="8448" w:type="dxa"/>
          </w:tcPr>
          <w:p w14:paraId="79E8F5CE" w14:textId="77777777" w:rsidR="000B31F7" w:rsidRPr="00270B09" w:rsidRDefault="000B31F7" w:rsidP="008E3BB6">
            <w:pPr>
              <w:rPr>
                <w:b/>
              </w:rPr>
            </w:pPr>
            <w:r w:rsidRPr="00270B09">
              <w:rPr>
                <w:b/>
              </w:rPr>
              <w:t xml:space="preserve">The Department of </w:t>
            </w:r>
            <w:r w:rsidRPr="00B23103">
              <w:rPr>
                <w:b/>
              </w:rPr>
              <w:t xml:space="preserve">Corporate and Digital Development </w:t>
            </w:r>
            <w:r w:rsidRPr="00270B09">
              <w:rPr>
                <w:b/>
              </w:rPr>
              <w:t>has commented</w:t>
            </w:r>
            <w:r>
              <w:rPr>
                <w:b/>
              </w:rPr>
              <w:t>:</w:t>
            </w:r>
          </w:p>
        </w:tc>
      </w:tr>
      <w:tr w:rsidR="000B31F7" w14:paraId="49EBFBCF" w14:textId="77777777" w:rsidTr="008E3BB6">
        <w:tc>
          <w:tcPr>
            <w:tcW w:w="8448" w:type="dxa"/>
          </w:tcPr>
          <w:p w14:paraId="72E803F0" w14:textId="1B9CF30C" w:rsidR="000B31F7" w:rsidRDefault="00517AD9" w:rsidP="00517AD9">
            <w:r w:rsidRPr="00517AD9">
              <w:t>The department notes the findings and advises that wording in the system user guide has been reframed with more precision. In relation to user termination, DCDD will investigate workable options to further enhance controls related to user permissions upon extended absence or termination having regard to the practical requirements of agencies.</w:t>
            </w:r>
            <w:r>
              <w:t xml:space="preserve"> </w:t>
            </w:r>
          </w:p>
        </w:tc>
      </w:tr>
    </w:tbl>
    <w:p w14:paraId="7D280425" w14:textId="77777777" w:rsidR="000B31F7" w:rsidRDefault="000B31F7" w:rsidP="000B31F7"/>
    <w:p w14:paraId="3DB7F274" w14:textId="77777777" w:rsidR="000B31F7" w:rsidRPr="00F30939" w:rsidRDefault="000B31F7" w:rsidP="000B31F7">
      <w:pPr>
        <w:pStyle w:val="Heading1"/>
      </w:pPr>
      <w:r>
        <w:t>Department of Corporate and Digital Development</w:t>
      </w:r>
    </w:p>
    <w:p w14:paraId="54DD2BE6" w14:textId="77777777" w:rsidR="000B31F7" w:rsidRPr="00F30939" w:rsidRDefault="000B31F7" w:rsidP="000B31F7">
      <w:pPr>
        <w:pStyle w:val="Heading2"/>
      </w:pPr>
      <w:bookmarkStart w:id="33" w:name="_Ref74894751"/>
      <w:r w:rsidRPr="0097651E">
        <w:t xml:space="preserve">Integrated Revenue Application </w:t>
      </w:r>
      <w:r>
        <w:t>(INTRA) Review</w:t>
      </w:r>
      <w:bookmarkEnd w:id="33"/>
    </w:p>
    <w:p w14:paraId="43E9F5A4" w14:textId="77777777" w:rsidR="000B31F7" w:rsidRPr="00F30939" w:rsidRDefault="000B31F7" w:rsidP="000B31F7">
      <w:pPr>
        <w:pStyle w:val="Heading3"/>
      </w:pPr>
      <w:r>
        <w:t>Background</w:t>
      </w:r>
    </w:p>
    <w:p w14:paraId="01815B51" w14:textId="5C1232F6" w:rsidR="000B31F7" w:rsidRDefault="00C64E13" w:rsidP="000B31F7">
      <w:r>
        <w:t>“Integrated Revenue Application” (INTRA)</w:t>
      </w:r>
      <w:r w:rsidR="000B31F7">
        <w:t xml:space="preserve"> is the public interface for lodgement of returns and payments for payroll tax and stamp duties and associated penalties and interest. </w:t>
      </w:r>
    </w:p>
    <w:p w14:paraId="5A98D185" w14:textId="77777777" w:rsidR="000B31F7" w:rsidRDefault="000B31F7" w:rsidP="000B31F7">
      <w:r>
        <w:t>The Department of Treasury and Finance’s website (last updated 15 April 2020, referenced 10 December 2020) states:</w:t>
      </w:r>
    </w:p>
    <w:p w14:paraId="33AAC3C5" w14:textId="77777777" w:rsidR="000B31F7" w:rsidRPr="00B23103" w:rsidRDefault="000B31F7" w:rsidP="000B31F7">
      <w:pPr>
        <w:rPr>
          <w:i/>
        </w:rPr>
      </w:pPr>
      <w:r>
        <w:t>“</w:t>
      </w:r>
      <w:r w:rsidRPr="00B23103">
        <w:rPr>
          <w:i/>
        </w:rPr>
        <w:t>INTRA allows you to:</w:t>
      </w:r>
    </w:p>
    <w:p w14:paraId="39252373" w14:textId="77777777" w:rsidR="000B31F7" w:rsidRPr="00B23103" w:rsidRDefault="000B31F7" w:rsidP="000B31F7">
      <w:pPr>
        <w:pStyle w:val="ListBullet"/>
        <w:rPr>
          <w:i/>
        </w:rPr>
      </w:pPr>
      <w:r w:rsidRPr="00B23103">
        <w:rPr>
          <w:i/>
        </w:rPr>
        <w:t>calculate your monthly and annual liability using data entered by you</w:t>
      </w:r>
    </w:p>
    <w:p w14:paraId="60CDC62C" w14:textId="77777777" w:rsidR="000B31F7" w:rsidRPr="00B23103" w:rsidRDefault="000B31F7" w:rsidP="000B31F7">
      <w:pPr>
        <w:pStyle w:val="ListBullet"/>
        <w:rPr>
          <w:i/>
        </w:rPr>
      </w:pPr>
      <w:r w:rsidRPr="00B23103">
        <w:rPr>
          <w:i/>
        </w:rPr>
        <w:t>lodge nil returns</w:t>
      </w:r>
    </w:p>
    <w:p w14:paraId="51386631" w14:textId="77777777" w:rsidR="000B31F7" w:rsidRPr="00B23103" w:rsidRDefault="000B31F7" w:rsidP="000B31F7">
      <w:pPr>
        <w:pStyle w:val="ListBullet"/>
        <w:rPr>
          <w:i/>
        </w:rPr>
      </w:pPr>
      <w:r w:rsidRPr="00B23103">
        <w:rPr>
          <w:i/>
        </w:rPr>
        <w:t>pay the amount payable by electronic transfer</w:t>
      </w:r>
    </w:p>
    <w:p w14:paraId="7BB54854" w14:textId="77777777" w:rsidR="000B31F7" w:rsidRPr="00B23103" w:rsidRDefault="000B31F7" w:rsidP="000B31F7">
      <w:pPr>
        <w:pStyle w:val="ListBullet"/>
        <w:rPr>
          <w:i/>
        </w:rPr>
      </w:pPr>
      <w:r w:rsidRPr="00B23103">
        <w:rPr>
          <w:i/>
        </w:rPr>
        <w:t>view a history of returns</w:t>
      </w:r>
    </w:p>
    <w:p w14:paraId="74A4B93F" w14:textId="77777777" w:rsidR="000B31F7" w:rsidRDefault="000B31F7" w:rsidP="000B31F7">
      <w:pPr>
        <w:pStyle w:val="ListBullet"/>
      </w:pPr>
      <w:r w:rsidRPr="00B23103">
        <w:rPr>
          <w:i/>
        </w:rPr>
        <w:t>edit your returns (limitations apply depending on the tax type – contact the TRO for further information)</w:t>
      </w:r>
      <w:r>
        <w:t>”.</w:t>
      </w:r>
    </w:p>
    <w:p w14:paraId="6E63941B" w14:textId="2780B129" w:rsidR="000B31F7" w:rsidRDefault="000B31F7" w:rsidP="000B31F7">
      <w:r>
        <w:t>The Territory Revenue Office (TRO), which includes the Office of the Commissioner of Taxes, is responsible for the collection of taxes and any associated fees and fines</w:t>
      </w:r>
      <w:r w:rsidR="008517CF">
        <w:t xml:space="preserve"> within the Department of Treasury and Finance</w:t>
      </w:r>
      <w:r>
        <w:t>. The TRO is the primary user of INTRA.</w:t>
      </w:r>
    </w:p>
    <w:p w14:paraId="7D35B123" w14:textId="77777777" w:rsidR="000B31F7" w:rsidRDefault="000B31F7" w:rsidP="000B31F7">
      <w:pPr>
        <w:pStyle w:val="Heading3"/>
      </w:pPr>
      <w:r>
        <w:t>Scope and Objective</w:t>
      </w:r>
    </w:p>
    <w:p w14:paraId="0FD98A1F" w14:textId="447CD050" w:rsidR="000B31F7" w:rsidRDefault="000B31F7" w:rsidP="000B31F7">
      <w:r>
        <w:t xml:space="preserve">The objectives of this review were to assess the following areas of control in relation to INTRA managed by the </w:t>
      </w:r>
      <w:r w:rsidR="00C64E13">
        <w:t>DCDD</w:t>
      </w:r>
      <w:r>
        <w:t xml:space="preserve"> on behalf of the Department of Treasury and Finance:</w:t>
      </w:r>
    </w:p>
    <w:p w14:paraId="27948B39" w14:textId="391A076E" w:rsidR="000B31F7" w:rsidRDefault="0002737E" w:rsidP="000B31F7">
      <w:pPr>
        <w:pStyle w:val="ListBullet"/>
      </w:pPr>
      <w:r>
        <w:t>IT g</w:t>
      </w:r>
      <w:r w:rsidR="000B31F7">
        <w:t>eneral computer controls including change control, information security, resilience and operations.</w:t>
      </w:r>
    </w:p>
    <w:p w14:paraId="08ADD9E2" w14:textId="77777777" w:rsidR="000B31F7" w:rsidRDefault="000B31F7" w:rsidP="000B31F7">
      <w:pPr>
        <w:pStyle w:val="ListBullet"/>
      </w:pPr>
      <w:r>
        <w:t>Key application controls, including restriction of access to sensitive function; key workflow controls; data input controls and adequacy of reporting.</w:t>
      </w:r>
    </w:p>
    <w:p w14:paraId="108C7438" w14:textId="5829021A" w:rsidR="000B31F7" w:rsidRDefault="000B31F7" w:rsidP="000B31F7">
      <w:pPr>
        <w:pStyle w:val="ListBullet"/>
      </w:pPr>
      <w:r>
        <w:t xml:space="preserve">Interface controls </w:t>
      </w:r>
      <w:r w:rsidR="00017EB3">
        <w:t>between</w:t>
      </w:r>
      <w:r>
        <w:t xml:space="preserve"> source systems and the Government Accounting System (GAS).</w:t>
      </w:r>
    </w:p>
    <w:p w14:paraId="775335E6" w14:textId="77777777" w:rsidR="000B31F7" w:rsidRDefault="000B31F7" w:rsidP="000B31F7">
      <w:r>
        <w:t>The findings are based on a review of documentation, limited testing and discussions with relevant DCDD personnel.</w:t>
      </w:r>
    </w:p>
    <w:p w14:paraId="4E47A32D" w14:textId="77777777" w:rsidR="000B31F7" w:rsidRDefault="000B31F7" w:rsidP="000B31F7">
      <w:pPr>
        <w:pStyle w:val="Heading3"/>
      </w:pPr>
      <w:r>
        <w:t>Opinion</w:t>
      </w:r>
    </w:p>
    <w:p w14:paraId="2D4BE178" w14:textId="771F8E2A" w:rsidR="000B31F7" w:rsidRDefault="000B31F7" w:rsidP="000B31F7">
      <w:r w:rsidRPr="006C6162">
        <w:t xml:space="preserve">Based on the scope of review and testing performed </w:t>
      </w:r>
      <w:r w:rsidR="00017EB3">
        <w:t xml:space="preserve">of </w:t>
      </w:r>
      <w:r w:rsidRPr="006C6162">
        <w:t>key general computer controls, key application controls and interface controls with source systems and GAS appeared to have operated effectively throughout the review period.</w:t>
      </w:r>
      <w:r>
        <w:t xml:space="preserve"> </w:t>
      </w:r>
    </w:p>
    <w:p w14:paraId="109DC6DD" w14:textId="77777777" w:rsidR="001105B5" w:rsidRDefault="001105B5" w:rsidP="000B31F7"/>
    <w:p w14:paraId="5315968E" w14:textId="77777777" w:rsidR="000B31F7" w:rsidRDefault="000B31F7" w:rsidP="000B31F7"/>
    <w:p w14:paraId="7E3D96E1" w14:textId="77777777" w:rsidR="000B31F7" w:rsidRDefault="000B31F7" w:rsidP="000B31F7">
      <w:pPr>
        <w:pStyle w:val="Heading1-continued"/>
      </w:pPr>
      <w:r>
        <w:t>Department of Corporate and Digital Development</w:t>
      </w:r>
      <w:r w:rsidRPr="00F30939">
        <w:t xml:space="preserve">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Department of Corporate and Digital Development response"/>
      </w:tblPr>
      <w:tblGrid>
        <w:gridCol w:w="8448"/>
      </w:tblGrid>
      <w:tr w:rsidR="000B31F7" w14:paraId="6AE20AEB" w14:textId="77777777" w:rsidTr="008E3BB6">
        <w:trPr>
          <w:tblHeader/>
        </w:trPr>
        <w:tc>
          <w:tcPr>
            <w:tcW w:w="8448" w:type="dxa"/>
          </w:tcPr>
          <w:p w14:paraId="1BD23904" w14:textId="77777777" w:rsidR="000B31F7" w:rsidRPr="00270B09" w:rsidRDefault="000B31F7" w:rsidP="008E3BB6">
            <w:pPr>
              <w:rPr>
                <w:b/>
              </w:rPr>
            </w:pPr>
            <w:r w:rsidRPr="00270B09">
              <w:rPr>
                <w:b/>
              </w:rPr>
              <w:t xml:space="preserve">The Department of </w:t>
            </w:r>
            <w:r w:rsidRPr="00B23103">
              <w:rPr>
                <w:b/>
              </w:rPr>
              <w:t xml:space="preserve">Corporate and Digital Development </w:t>
            </w:r>
            <w:r w:rsidRPr="00270B09">
              <w:rPr>
                <w:b/>
              </w:rPr>
              <w:t>has commented</w:t>
            </w:r>
            <w:r>
              <w:rPr>
                <w:b/>
              </w:rPr>
              <w:t>:</w:t>
            </w:r>
          </w:p>
        </w:tc>
      </w:tr>
      <w:tr w:rsidR="000B31F7" w14:paraId="6C94ED68" w14:textId="77777777" w:rsidTr="008E3BB6">
        <w:tc>
          <w:tcPr>
            <w:tcW w:w="8448" w:type="dxa"/>
          </w:tcPr>
          <w:p w14:paraId="4E534BEF" w14:textId="5A9A5FB7" w:rsidR="000B31F7" w:rsidRDefault="00D76F8F" w:rsidP="00D76F8F">
            <w:r w:rsidRPr="00D76F8F">
              <w:t>The Department notes the audit finding that controls related to the INTRA System in regard to system access, data security, general computer controls and interfaces to source systems operated effectively during the review period with no</w:t>
            </w:r>
            <w:r>
              <w:t xml:space="preserve"> issues identified for remediat</w:t>
            </w:r>
            <w:r w:rsidRPr="00D76F8F">
              <w:t>ion</w:t>
            </w:r>
            <w:r>
              <w:t>.</w:t>
            </w:r>
          </w:p>
        </w:tc>
      </w:tr>
    </w:tbl>
    <w:p w14:paraId="2864A9F7" w14:textId="77777777" w:rsidR="000B31F7" w:rsidRPr="00270B09" w:rsidRDefault="000B31F7" w:rsidP="000B31F7"/>
    <w:p w14:paraId="38D933E2" w14:textId="0A3A898E" w:rsidR="000B31F7" w:rsidRDefault="000B31F7" w:rsidP="000B31F7">
      <w:bookmarkStart w:id="34" w:name="_Ref529444589"/>
    </w:p>
    <w:p w14:paraId="40EAE9AB" w14:textId="05D534C4" w:rsidR="004A2D31" w:rsidRPr="000D515D" w:rsidRDefault="004A2D31" w:rsidP="004A2D31">
      <w:pPr>
        <w:pStyle w:val="Heading1"/>
      </w:pPr>
      <w:bookmarkStart w:id="35" w:name="_Ref78888323"/>
      <w:bookmarkEnd w:id="34"/>
      <w:r>
        <w:t>Selected Agencies</w:t>
      </w:r>
      <w:r w:rsidR="005C602C">
        <w:t xml:space="preserve"> – </w:t>
      </w:r>
      <w:bookmarkStart w:id="36" w:name="ACA"/>
      <w:r w:rsidR="005C602C">
        <w:t>Agency Compliance Audit</w:t>
      </w:r>
      <w:bookmarkEnd w:id="35"/>
      <w:bookmarkEnd w:id="36"/>
    </w:p>
    <w:p w14:paraId="6A97C08C" w14:textId="77777777" w:rsidR="004A2D31" w:rsidRPr="00F30939" w:rsidRDefault="004A2D31" w:rsidP="004A2D31">
      <w:pPr>
        <w:pStyle w:val="Heading3"/>
      </w:pPr>
      <w:r>
        <w:t>Background</w:t>
      </w:r>
    </w:p>
    <w:p w14:paraId="5AC2A9C0" w14:textId="0DB31848" w:rsidR="004A2D31" w:rsidRDefault="004A2D31" w:rsidP="004A2D31">
      <w:r>
        <w:t>The use of delegated legislation, such as Treasurer’s Directions, devolves responsibil</w:t>
      </w:r>
      <w:r w:rsidR="00FF6E8B">
        <w:t>ity to Accountable Officers of a</w:t>
      </w:r>
      <w:r>
        <w:t>gencies. That devolution has an accompanying requirement for accountability by Accountable Officers to their Ministers. Compliance audits are intended to assess how well that accountability is being discharged. The audits for this period conce</w:t>
      </w:r>
      <w:r w:rsidR="008F62CD">
        <w:t>ntrated on the extent to which a</w:t>
      </w:r>
      <w:r>
        <w:t>gencies had complied with promulgated requirements with respect to:</w:t>
      </w:r>
    </w:p>
    <w:p w14:paraId="78F7245B" w14:textId="77777777" w:rsidR="004A2D31" w:rsidRDefault="004A2D31" w:rsidP="004A2D31">
      <w:pPr>
        <w:pStyle w:val="ListBullet"/>
      </w:pPr>
      <w:r>
        <w:t>the maintenance of registers of financial interests, contingencies, guarantees and indemnities;</w:t>
      </w:r>
    </w:p>
    <w:p w14:paraId="3C3AAFB2" w14:textId="77777777" w:rsidR="004A2D31" w:rsidRDefault="004A2D31" w:rsidP="004A2D31">
      <w:pPr>
        <w:pStyle w:val="ListBullet"/>
      </w:pPr>
      <w:r>
        <w:t>validation of accounts payable and claims for payment, including funds availability;</w:t>
      </w:r>
    </w:p>
    <w:p w14:paraId="32730439" w14:textId="77777777" w:rsidR="004A2D31" w:rsidRDefault="004A2D31" w:rsidP="004A2D31">
      <w:pPr>
        <w:pStyle w:val="ListBullet"/>
      </w:pPr>
      <w:r>
        <w:t xml:space="preserve">compliance with the </w:t>
      </w:r>
      <w:r w:rsidRPr="00BE56A3">
        <w:rPr>
          <w:i/>
        </w:rPr>
        <w:t>Procurement Act</w:t>
      </w:r>
      <w:r>
        <w:rPr>
          <w:i/>
        </w:rPr>
        <w:t xml:space="preserve"> 1995</w:t>
      </w:r>
      <w:r>
        <w:t>, Regulations made under that Act and Procurement Rules;</w:t>
      </w:r>
    </w:p>
    <w:p w14:paraId="0175E045" w14:textId="77777777" w:rsidR="004A2D31" w:rsidRDefault="004A2D31" w:rsidP="004A2D31">
      <w:pPr>
        <w:pStyle w:val="ListBullet"/>
      </w:pPr>
      <w:r>
        <w:t>the maintenance of registers of losses, and whether investigation, and reporting and recovery of losses accorded with the requirements of Treasurer’s Directions;</w:t>
      </w:r>
    </w:p>
    <w:p w14:paraId="22295736" w14:textId="77777777" w:rsidR="004A2D31" w:rsidRDefault="004A2D31" w:rsidP="004A2D31">
      <w:pPr>
        <w:pStyle w:val="ListBullet"/>
      </w:pPr>
      <w:r>
        <w:t>ensuring that expenditure on official travel, telephones and hospitality was properly authorised, recorded and acquitted;</w:t>
      </w:r>
    </w:p>
    <w:p w14:paraId="27038989" w14:textId="77777777" w:rsidR="004A2D31" w:rsidRDefault="004A2D31" w:rsidP="004A2D31">
      <w:pPr>
        <w:pStyle w:val="ListBullet"/>
      </w:pPr>
      <w:r>
        <w:t>the recording and accounting for trust monies;</w:t>
      </w:r>
    </w:p>
    <w:p w14:paraId="4DC026B8" w14:textId="77777777" w:rsidR="004A2D31" w:rsidRDefault="004A2D31" w:rsidP="004A2D31">
      <w:pPr>
        <w:pStyle w:val="ListBullet"/>
      </w:pPr>
      <w:r>
        <w:t>the legal and statutory arrangements governing the recovery of certain debts, the retention of financial management records, the granting of ex-gratia payments and the maintenance of Registers of Fees and Charges;</w:t>
      </w:r>
    </w:p>
    <w:p w14:paraId="5F9A5026" w14:textId="77777777" w:rsidR="004A2D31" w:rsidRDefault="004A2D31" w:rsidP="004A2D31">
      <w:pPr>
        <w:pStyle w:val="ListBullet"/>
      </w:pPr>
      <w:r>
        <w:t>the control of physical assets; and</w:t>
      </w:r>
    </w:p>
    <w:p w14:paraId="3E01A828" w14:textId="77777777" w:rsidR="004A2D31" w:rsidRDefault="004A2D31" w:rsidP="004A2D31">
      <w:pPr>
        <w:pStyle w:val="ListBullet"/>
      </w:pPr>
      <w:r>
        <w:t>budget management, including financial and performance reporting.</w:t>
      </w:r>
    </w:p>
    <w:p w14:paraId="609CE504" w14:textId="3C2649CA" w:rsidR="004A2D31" w:rsidRDefault="004A2D31" w:rsidP="004A2D31">
      <w:r>
        <w:t>Audits were perf</w:t>
      </w:r>
      <w:r w:rsidR="008F62CD">
        <w:t>ormed in each of the following a</w:t>
      </w:r>
      <w:r>
        <w:t>gencies during the six months covered by this report:</w:t>
      </w:r>
    </w:p>
    <w:p w14:paraId="4F9C4F36" w14:textId="3114294F" w:rsidR="004A2D31" w:rsidRDefault="004A2D31" w:rsidP="004A2D31">
      <w:pPr>
        <w:pStyle w:val="ListBullet"/>
      </w:pPr>
      <w:r>
        <w:t>Aboriginal Areas Protection Authority</w:t>
      </w:r>
      <w:r w:rsidR="00C55463">
        <w:t>;</w:t>
      </w:r>
    </w:p>
    <w:p w14:paraId="3A979A31" w14:textId="553F97E1" w:rsidR="004A2D31" w:rsidRDefault="004A2D31" w:rsidP="004A2D31">
      <w:pPr>
        <w:pStyle w:val="ListBullet"/>
      </w:pPr>
      <w:r>
        <w:t>Department of Corporate and Digital Development</w:t>
      </w:r>
      <w:r w:rsidR="00C55463">
        <w:t>;</w:t>
      </w:r>
    </w:p>
    <w:p w14:paraId="65031FE4" w14:textId="42CCECB9" w:rsidR="004A2D31" w:rsidRDefault="004A2D31" w:rsidP="004A2D31">
      <w:pPr>
        <w:pStyle w:val="ListBullet"/>
      </w:pPr>
      <w:r>
        <w:t>Department of Education</w:t>
      </w:r>
      <w:r w:rsidR="00C55463">
        <w:t>;</w:t>
      </w:r>
    </w:p>
    <w:p w14:paraId="43EB62B7" w14:textId="0B1967D2" w:rsidR="004A2D31" w:rsidRDefault="004A2D31" w:rsidP="004A2D31">
      <w:pPr>
        <w:pStyle w:val="ListBullet"/>
      </w:pPr>
      <w:r>
        <w:t>Department of Environment, Parks and Water Security</w:t>
      </w:r>
      <w:r w:rsidR="00C55463">
        <w:t>;</w:t>
      </w:r>
    </w:p>
    <w:p w14:paraId="3836EE1B" w14:textId="37191586" w:rsidR="004A2D31" w:rsidRDefault="004A2D31" w:rsidP="004A2D31">
      <w:pPr>
        <w:pStyle w:val="ListBullet"/>
      </w:pPr>
      <w:r>
        <w:t>Department of Health</w:t>
      </w:r>
      <w:r w:rsidR="00C55463">
        <w:t>;</w:t>
      </w:r>
    </w:p>
    <w:p w14:paraId="2E5963AB" w14:textId="4F65E939" w:rsidR="004A2D31" w:rsidRDefault="004A2D31" w:rsidP="004A2D31">
      <w:pPr>
        <w:pStyle w:val="ListBullet"/>
      </w:pPr>
      <w:r>
        <w:t>Department of Industry, Tourism and Trade</w:t>
      </w:r>
      <w:r w:rsidR="00C55463">
        <w:t>;</w:t>
      </w:r>
    </w:p>
    <w:p w14:paraId="36515324" w14:textId="28C36785" w:rsidR="004A2D31" w:rsidRDefault="004A2D31" w:rsidP="004A2D31">
      <w:pPr>
        <w:pStyle w:val="ListBullet"/>
      </w:pPr>
      <w:r>
        <w:t>Department of Infrastructure, Planning and Logistics</w:t>
      </w:r>
      <w:r w:rsidR="00C55463">
        <w:t>;</w:t>
      </w:r>
    </w:p>
    <w:p w14:paraId="000EA852" w14:textId="77777777" w:rsidR="003D554D" w:rsidRDefault="003D554D" w:rsidP="003D554D">
      <w:pPr>
        <w:pStyle w:val="ListBullet"/>
      </w:pPr>
      <w:r>
        <w:t>Department of Territory Families, Housing and Communities;</w:t>
      </w:r>
    </w:p>
    <w:p w14:paraId="68EF5282" w14:textId="7D3117B9" w:rsidR="004A2D31" w:rsidRDefault="004A2D31" w:rsidP="004A2D31">
      <w:pPr>
        <w:pStyle w:val="ListBullet"/>
      </w:pPr>
      <w:r>
        <w:t>Department of the Attorney-General and Justice</w:t>
      </w:r>
      <w:r w:rsidR="00C55463">
        <w:t>;</w:t>
      </w:r>
    </w:p>
    <w:p w14:paraId="403D3B8A" w14:textId="718EDEDB" w:rsidR="004A2D31" w:rsidRDefault="004A2D31" w:rsidP="004A2D31">
      <w:pPr>
        <w:pStyle w:val="ListBullet"/>
      </w:pPr>
      <w:r>
        <w:t>Department of the Chief Minister</w:t>
      </w:r>
      <w:r w:rsidR="00E61CEA">
        <w:t xml:space="preserve"> and Cabinet</w:t>
      </w:r>
      <w:r w:rsidR="00C55463">
        <w:t>;</w:t>
      </w:r>
    </w:p>
    <w:p w14:paraId="0821EFB5" w14:textId="1CAD203E" w:rsidR="004A2D31" w:rsidRDefault="004A2D31" w:rsidP="004A2D31">
      <w:pPr>
        <w:pStyle w:val="ListBullet"/>
      </w:pPr>
      <w:r>
        <w:t>Department of the Legislative Assembly</w:t>
      </w:r>
      <w:r w:rsidR="00C55463">
        <w:t>;</w:t>
      </w:r>
    </w:p>
    <w:p w14:paraId="23EE2BFC" w14:textId="704B7E3A" w:rsidR="004A2D31" w:rsidRDefault="004A2D31" w:rsidP="004A2D31">
      <w:pPr>
        <w:pStyle w:val="ListBullet"/>
      </w:pPr>
      <w:r>
        <w:t>Department of Treasury and Finance</w:t>
      </w:r>
      <w:r w:rsidR="00C55463">
        <w:t>;</w:t>
      </w:r>
    </w:p>
    <w:p w14:paraId="33E8E525" w14:textId="1CE52CF2" w:rsidR="004A2D31" w:rsidRPr="000D515D" w:rsidRDefault="00FD1498" w:rsidP="004A2D31">
      <w:pPr>
        <w:pStyle w:val="Heading1-continued"/>
      </w:pPr>
      <w:r w:rsidRPr="00FD1498">
        <w:t>Selected Agencies – Agency Compliance Audits</w:t>
      </w:r>
      <w:r>
        <w:t xml:space="preserve"> </w:t>
      </w:r>
      <w:r w:rsidR="004A2D31">
        <w:t>cont…</w:t>
      </w:r>
    </w:p>
    <w:p w14:paraId="031A32CD" w14:textId="030B8BF4" w:rsidR="004A2D31" w:rsidRDefault="004A2D31" w:rsidP="004A2D31">
      <w:pPr>
        <w:pStyle w:val="ListBullet"/>
      </w:pPr>
      <w:r>
        <w:t>Northern Territory Electoral Commission</w:t>
      </w:r>
      <w:r w:rsidR="00C55463">
        <w:t>;</w:t>
      </w:r>
    </w:p>
    <w:p w14:paraId="1F1B8431" w14:textId="2ADA9F6B" w:rsidR="004A2D31" w:rsidRDefault="004A2D31" w:rsidP="004A2D31">
      <w:pPr>
        <w:pStyle w:val="ListBullet"/>
      </w:pPr>
      <w:r>
        <w:t>Northern Territory Police, Fire and Emergency Services</w:t>
      </w:r>
      <w:r w:rsidR="00C55463">
        <w:t>;</w:t>
      </w:r>
    </w:p>
    <w:p w14:paraId="7DAB1B99" w14:textId="050E98D5" w:rsidR="004A2D31" w:rsidRDefault="004A2D31" w:rsidP="004A2D31">
      <w:pPr>
        <w:pStyle w:val="ListBullet"/>
      </w:pPr>
      <w:r>
        <w:t>Office of the Independent Commissioner Against Corruption</w:t>
      </w:r>
      <w:r w:rsidR="00C55463">
        <w:t>; and</w:t>
      </w:r>
    </w:p>
    <w:p w14:paraId="110DED06" w14:textId="53AF2BC4" w:rsidR="004A2D31" w:rsidRDefault="004A2D31" w:rsidP="004A2D31">
      <w:pPr>
        <w:pStyle w:val="ListBullet"/>
      </w:pPr>
      <w:r>
        <w:t>Ombudsman’s Office.</w:t>
      </w:r>
    </w:p>
    <w:p w14:paraId="5E4AC47D" w14:textId="77777777" w:rsidR="004A2D31" w:rsidRDefault="004A2D31" w:rsidP="004A2D31">
      <w:pPr>
        <w:pStyle w:val="Heading3"/>
      </w:pPr>
      <w:r>
        <w:t>Scope and Objectives</w:t>
      </w:r>
    </w:p>
    <w:p w14:paraId="7560C9EC" w14:textId="095B4907" w:rsidR="004A2D31" w:rsidRPr="00F30939" w:rsidRDefault="004A2D31" w:rsidP="004A2D31">
      <w:r w:rsidRPr="001A0782">
        <w:t xml:space="preserve">Agency compliance audits are intended to ascertain the extent to which </w:t>
      </w:r>
      <w:r w:rsidR="00B46A62">
        <w:t>a</w:t>
      </w:r>
      <w:r>
        <w:t>gencies</w:t>
      </w:r>
      <w:r w:rsidRPr="001A0782">
        <w:t>’ Accountable Officers have implemented and maintained procedures that assist in ensuring that the requirements set out in Acts of Parliament, and subordinate and delegated legislation, are adhered to</w:t>
      </w:r>
      <w:r>
        <w:t>.</w:t>
      </w:r>
    </w:p>
    <w:p w14:paraId="1D2F4CC3" w14:textId="77777777" w:rsidR="004A2D31" w:rsidRDefault="004A2D31" w:rsidP="004A2D31">
      <w:pPr>
        <w:pStyle w:val="Heading3"/>
      </w:pPr>
      <w:r>
        <w:t>Audit Observations</w:t>
      </w:r>
    </w:p>
    <w:p w14:paraId="3AA08937" w14:textId="7B688F37" w:rsidR="004A2D31" w:rsidRDefault="004A2D31" w:rsidP="004A2D31">
      <w:r>
        <w:t xml:space="preserve">Whilst none of the exceptions identified in the audits were indicative of pervasive </w:t>
      </w:r>
      <w:r w:rsidR="007C6CC4">
        <w:t>across</w:t>
      </w:r>
      <w:r w:rsidR="007C6CC4">
        <w:noBreakHyphen/>
        <w:t xml:space="preserve">government </w:t>
      </w:r>
      <w:r>
        <w:t xml:space="preserve">weaknesses leading to material misstatements of the Treasurer’s Annual Financial Statements, </w:t>
      </w:r>
      <w:r w:rsidR="00C31DEF">
        <w:t xml:space="preserve">a number of controls weaknesses and </w:t>
      </w:r>
      <w:r>
        <w:t xml:space="preserve">issues </w:t>
      </w:r>
      <w:r w:rsidR="00C31DEF">
        <w:t xml:space="preserve">were </w:t>
      </w:r>
      <w:r w:rsidR="00FA3CCC">
        <w:t xml:space="preserve">identified </w:t>
      </w:r>
      <w:r w:rsidR="004A071F">
        <w:t xml:space="preserve">at many agencies </w:t>
      </w:r>
      <w:r w:rsidR="00FA3CCC">
        <w:t>during</w:t>
      </w:r>
      <w:r w:rsidR="00C31DEF">
        <w:t xml:space="preserve"> the </w:t>
      </w:r>
      <w:r w:rsidR="004A071F">
        <w:t xml:space="preserve">agency compliance </w:t>
      </w:r>
      <w:r w:rsidR="00C31DEF">
        <w:t>audits. These matters are presented below.</w:t>
      </w:r>
    </w:p>
    <w:p w14:paraId="766DA1A4" w14:textId="78990FB8" w:rsidR="00B40BD0" w:rsidRDefault="00C31DEF" w:rsidP="00C64E13">
      <w:pPr>
        <w:pStyle w:val="ListBullet"/>
      </w:pPr>
      <w:r>
        <w:t>I</w:t>
      </w:r>
      <w:r w:rsidR="007C6CC4">
        <w:t>nstances of non-</w:t>
      </w:r>
      <w:r w:rsidR="00B40BD0" w:rsidRPr="00402A9F">
        <w:t>compliance with Procurement Rules</w:t>
      </w:r>
      <w:r w:rsidR="00FA3CCC">
        <w:t xml:space="preserve"> </w:t>
      </w:r>
      <w:r>
        <w:t xml:space="preserve">were identified </w:t>
      </w:r>
      <w:r w:rsidR="00FA3CCC">
        <w:t>where</w:t>
      </w:r>
      <w:r w:rsidR="00B40BD0" w:rsidRPr="00402A9F">
        <w:t>;</w:t>
      </w:r>
    </w:p>
    <w:p w14:paraId="15B3647E" w14:textId="2D7E03BD" w:rsidR="00B40BD0" w:rsidRDefault="007C6CC4" w:rsidP="00C64E13">
      <w:pPr>
        <w:pStyle w:val="ListBullet"/>
        <w:ind w:left="720"/>
      </w:pPr>
      <w:r>
        <w:t xml:space="preserve">procurements were awarded at values exceeding the tier in which they were assessed; </w:t>
      </w:r>
    </w:p>
    <w:p w14:paraId="4D9203D5" w14:textId="0D0F41A6" w:rsidR="007C6CC4" w:rsidRDefault="007C6CC4" w:rsidP="00C64E13">
      <w:pPr>
        <w:pStyle w:val="ListBullet"/>
        <w:ind w:left="720"/>
      </w:pPr>
      <w:r>
        <w:t xml:space="preserve">documentary evidence was </w:t>
      </w:r>
      <w:r w:rsidRPr="005562FC">
        <w:rPr>
          <w:b/>
        </w:rPr>
        <w:t>not</w:t>
      </w:r>
      <w:r>
        <w:t xml:space="preserve"> provided to demonstrate:</w:t>
      </w:r>
    </w:p>
    <w:p w14:paraId="3A561DF8" w14:textId="3FACFADD" w:rsidR="007C6CC4" w:rsidRDefault="00B40BD0" w:rsidP="00C64E13">
      <w:pPr>
        <w:pStyle w:val="ListBullet"/>
        <w:ind w:left="1080"/>
      </w:pPr>
      <w:r>
        <w:t xml:space="preserve">conflict of interest declarations </w:t>
      </w:r>
      <w:r w:rsidR="007C6CC4">
        <w:t>had been made</w:t>
      </w:r>
      <w:r w:rsidR="005562FC">
        <w:t>;</w:t>
      </w:r>
    </w:p>
    <w:p w14:paraId="01D20E31" w14:textId="54CEBD4F" w:rsidR="005562FC" w:rsidRDefault="005562FC" w:rsidP="00C64E13">
      <w:pPr>
        <w:pStyle w:val="ListBullet"/>
        <w:ind w:left="1080"/>
      </w:pPr>
      <w:r>
        <w:t>approval had been given for the use of special conditions of contract;</w:t>
      </w:r>
    </w:p>
    <w:p w14:paraId="0F1BF8E7" w14:textId="476E75D2" w:rsidR="005562FC" w:rsidRDefault="005562FC" w:rsidP="00C64E13">
      <w:pPr>
        <w:pStyle w:val="ListBullet"/>
        <w:ind w:left="1080"/>
      </w:pPr>
      <w:r>
        <w:t>approval had been given for the issuing of an addendum;</w:t>
      </w:r>
    </w:p>
    <w:p w14:paraId="17037057" w14:textId="5D7D789C" w:rsidR="005562FC" w:rsidRDefault="005562FC" w:rsidP="00C64E13">
      <w:pPr>
        <w:pStyle w:val="ListBullet"/>
        <w:ind w:left="1080"/>
      </w:pPr>
      <w:r>
        <w:t>approval had been appropriately sought prior to obtaining quotations from suppliers;</w:t>
      </w:r>
    </w:p>
    <w:p w14:paraId="5293EA5F" w14:textId="6B59071B" w:rsidR="005562FC" w:rsidRDefault="005562FC" w:rsidP="00C64E13">
      <w:pPr>
        <w:pStyle w:val="ListBullet"/>
        <w:ind w:left="1080"/>
      </w:pPr>
      <w:r>
        <w:t>prior approval</w:t>
      </w:r>
      <w:r w:rsidR="00755C8A">
        <w:t xml:space="preserve"> had been granted</w:t>
      </w:r>
      <w:r>
        <w:t xml:space="preserve"> for a variation to the approved quote;</w:t>
      </w:r>
    </w:p>
    <w:p w14:paraId="3150FAB4" w14:textId="6EC94CA5" w:rsidR="005562FC" w:rsidRDefault="005562FC" w:rsidP="00C64E13">
      <w:pPr>
        <w:pStyle w:val="ListBullet"/>
        <w:ind w:left="1080"/>
      </w:pPr>
      <w:r w:rsidRPr="00A453C7">
        <w:t>that a quotation was obtained</w:t>
      </w:r>
      <w:r>
        <w:t>; and</w:t>
      </w:r>
    </w:p>
    <w:p w14:paraId="3AEC7189" w14:textId="7111F66C" w:rsidR="005562FC" w:rsidRDefault="005562FC" w:rsidP="00C64E13">
      <w:pPr>
        <w:pStyle w:val="ListBullet"/>
        <w:ind w:left="1080"/>
      </w:pPr>
      <w:r w:rsidRPr="00A453C7">
        <w:t>support for the cost</w:t>
      </w:r>
      <w:r>
        <w:t xml:space="preserve"> </w:t>
      </w:r>
      <w:r w:rsidR="00755C8A">
        <w:t>incurred</w:t>
      </w:r>
      <w:r>
        <w:t>.</w:t>
      </w:r>
    </w:p>
    <w:p w14:paraId="1E22FE4E" w14:textId="6F178BE3" w:rsidR="00B40BD0" w:rsidRDefault="007C6CC4" w:rsidP="00C64E13">
      <w:pPr>
        <w:pStyle w:val="ListBullet"/>
        <w:ind w:left="720"/>
      </w:pPr>
      <w:r>
        <w:t>an</w:t>
      </w:r>
      <w:r w:rsidR="00B40BD0">
        <w:t xml:space="preserve"> instance </w:t>
      </w:r>
      <w:r>
        <w:t>where</w:t>
      </w:r>
      <w:r w:rsidR="00B40BD0">
        <w:t xml:space="preserve"> the </w:t>
      </w:r>
      <w:r>
        <w:t xml:space="preserve">conflict of interest declaration </w:t>
      </w:r>
      <w:r w:rsidR="00B40BD0">
        <w:t xml:space="preserve">form was </w:t>
      </w:r>
      <w:r w:rsidR="005562FC">
        <w:t xml:space="preserve">retained but </w:t>
      </w:r>
      <w:r w:rsidR="00B40BD0">
        <w:t>the form did not indicate whether or not there was a conflict of interest;</w:t>
      </w:r>
    </w:p>
    <w:p w14:paraId="177C2B67" w14:textId="6E48C41A" w:rsidR="00B40BD0" w:rsidRDefault="00B40BD0" w:rsidP="00C64E13">
      <w:pPr>
        <w:pStyle w:val="ListBullet"/>
        <w:ind w:left="720"/>
      </w:pPr>
      <w:r>
        <w:t xml:space="preserve">the </w:t>
      </w:r>
      <w:r w:rsidR="0029128E">
        <w:t>‘</w:t>
      </w:r>
      <w:r w:rsidR="00C1326D">
        <w:t>Authority to Invite Offer Form</w:t>
      </w:r>
      <w:r w:rsidR="0029128E">
        <w:t>’</w:t>
      </w:r>
      <w:r>
        <w:t xml:space="preserve"> did not indicate whether, or not, approval was granted;</w:t>
      </w:r>
    </w:p>
    <w:p w14:paraId="1199D2D5" w14:textId="63A4DA96" w:rsidR="00B40BD0" w:rsidRDefault="00B40BD0" w:rsidP="00C64E13">
      <w:pPr>
        <w:pStyle w:val="ListBullet"/>
        <w:ind w:left="720"/>
      </w:pPr>
      <w:r>
        <w:t xml:space="preserve">the acceptance and approval of an indemnity clause was not recorded in the Register of </w:t>
      </w:r>
      <w:r w:rsidR="00C1326D">
        <w:t>G</w:t>
      </w:r>
      <w:r>
        <w:t xml:space="preserve">uarantees and </w:t>
      </w:r>
      <w:r w:rsidR="00C1326D">
        <w:t>Indemnities</w:t>
      </w:r>
      <w:r>
        <w:t xml:space="preserve">; </w:t>
      </w:r>
    </w:p>
    <w:p w14:paraId="5539E2A2" w14:textId="2BEB47EF" w:rsidR="00B40BD0" w:rsidRDefault="00B40BD0" w:rsidP="00C64E13">
      <w:pPr>
        <w:pStyle w:val="ListBullet"/>
        <w:ind w:left="720"/>
      </w:pPr>
      <w:r>
        <w:t xml:space="preserve">the contract value disclosed in the </w:t>
      </w:r>
      <w:r w:rsidR="0029128E">
        <w:t>‘</w:t>
      </w:r>
      <w:r>
        <w:t>Notification of Acceptance</w:t>
      </w:r>
      <w:r w:rsidR="0029128E">
        <w:t>’</w:t>
      </w:r>
      <w:r>
        <w:t xml:space="preserve"> was different to the awarded value gazetted and updated in APRO;</w:t>
      </w:r>
    </w:p>
    <w:p w14:paraId="42C6BAE6" w14:textId="79198ED7" w:rsidR="00B40BD0" w:rsidRDefault="00B40BD0" w:rsidP="00C64E13">
      <w:pPr>
        <w:pStyle w:val="ListBullet"/>
        <w:ind w:left="720"/>
      </w:pPr>
      <w:r>
        <w:t xml:space="preserve">the estimated cost updated in APRO was different from the estimated cost in the approved </w:t>
      </w:r>
      <w:r w:rsidR="0029128E">
        <w:t>‘</w:t>
      </w:r>
      <w:r>
        <w:t>Authority to Invite Quotations</w:t>
      </w:r>
      <w:r w:rsidR="0029128E">
        <w:t>’</w:t>
      </w:r>
      <w:r>
        <w:t>;</w:t>
      </w:r>
    </w:p>
    <w:p w14:paraId="5CFCDF0C" w14:textId="693763E7" w:rsidR="00B40BD0" w:rsidRDefault="00B40BD0" w:rsidP="00C64E13">
      <w:pPr>
        <w:pStyle w:val="ListBullet"/>
        <w:ind w:left="720"/>
      </w:pPr>
      <w:r>
        <w:t xml:space="preserve">key sections in a </w:t>
      </w:r>
      <w:r w:rsidR="0029128E">
        <w:t>‘</w:t>
      </w:r>
      <w:r>
        <w:t>Certificate of Exemption</w:t>
      </w:r>
      <w:r w:rsidR="0029128E">
        <w:t>’</w:t>
      </w:r>
      <w:r>
        <w:t xml:space="preserve"> were not completed;</w:t>
      </w:r>
    </w:p>
    <w:p w14:paraId="11F40583" w14:textId="03A2F635" w:rsidR="00A453C7" w:rsidRPr="00A453C7" w:rsidRDefault="00A453C7" w:rsidP="00C64E13">
      <w:pPr>
        <w:pStyle w:val="ListBullet"/>
        <w:ind w:left="720"/>
      </w:pPr>
      <w:r w:rsidRPr="00A453C7">
        <w:t>approv</w:t>
      </w:r>
      <w:r w:rsidR="002047C1">
        <w:t>al for a procurement process was given</w:t>
      </w:r>
      <w:r w:rsidRPr="00A453C7">
        <w:t xml:space="preserve"> by a delegate with insufficient delegated authority;</w:t>
      </w:r>
      <w:r w:rsidR="002047C1">
        <w:t xml:space="preserve"> and</w:t>
      </w:r>
    </w:p>
    <w:p w14:paraId="1701C363" w14:textId="5DF7EA7F" w:rsidR="00A453C7" w:rsidRDefault="00A453C7" w:rsidP="00C64E13">
      <w:pPr>
        <w:pStyle w:val="ListBullet"/>
        <w:ind w:left="720"/>
      </w:pPr>
      <w:r w:rsidRPr="00A453C7">
        <w:t>payment of the invoice was approved and mad</w:t>
      </w:r>
      <w:r w:rsidR="00C31DEF">
        <w:t>e prior to goods being received.</w:t>
      </w:r>
    </w:p>
    <w:p w14:paraId="36A71BF9" w14:textId="61A586DD" w:rsidR="00C31DEF" w:rsidRPr="000D515D" w:rsidRDefault="00FD1498" w:rsidP="00C31DEF">
      <w:pPr>
        <w:pStyle w:val="Heading1-continued"/>
      </w:pPr>
      <w:r w:rsidRPr="00FD1498">
        <w:t>Selected Agencies – Agency Compliance Audits cont…</w:t>
      </w:r>
    </w:p>
    <w:p w14:paraId="6B163F26" w14:textId="00332090" w:rsidR="00CD0229" w:rsidRPr="00A453C7" w:rsidRDefault="00C31DEF" w:rsidP="00033353">
      <w:pPr>
        <w:pStyle w:val="ListBullet"/>
      </w:pPr>
      <w:r>
        <w:t>Miscoding of t</w:t>
      </w:r>
      <w:r w:rsidR="00CD0229" w:rsidRPr="00A453C7">
        <w:t>ransactions</w:t>
      </w:r>
      <w:r>
        <w:t xml:space="preserve"> had occurred</w:t>
      </w:r>
      <w:r w:rsidR="00CD0229" w:rsidRPr="00A453C7">
        <w:t>:</w:t>
      </w:r>
    </w:p>
    <w:p w14:paraId="42F3E807" w14:textId="44FA5BB4" w:rsidR="00CD0229" w:rsidRPr="00A453C7" w:rsidRDefault="00CD0229" w:rsidP="00C64E13">
      <w:pPr>
        <w:pStyle w:val="ListBullet"/>
        <w:ind w:left="720"/>
      </w:pPr>
      <w:r w:rsidRPr="00A453C7">
        <w:t xml:space="preserve">between financial years; </w:t>
      </w:r>
    </w:p>
    <w:p w14:paraId="539CEA05" w14:textId="27A89539" w:rsidR="00CD0229" w:rsidRPr="00A453C7" w:rsidRDefault="00CD0229" w:rsidP="00C64E13">
      <w:pPr>
        <w:pStyle w:val="ListBullet"/>
        <w:ind w:left="720"/>
      </w:pPr>
      <w:r w:rsidRPr="00A453C7">
        <w:t xml:space="preserve">between account types (e.g. income and expenditure); </w:t>
      </w:r>
      <w:r w:rsidR="00C31DEF">
        <w:t>and</w:t>
      </w:r>
    </w:p>
    <w:p w14:paraId="4CC4C772" w14:textId="3098824F" w:rsidR="00CD0229" w:rsidRPr="00A453C7" w:rsidRDefault="00CD0229" w:rsidP="00C64E13">
      <w:pPr>
        <w:pStyle w:val="ListBullet"/>
        <w:ind w:left="720"/>
      </w:pPr>
      <w:r w:rsidRPr="00A453C7">
        <w:t>in incorrect accounts (e.g. grant income vs services rendered).</w:t>
      </w:r>
    </w:p>
    <w:p w14:paraId="10479C84" w14:textId="18E1C278" w:rsidR="00A453C7" w:rsidRDefault="00C31DEF" w:rsidP="00A453C7">
      <w:pPr>
        <w:pStyle w:val="ListBullet"/>
      </w:pPr>
      <w:r>
        <w:t>D</w:t>
      </w:r>
      <w:r w:rsidR="00A453C7" w:rsidRPr="00A453C7">
        <w:t>epartures from the requirements of the Treasurer’s Directions and the Agency’s internal procedures in relation to asset disposals and depreciation</w:t>
      </w:r>
      <w:r>
        <w:t xml:space="preserve"> were observed</w:t>
      </w:r>
      <w:r w:rsidR="00A453C7" w:rsidRPr="00A453C7">
        <w:t>.</w:t>
      </w:r>
    </w:p>
    <w:p w14:paraId="0F9F0DEB" w14:textId="144F4296" w:rsidR="00033353" w:rsidRPr="00A453C7" w:rsidRDefault="00C31DEF" w:rsidP="00033353">
      <w:pPr>
        <w:pStyle w:val="ListBullet"/>
      </w:pPr>
      <w:r>
        <w:t>In some instances t</w:t>
      </w:r>
      <w:r w:rsidR="00033353" w:rsidRPr="00A453C7">
        <w:t xml:space="preserve">ravel </w:t>
      </w:r>
      <w:r>
        <w:t xml:space="preserve">had </w:t>
      </w:r>
      <w:r w:rsidR="00C749DA" w:rsidRPr="00A453C7">
        <w:t>not</w:t>
      </w:r>
      <w:r w:rsidR="00033353" w:rsidRPr="00A453C7">
        <w:t xml:space="preserve"> </w:t>
      </w:r>
      <w:r>
        <w:t xml:space="preserve">been </w:t>
      </w:r>
      <w:r w:rsidR="00033353" w:rsidRPr="00A453C7">
        <w:t>acquitted in a timely manner</w:t>
      </w:r>
      <w:r w:rsidR="00A453C7" w:rsidRPr="00A453C7">
        <w:t xml:space="preserve"> or </w:t>
      </w:r>
      <w:r w:rsidR="00E34B2C">
        <w:t xml:space="preserve">was not </w:t>
      </w:r>
      <w:r w:rsidR="00A453C7" w:rsidRPr="00A453C7">
        <w:t>accurately recorded in TRIPS</w:t>
      </w:r>
      <w:r w:rsidR="00D61C68">
        <w:t>.</w:t>
      </w:r>
    </w:p>
    <w:p w14:paraId="3AA2C497" w14:textId="3D5A2656" w:rsidR="00A84377" w:rsidRPr="00A453C7" w:rsidRDefault="00D61C68" w:rsidP="00A84377">
      <w:pPr>
        <w:pStyle w:val="ListBullet"/>
      </w:pPr>
      <w:r>
        <w:t>P</w:t>
      </w:r>
      <w:r w:rsidR="00A84377" w:rsidRPr="00A453C7">
        <w:t xml:space="preserve">repaid cards (gift cards) </w:t>
      </w:r>
      <w:r w:rsidR="005E7DE4" w:rsidRPr="00A453C7">
        <w:t>had</w:t>
      </w:r>
      <w:r w:rsidR="00A84377" w:rsidRPr="00A453C7">
        <w:t xml:space="preserve"> been gifted in contravention of Treasurer’s Direction “</w:t>
      </w:r>
      <w:r w:rsidR="00A84377" w:rsidRPr="00A453C7">
        <w:rPr>
          <w:i/>
        </w:rPr>
        <w:t>Gifting of Property</w:t>
      </w:r>
      <w:r>
        <w:t>”.</w:t>
      </w:r>
    </w:p>
    <w:p w14:paraId="28F3DC96" w14:textId="62607973" w:rsidR="00033353" w:rsidRPr="00A453C7" w:rsidRDefault="00C3109C" w:rsidP="00033353">
      <w:pPr>
        <w:pStyle w:val="ListBullet"/>
      </w:pPr>
      <w:r>
        <w:t>There was a</w:t>
      </w:r>
      <w:r w:rsidR="005E7DE4" w:rsidRPr="00A453C7">
        <w:t xml:space="preserve"> </w:t>
      </w:r>
      <w:r w:rsidR="00033353" w:rsidRPr="00A453C7">
        <w:t xml:space="preserve">lack of internal audit capacity </w:t>
      </w:r>
      <w:r w:rsidR="00C31DEF">
        <w:t xml:space="preserve">within some agencies and </w:t>
      </w:r>
      <w:r w:rsidR="00033353" w:rsidRPr="00A453C7">
        <w:t>weakness</w:t>
      </w:r>
      <w:r w:rsidR="00D61C68">
        <w:t xml:space="preserve">es in </w:t>
      </w:r>
      <w:r w:rsidR="00C31DEF">
        <w:t>the internal audit function were observed</w:t>
      </w:r>
      <w:r w:rsidR="00D61C68">
        <w:t>.</w:t>
      </w:r>
    </w:p>
    <w:p w14:paraId="6AA3ACBD" w14:textId="3B7073D6" w:rsidR="00C3109C" w:rsidRDefault="00033353" w:rsidP="00C3109C">
      <w:pPr>
        <w:pStyle w:val="ListBullet"/>
      </w:pPr>
      <w:r w:rsidRPr="00A453C7">
        <w:t xml:space="preserve">Accounting and Property Manuals </w:t>
      </w:r>
      <w:r w:rsidR="00B40BD0" w:rsidRPr="00A453C7">
        <w:t xml:space="preserve">were </w:t>
      </w:r>
      <w:r w:rsidR="005E7DE4" w:rsidRPr="00A453C7">
        <w:t>not</w:t>
      </w:r>
      <w:r w:rsidRPr="00A453C7">
        <w:t xml:space="preserve"> fully </w:t>
      </w:r>
      <w:r w:rsidR="00B40BD0" w:rsidRPr="00A453C7">
        <w:t>compliant</w:t>
      </w:r>
      <w:r w:rsidR="00CC3AA8" w:rsidRPr="00A453C7">
        <w:t xml:space="preserve"> with Treasurer’s Directions</w:t>
      </w:r>
      <w:r w:rsidR="00D61C68">
        <w:t>.</w:t>
      </w:r>
    </w:p>
    <w:p w14:paraId="0E186F00" w14:textId="478975F7" w:rsidR="00C31DEF" w:rsidRDefault="00C31DEF" w:rsidP="00C31DEF">
      <w:pPr>
        <w:pStyle w:val="ListBullet"/>
      </w:pPr>
      <w:r>
        <w:t>R</w:t>
      </w:r>
      <w:r w:rsidRPr="00A453C7">
        <w:t>egisters of equity investments, financial interests, contingencies, guarantees</w:t>
      </w:r>
      <w:r>
        <w:t>, credit cards</w:t>
      </w:r>
      <w:r w:rsidRPr="00A453C7">
        <w:t xml:space="preserve"> and indemnities were incomplete</w:t>
      </w:r>
      <w:r>
        <w:t>.</w:t>
      </w:r>
    </w:p>
    <w:p w14:paraId="5AB29478" w14:textId="77777777" w:rsidR="00C31DEF" w:rsidRPr="00A453C7" w:rsidRDefault="00C31DEF" w:rsidP="00C31DEF">
      <w:pPr>
        <w:pStyle w:val="ListBullet"/>
      </w:pPr>
      <w:r>
        <w:t>Fr</w:t>
      </w:r>
      <w:r w:rsidRPr="00A453C7">
        <w:t>aud control procedures require strengthening</w:t>
      </w:r>
      <w:r>
        <w:t>.</w:t>
      </w:r>
    </w:p>
    <w:p w14:paraId="0FF6A3ED" w14:textId="133B965B" w:rsidR="00C31DEF" w:rsidRPr="00A453C7" w:rsidRDefault="00C31DEF" w:rsidP="00C31DEF">
      <w:pPr>
        <w:pStyle w:val="ListBullet"/>
      </w:pPr>
      <w:r>
        <w:t>D</w:t>
      </w:r>
      <w:r w:rsidRPr="00A453C7">
        <w:t>eficiencies were observed in relation to</w:t>
      </w:r>
      <w:r>
        <w:t xml:space="preserve"> management and recovery of</w:t>
      </w:r>
      <w:r w:rsidRPr="00A453C7">
        <w:t xml:space="preserve"> losses, predominantly losses </w:t>
      </w:r>
      <w:r>
        <w:t>related to salary overpayments. S</w:t>
      </w:r>
      <w:r w:rsidRPr="00A453C7">
        <w:t>ome of the salary overpayments</w:t>
      </w:r>
      <w:r>
        <w:t xml:space="preserve"> dated back to the year ended 30 June 2015.</w:t>
      </w:r>
    </w:p>
    <w:p w14:paraId="03FB76E5" w14:textId="62658F22" w:rsidR="00C31DEF" w:rsidRPr="00A453C7" w:rsidRDefault="00C31DEF" w:rsidP="00C31DEF">
      <w:pPr>
        <w:pStyle w:val="ListBullet"/>
      </w:pPr>
      <w:r>
        <w:t>In one instance, s</w:t>
      </w:r>
      <w:r w:rsidRPr="00A453C7">
        <w:t>upporting documentation for a repairs and maintenance transaction was unable to be provided as the documentation was deleted</w:t>
      </w:r>
      <w:r>
        <w:t>/disposed of rather than</w:t>
      </w:r>
      <w:r w:rsidRPr="00A453C7">
        <w:t xml:space="preserve"> being filed in the</w:t>
      </w:r>
      <w:r>
        <w:t xml:space="preserve"> agency’s</w:t>
      </w:r>
      <w:r w:rsidRPr="00A453C7">
        <w:t xml:space="preserve"> records management </w:t>
      </w:r>
      <w:r>
        <w:t>system.</w:t>
      </w:r>
    </w:p>
    <w:p w14:paraId="610CE0B8" w14:textId="290476C3" w:rsidR="00C31DEF" w:rsidRPr="00A453C7" w:rsidRDefault="00C31DEF" w:rsidP="00C31DEF">
      <w:pPr>
        <w:pStyle w:val="ListBullet"/>
      </w:pPr>
      <w:r>
        <w:t>R</w:t>
      </w:r>
      <w:r w:rsidRPr="00A453C7">
        <w:t xml:space="preserve">evenue was not consistently accounted for </w:t>
      </w:r>
      <w:r>
        <w:t>in accordance with</w:t>
      </w:r>
      <w:r w:rsidRPr="00A453C7">
        <w:t xml:space="preserve"> Australian Accounting Standards </w:t>
      </w:r>
      <w:r w:rsidRPr="00A453C7">
        <w:rPr>
          <w:i/>
        </w:rPr>
        <w:t>AASB 15 Revenue from Contracts with Customers</w:t>
      </w:r>
      <w:r w:rsidRPr="00A453C7">
        <w:t xml:space="preserve"> and </w:t>
      </w:r>
      <w:r w:rsidRPr="00A453C7">
        <w:rPr>
          <w:i/>
        </w:rPr>
        <w:t>AASB 1058 Income of Not</w:t>
      </w:r>
      <w:r w:rsidRPr="00A453C7">
        <w:rPr>
          <w:i/>
        </w:rPr>
        <w:noBreakHyphen/>
        <w:t>for-Profit Entities</w:t>
      </w:r>
      <w:r>
        <w:t>.</w:t>
      </w:r>
    </w:p>
    <w:p w14:paraId="61A77D76" w14:textId="0C85242A" w:rsidR="00C31DEF" w:rsidRDefault="00C31DEF" w:rsidP="00C31DEF">
      <w:pPr>
        <w:pStyle w:val="ListBullet"/>
      </w:pPr>
      <w:r>
        <w:t>D</w:t>
      </w:r>
      <w:r w:rsidRPr="00C749DA">
        <w:t>eficiencie</w:t>
      </w:r>
      <w:r>
        <w:t xml:space="preserve">s in controls over fixed assets were identified including gifted assets not being recorded in the Register of Gifted Property, lost assets not being recorded in the Register of Losses and asset disposal forms not being prepared. </w:t>
      </w:r>
    </w:p>
    <w:p w14:paraId="64189C40" w14:textId="12FC5117" w:rsidR="00C31DEF" w:rsidRDefault="00C31DEF" w:rsidP="00C31DEF">
      <w:pPr>
        <w:pStyle w:val="ListBullet"/>
      </w:pPr>
      <w:r>
        <w:t>One Agency engaged a number of</w:t>
      </w:r>
      <w:r w:rsidR="00283897">
        <w:t xml:space="preserve"> individual</w:t>
      </w:r>
      <w:r>
        <w:t xml:space="preserve"> contractors that work within the agency. These contractors were engaged on an </w:t>
      </w:r>
      <w:r w:rsidR="00E76DE7">
        <w:t>“as</w:t>
      </w:r>
      <w:r w:rsidR="00E76DE7">
        <w:noBreakHyphen/>
      </w:r>
      <w:r>
        <w:t>needs</w:t>
      </w:r>
      <w:r w:rsidR="00E76DE7">
        <w:t>”</w:t>
      </w:r>
      <w:r>
        <w:t xml:space="preserve"> basis and are paid based on hours worked and recorded on timesheets. The Agency does not have a formal policy </w:t>
      </w:r>
      <w:r w:rsidR="00283897">
        <w:t xml:space="preserve">to assist in </w:t>
      </w:r>
      <w:r>
        <w:t>identif</w:t>
      </w:r>
      <w:r w:rsidR="00283897">
        <w:t>ying</w:t>
      </w:r>
      <w:r>
        <w:t xml:space="preserve"> whether </w:t>
      </w:r>
      <w:r w:rsidR="00283897">
        <w:t xml:space="preserve">such contractual arrangements would result in the individuals meeting </w:t>
      </w:r>
      <w:r>
        <w:t>the definition of an employee under relevant employment legislation.</w:t>
      </w:r>
    </w:p>
    <w:p w14:paraId="41073D99" w14:textId="257CA201" w:rsidR="00C3109C" w:rsidRPr="000D515D" w:rsidRDefault="00FD1498" w:rsidP="00C3109C">
      <w:pPr>
        <w:pStyle w:val="Heading1-continued"/>
      </w:pPr>
      <w:r w:rsidRPr="00FD1498">
        <w:t>Selected Agencies – Agency Compliance Audits cont…</w:t>
      </w:r>
    </w:p>
    <w:p w14:paraId="7A27E294" w14:textId="72D9088C" w:rsidR="004A071F" w:rsidRDefault="004A071F" w:rsidP="004A071F">
      <w:pPr>
        <w:pStyle w:val="ListBullet"/>
      </w:pPr>
      <w:r>
        <w:t xml:space="preserve">Many agencies could not demonstrate adherence to the </w:t>
      </w:r>
      <w:r w:rsidR="00EC0273" w:rsidRPr="00220748">
        <w:t>N</w:t>
      </w:r>
      <w:r w:rsidR="00EC0273">
        <w:t>orthern Territory Government</w:t>
      </w:r>
      <w:r>
        <w:t xml:space="preserve"> policy requiring u</w:t>
      </w:r>
      <w:r w:rsidRPr="00033353">
        <w:t>ndisputed invoices</w:t>
      </w:r>
      <w:r>
        <w:t xml:space="preserve"> to be </w:t>
      </w:r>
      <w:r w:rsidRPr="00033353">
        <w:t>processed withi</w:t>
      </w:r>
      <w:r w:rsidR="00B46A62">
        <w:t>n the required 20 day (under $1 </w:t>
      </w:r>
      <w:r w:rsidRPr="00033353">
        <w:t>million) and 30 day (over $1million) periods</w:t>
      </w:r>
      <w:r>
        <w:t xml:space="preserve">. </w:t>
      </w:r>
    </w:p>
    <w:p w14:paraId="3425EF9E" w14:textId="4C694B92" w:rsidR="004A2D31" w:rsidRDefault="004A071F" w:rsidP="00A171A0">
      <w:pPr>
        <w:pStyle w:val="ListBullet"/>
        <w:numPr>
          <w:ilvl w:val="0"/>
          <w:numId w:val="0"/>
        </w:numPr>
        <w:ind w:left="360"/>
      </w:pPr>
      <w:r>
        <w:t xml:space="preserve">Whilst there are valid reasons why this measure cannot always be achieved, some agencies were reminded to consider their internal payment processes in order to improve compliance levels. </w:t>
      </w:r>
      <w:r w:rsidR="00A171A0">
        <w:t xml:space="preserve">The percentage of payments processed </w:t>
      </w:r>
      <w:r w:rsidR="0091389F">
        <w:t xml:space="preserve">outside </w:t>
      </w:r>
      <w:r w:rsidR="00A171A0">
        <w:t xml:space="preserve">of the </w:t>
      </w:r>
      <w:r w:rsidR="00EC0273" w:rsidRPr="00220748">
        <w:t>N</w:t>
      </w:r>
      <w:r w:rsidR="00EC0273">
        <w:t>orthern Territory Government’s</w:t>
      </w:r>
      <w:r w:rsidR="00A171A0">
        <w:t xml:space="preserve"> Payment Policy for the </w:t>
      </w:r>
      <w:r w:rsidR="0001758F">
        <w:t>peri</w:t>
      </w:r>
      <w:r w:rsidR="00A171A0">
        <w:t xml:space="preserve">od 1 July 2020 to 31 March 2021 is presented in the following chart. </w:t>
      </w:r>
    </w:p>
    <w:p w14:paraId="14B20A43" w14:textId="4A6B38F7" w:rsidR="002C28BE" w:rsidRDefault="00A93ECE" w:rsidP="00C3109C">
      <w:pPr>
        <w:pStyle w:val="NoSpacing"/>
        <w:ind w:left="360"/>
      </w:pPr>
      <w:r>
        <w:rPr>
          <w:noProof/>
          <w:lang w:val="en-GB" w:eastAsia="en-GB"/>
        </w:rPr>
        <w:drawing>
          <wp:inline distT="0" distB="0" distL="0" distR="0" wp14:anchorId="2A4CB47A" wp14:editId="2F5C1D23">
            <wp:extent cx="5339862" cy="4896831"/>
            <wp:effectExtent l="0" t="0" r="0" b="0"/>
            <wp:docPr id="17" name="Picture 17" descr="Aboriginal Affairs Protection Authority 1%&#10;Auditor-General's Office 1%&#10;Dept. of Infrastructure, Planning and Logistics 3%&#10;NT Electoral Commission 6%&#10;Dept. of Industry, Tourism and Trade 8%&#10;Dept. of Corporate and Digital Development 9%&#10;Dept. of the Legislative Assembly 12%&#10;Dept. of Territory Families, Housing and Communities 13%&#10;Office of the ICAC 13%&#10;NT Police, Fire and Emergency Services 14%&#10;Dept. of the Attorney-General and Justice 16%&#10;Dept. of Education 16%&#10;Dept. of Health 17%&#10;Dept. of Environment, Parks and Water Security 20%&#10;Dept. of the Chief Minister and Cabinet 21%&#10;Dept. of Treasury and Finance 24%&#10;Ombudsman's Office 31%&#10;" title="% of Payments Outside of NTG Payment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9862" cy="4896831"/>
                    </a:xfrm>
                    <a:prstGeom prst="rect">
                      <a:avLst/>
                    </a:prstGeom>
                    <a:noFill/>
                  </pic:spPr>
                </pic:pic>
              </a:graphicData>
            </a:graphic>
          </wp:inline>
        </w:drawing>
      </w:r>
    </w:p>
    <w:p w14:paraId="1C9F162E" w14:textId="18D2C5EE" w:rsidR="0001758F" w:rsidRDefault="0001758F" w:rsidP="0001758F">
      <w:pPr>
        <w:pStyle w:val="Caption"/>
      </w:pPr>
      <w:r>
        <w:t xml:space="preserve">Source: </w:t>
      </w:r>
      <w:r w:rsidR="00C3109C">
        <w:t xml:space="preserve">Department of Corporate and Digital Development generated </w:t>
      </w:r>
      <w:r>
        <w:t>AP06 – Invoice Processing Report</w:t>
      </w:r>
    </w:p>
    <w:p w14:paraId="457A93EE" w14:textId="7CCB09E7" w:rsidR="0031445C" w:rsidRDefault="0031445C" w:rsidP="00E319E6"/>
    <w:p w14:paraId="70D52D55" w14:textId="254375C2" w:rsidR="00C3109C" w:rsidRPr="00A453C7" w:rsidRDefault="008F4A45" w:rsidP="00E319E6">
      <w:r>
        <w:t xml:space="preserve"> </w:t>
      </w:r>
    </w:p>
    <w:p w14:paraId="53C081FA" w14:textId="6B7B306C" w:rsidR="00C3109C" w:rsidRDefault="00FD1498" w:rsidP="00C3109C">
      <w:pPr>
        <w:pStyle w:val="Heading1-continued"/>
      </w:pPr>
      <w:r w:rsidRPr="00FD1498">
        <w:t>Selected Agencies – Agency Compliance Audits cont…</w:t>
      </w:r>
    </w:p>
    <w:p w14:paraId="5872C590" w14:textId="2E8C5FF8" w:rsidR="00DE7C9E" w:rsidRDefault="00DE7C9E" w:rsidP="00DE7C9E">
      <w:r>
        <w:t>I consider that two further matters identified during the agency compliance audits present increased risks and relate to the handling and management of funds on behalf of individuals/entities outside government. These two matters are summarised below.</w:t>
      </w:r>
    </w:p>
    <w:p w14:paraId="5A4A6EF4" w14:textId="0BE16B91" w:rsidR="00DE7C9E" w:rsidRDefault="00DE7C9E" w:rsidP="00DE7C9E">
      <w:pPr>
        <w:pStyle w:val="Heading4"/>
      </w:pPr>
      <w:r>
        <w:t>Department of the Attorney</w:t>
      </w:r>
      <w:r>
        <w:noBreakHyphen/>
        <w:t>General and Justice</w:t>
      </w:r>
    </w:p>
    <w:p w14:paraId="3E6F83C8" w14:textId="1689A82B" w:rsidR="007C6CC4" w:rsidRDefault="007C6CC4" w:rsidP="007C6CC4">
      <w:r>
        <w:t>“</w:t>
      </w:r>
      <w:r w:rsidRPr="00D11661">
        <w:t>Deposits Held</w:t>
      </w:r>
      <w:r>
        <w:t>”</w:t>
      </w:r>
      <w:r w:rsidRPr="00D11661">
        <w:t xml:space="preserve"> and </w:t>
      </w:r>
      <w:r>
        <w:t>“</w:t>
      </w:r>
      <w:r w:rsidRPr="00D11661">
        <w:t xml:space="preserve">Accountable Officers Trust </w:t>
      </w:r>
      <w:r>
        <w:t>A</w:t>
      </w:r>
      <w:r w:rsidRPr="00D11661">
        <w:t>ccounts</w:t>
      </w:r>
      <w:r>
        <w:t>” at the Department of the Attorney</w:t>
      </w:r>
      <w:r>
        <w:noBreakHyphen/>
        <w:t xml:space="preserve">General and Justice </w:t>
      </w:r>
      <w:r w:rsidR="00FF61D9">
        <w:t>were either not regularly or adequately reconciled or the documented reconciliation contained unexplained or unresolved</w:t>
      </w:r>
      <w:r w:rsidRPr="00D11661">
        <w:t xml:space="preserve"> </w:t>
      </w:r>
      <w:r w:rsidR="00FF61D9">
        <w:t>variances.</w:t>
      </w:r>
    </w:p>
    <w:p w14:paraId="727D9DF1" w14:textId="77777777" w:rsidR="001368FE" w:rsidRPr="001368FE" w:rsidRDefault="001368FE" w:rsidP="001368FE">
      <w:pPr>
        <w:ind w:left="720"/>
        <w:rPr>
          <w:b/>
        </w:rPr>
      </w:pPr>
      <w:r w:rsidRPr="001368FE">
        <w:rPr>
          <w:b/>
        </w:rPr>
        <w:t>Accountable Officer’s Trust Account</w:t>
      </w:r>
    </w:p>
    <w:p w14:paraId="58210A81" w14:textId="77777777" w:rsidR="001368FE" w:rsidRDefault="001368FE" w:rsidP="001368FE">
      <w:pPr>
        <w:ind w:left="1378"/>
      </w:pPr>
      <w:r>
        <w:t>Monies Not Taken On Discharge*</w:t>
      </w:r>
    </w:p>
    <w:p w14:paraId="069CDCB2" w14:textId="77777777" w:rsidR="001368FE" w:rsidRDefault="001368FE" w:rsidP="001368FE">
      <w:pPr>
        <w:ind w:left="1378"/>
      </w:pPr>
      <w:r>
        <w:t>Monies Not Taken On Discharge</w:t>
      </w:r>
    </w:p>
    <w:p w14:paraId="4ACB465F" w14:textId="77777777" w:rsidR="001368FE" w:rsidRDefault="001368FE" w:rsidP="001368FE">
      <w:pPr>
        <w:ind w:left="1378"/>
      </w:pPr>
      <w:r>
        <w:t>Tab Telebet</w:t>
      </w:r>
    </w:p>
    <w:p w14:paraId="73577CB5" w14:textId="77777777" w:rsidR="001368FE" w:rsidRPr="001368FE" w:rsidRDefault="001368FE" w:rsidP="001368FE">
      <w:pPr>
        <w:ind w:left="720"/>
        <w:rPr>
          <w:b/>
        </w:rPr>
      </w:pPr>
      <w:r w:rsidRPr="001368FE">
        <w:rPr>
          <w:b/>
        </w:rPr>
        <w:t>Deposits Held - Other</w:t>
      </w:r>
    </w:p>
    <w:p w14:paraId="7E580F8E" w14:textId="77777777" w:rsidR="001368FE" w:rsidRDefault="001368FE" w:rsidP="001368FE">
      <w:pPr>
        <w:ind w:left="1378"/>
      </w:pPr>
      <w:r>
        <w:t>ASCC Prisoner Private Monies*</w:t>
      </w:r>
    </w:p>
    <w:p w14:paraId="1359B8B1" w14:textId="77777777" w:rsidR="001368FE" w:rsidRDefault="001368FE" w:rsidP="001368FE">
      <w:pPr>
        <w:ind w:left="1378"/>
      </w:pPr>
      <w:r>
        <w:t>DCC Prisoner Private Monies</w:t>
      </w:r>
    </w:p>
    <w:p w14:paraId="740F2CBF" w14:textId="77777777" w:rsidR="001368FE" w:rsidRDefault="001368FE" w:rsidP="001368FE">
      <w:pPr>
        <w:ind w:left="1378"/>
      </w:pPr>
      <w:r>
        <w:t>Datjala Work Camp Private Money</w:t>
      </w:r>
    </w:p>
    <w:p w14:paraId="0534A269" w14:textId="77777777" w:rsidR="001368FE" w:rsidRDefault="001368FE" w:rsidP="001368FE">
      <w:pPr>
        <w:ind w:left="1378"/>
      </w:pPr>
      <w:r>
        <w:t>Barkly Work Camp Private Money*</w:t>
      </w:r>
    </w:p>
    <w:p w14:paraId="4F4755E8" w14:textId="77777777" w:rsidR="001368FE" w:rsidRDefault="001368FE" w:rsidP="001368FE">
      <w:pPr>
        <w:ind w:left="1378"/>
      </w:pPr>
      <w:r>
        <w:t>Prisoner Charity Trust Fund</w:t>
      </w:r>
    </w:p>
    <w:p w14:paraId="3A0528C0" w14:textId="7EB79538" w:rsidR="001368FE" w:rsidRDefault="001368FE" w:rsidP="001368FE">
      <w:pPr>
        <w:ind w:left="1378"/>
      </w:pPr>
      <w:r>
        <w:t>Unidentified Prisoner Deposits*</w:t>
      </w:r>
    </w:p>
    <w:p w14:paraId="47890C9C" w14:textId="14F207B6" w:rsidR="007C6CC4" w:rsidRPr="00033353" w:rsidRDefault="007C6CC4" w:rsidP="007C6CC4">
      <w:pPr>
        <w:pStyle w:val="Caption"/>
        <w:ind w:left="720"/>
      </w:pPr>
      <w:r w:rsidRPr="009977DE">
        <w:t>* Variances</w:t>
      </w:r>
      <w:r w:rsidR="00451157">
        <w:t xml:space="preserve"> were</w:t>
      </w:r>
      <w:r w:rsidRPr="009977DE">
        <w:t xml:space="preserve"> due to the absence of a reconciliation and not necessarily resulting from unreconciled differences.</w:t>
      </w:r>
    </w:p>
    <w:p w14:paraId="6FB58B58" w14:textId="6E2DA1A2" w:rsidR="007C6CC4" w:rsidRDefault="007C6CC4" w:rsidP="007C6CC4">
      <w:r>
        <w:t xml:space="preserve">Matters related to these accounts, and </w:t>
      </w:r>
      <w:r w:rsidR="00451157">
        <w:t>the management of Prisoner</w:t>
      </w:r>
      <w:r>
        <w:t>s</w:t>
      </w:r>
      <w:r w:rsidR="00451157">
        <w:t>’ Monies</w:t>
      </w:r>
      <w:r>
        <w:t xml:space="preserve"> were previously reported to the Agency</w:t>
      </w:r>
      <w:r w:rsidR="00451157">
        <w:t xml:space="preserve"> in letters</w:t>
      </w:r>
      <w:r>
        <w:t xml:space="preserve"> dated 8 November 2010, 19 June</w:t>
      </w:r>
      <w:r w:rsidR="00AC0FAE">
        <w:t xml:space="preserve"> 2012, 23 October 2012, 4 </w:t>
      </w:r>
      <w:r>
        <w:t xml:space="preserve">October 2018, 24 February 2020 and 2 October 2020. </w:t>
      </w:r>
    </w:p>
    <w:p w14:paraId="11F21AD2" w14:textId="77777777" w:rsidR="00DE7C9E" w:rsidRDefault="00DE7C9E" w:rsidP="00DE7C9E">
      <w:r>
        <w:t>My performance management system audit of “Prisoner’s Money” was reported in my March 2020 Report to the Legislative Assembly where I stated:</w:t>
      </w:r>
    </w:p>
    <w:p w14:paraId="0FFB9A9F" w14:textId="77777777" w:rsidR="00DE7C9E" w:rsidRDefault="00DE7C9E" w:rsidP="00DE7C9E">
      <w:pPr>
        <w:pStyle w:val="Quote"/>
      </w:pPr>
      <w:r>
        <w:t>“</w:t>
      </w:r>
      <w:r w:rsidRPr="00380ACB">
        <w:t>In my opinion, the performance management systems and processes related to the management of prisoner monies require improvement in order to enable management to assess whether prisoner monies are being managed economically, efficiently and effectively. Current processes may not be adequate to prevent fraud and error from occurring and/or being detected and addressed in a timely manner</w:t>
      </w:r>
      <w:r>
        <w:t>.”</w:t>
      </w:r>
    </w:p>
    <w:p w14:paraId="1B251E5C" w14:textId="77777777" w:rsidR="00DE7C9E" w:rsidRDefault="00DE7C9E" w:rsidP="007C6CC4"/>
    <w:p w14:paraId="22AFA489" w14:textId="50DECC4D" w:rsidR="007C6CC4" w:rsidRPr="000D515D" w:rsidRDefault="00FD1498" w:rsidP="007C6CC4">
      <w:pPr>
        <w:pStyle w:val="Heading1-continued"/>
      </w:pPr>
      <w:r w:rsidRPr="00FD1498">
        <w:t>Selected Agencies – Agency Compliance Audits cont…</w:t>
      </w:r>
    </w:p>
    <w:p w14:paraId="4FABF48F" w14:textId="77777777" w:rsidR="007C6CC4" w:rsidRDefault="007C6CC4" w:rsidP="007C6CC4">
      <w:pPr>
        <w:pStyle w:val="Heading4"/>
      </w:pPr>
      <w:r>
        <w:t>Northern Territory Police, Fire and Emergency Services</w:t>
      </w:r>
    </w:p>
    <w:p w14:paraId="620E9084" w14:textId="431383DD" w:rsidR="007C6CC4" w:rsidRDefault="0092067D" w:rsidP="007C6CC4">
      <w:r>
        <w:t xml:space="preserve">A </w:t>
      </w:r>
      <w:r w:rsidR="008B0B46">
        <w:t>regional</w:t>
      </w:r>
      <w:r w:rsidR="007434F1">
        <w:t>/remote</w:t>
      </w:r>
      <w:r w:rsidR="008B0B46">
        <w:t xml:space="preserve"> </w:t>
      </w:r>
      <w:r w:rsidR="007C6CC4">
        <w:t>Police Station (the Station) maintains its own official bank account</w:t>
      </w:r>
      <w:r w:rsidR="00E34B2C">
        <w:t xml:space="preserve"> </w:t>
      </w:r>
      <w:r w:rsidR="007C6CC4">
        <w:t>to receive moni</w:t>
      </w:r>
      <w:r w:rsidR="00E678CB">
        <w:t>es for the Fines Recovery Unit</w:t>
      </w:r>
      <w:r w:rsidR="007C6CC4">
        <w:t>, NT Police</w:t>
      </w:r>
      <w:r w:rsidR="00E678CB">
        <w:t>, Motor Vehicle Registry</w:t>
      </w:r>
      <w:r w:rsidR="007C6CC4">
        <w:t>, Receiver of Territory Monies and</w:t>
      </w:r>
      <w:r w:rsidR="00DE7C9E">
        <w:t xml:space="preserve"> the Department of the Attorney</w:t>
      </w:r>
      <w:r w:rsidR="00DE7C9E">
        <w:noBreakHyphen/>
      </w:r>
      <w:r w:rsidR="007C6CC4">
        <w:t>General and Justice and then to disburse those monies to the r</w:t>
      </w:r>
      <w:r w:rsidR="00DD50B7">
        <w:t>elevant payee entity by cheque.</w:t>
      </w:r>
    </w:p>
    <w:p w14:paraId="079D84CB" w14:textId="364B58B2" w:rsidR="00DE7C9E" w:rsidRDefault="00DE7C9E" w:rsidP="007C6CC4">
      <w:r>
        <w:t>The audit identified that:</w:t>
      </w:r>
    </w:p>
    <w:p w14:paraId="402BAFD9" w14:textId="10685F91" w:rsidR="00DE7C9E" w:rsidRDefault="00DE7C9E" w:rsidP="001860CC">
      <w:pPr>
        <w:pStyle w:val="ListBullet"/>
      </w:pPr>
      <w:r>
        <w:t>no process or procedural documents are available to the personnel at the Station with access to or responsibility for managing and reconciling the bank accounts;</w:t>
      </w:r>
    </w:p>
    <w:p w14:paraId="45D81765" w14:textId="6389F01A" w:rsidR="00DE7C9E" w:rsidRDefault="00DE7C9E" w:rsidP="001860CC">
      <w:pPr>
        <w:pStyle w:val="ListBullet"/>
      </w:pPr>
      <w:r>
        <w:t>the account was overdrawn twice during the seven month period subject to audit;</w:t>
      </w:r>
    </w:p>
    <w:p w14:paraId="299D29A5" w14:textId="3037B48D" w:rsidR="00DE7C9E" w:rsidRDefault="00DE7C9E" w:rsidP="001860CC">
      <w:pPr>
        <w:pStyle w:val="ListBullet"/>
      </w:pPr>
      <w:r>
        <w:t>the descriptions associated with transactions affecting the account were not sufficiently detailed to identify the source of funds;</w:t>
      </w:r>
    </w:p>
    <w:p w14:paraId="1CB4FF75" w14:textId="04EDA022" w:rsidR="00DE7C9E" w:rsidRDefault="00DE7C9E" w:rsidP="001860CC">
      <w:pPr>
        <w:pStyle w:val="ListBullet"/>
      </w:pPr>
      <w:r>
        <w:t>funds received were not deposited in a timely manner;</w:t>
      </w:r>
    </w:p>
    <w:p w14:paraId="34996C56" w14:textId="413A8D8B" w:rsidR="00DE7C9E" w:rsidRDefault="00DE7C9E" w:rsidP="001860CC">
      <w:pPr>
        <w:pStyle w:val="ListBullet"/>
      </w:pPr>
      <w:r>
        <w:t>funds were not remitted to the relevant payee entity in a timely manner;</w:t>
      </w:r>
    </w:p>
    <w:p w14:paraId="19AD82D3" w14:textId="3A663410" w:rsidR="00DE7C9E" w:rsidRDefault="00DE7C9E" w:rsidP="001860CC">
      <w:pPr>
        <w:pStyle w:val="ListBullet"/>
      </w:pPr>
      <w:r>
        <w:t>cheque payments from the bank account were drafted or issued out of sequence;</w:t>
      </w:r>
    </w:p>
    <w:p w14:paraId="7DE80C0C" w14:textId="3D6CABF7" w:rsidR="00DE7C9E" w:rsidRDefault="00DE7C9E" w:rsidP="001860CC">
      <w:pPr>
        <w:pStyle w:val="ListBullet"/>
      </w:pPr>
      <w:r>
        <w:t>a deposit book was unable to be located;</w:t>
      </w:r>
    </w:p>
    <w:p w14:paraId="6C093880" w14:textId="0EECAAB6" w:rsidR="00DE7C9E" w:rsidRDefault="00DE7C9E" w:rsidP="001860CC">
      <w:pPr>
        <w:pStyle w:val="ListBullet"/>
      </w:pPr>
      <w:r>
        <w:t>reconciliations of the bank statement did not occur with sufficient regularity; and</w:t>
      </w:r>
    </w:p>
    <w:p w14:paraId="3B8C1569" w14:textId="0F2B2B78" w:rsidR="00C3109C" w:rsidRPr="00C3109C" w:rsidRDefault="00DE7C9E" w:rsidP="00C3109C">
      <w:pPr>
        <w:pStyle w:val="ListBullet"/>
      </w:pPr>
      <w:r>
        <w:t>documented bank reconciliations contained unresolved errors and were not subject to adequate review.</w:t>
      </w:r>
    </w:p>
    <w:p w14:paraId="319927F4" w14:textId="534B755D" w:rsidR="004A2D31" w:rsidRDefault="00FD1498" w:rsidP="004A2D31">
      <w:pPr>
        <w:pStyle w:val="Heading1-continued"/>
      </w:pPr>
      <w:r w:rsidRPr="00FD1498">
        <w:t>Selected Agencies – Agency Compliance Audits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Department of Corporate and Digital Development response"/>
      </w:tblPr>
      <w:tblGrid>
        <w:gridCol w:w="8448"/>
      </w:tblGrid>
      <w:tr w:rsidR="007E490A" w14:paraId="5C2EA651" w14:textId="77777777" w:rsidTr="00D805FE">
        <w:trPr>
          <w:tblHeader/>
        </w:trPr>
        <w:tc>
          <w:tcPr>
            <w:tcW w:w="8448" w:type="dxa"/>
          </w:tcPr>
          <w:p w14:paraId="468E4D0C" w14:textId="51B2EA4D" w:rsidR="007E490A" w:rsidRPr="00270B09" w:rsidRDefault="007E490A" w:rsidP="00D805FE">
            <w:pPr>
              <w:rPr>
                <w:b/>
              </w:rPr>
            </w:pPr>
            <w:r>
              <w:rPr>
                <w:b/>
              </w:rPr>
              <w:t xml:space="preserve">The </w:t>
            </w:r>
            <w:r w:rsidRPr="009F38E9">
              <w:rPr>
                <w:b/>
              </w:rPr>
              <w:t>Department of Corporate and Digital Development</w:t>
            </w:r>
            <w:r>
              <w:rPr>
                <w:b/>
              </w:rPr>
              <w:t xml:space="preserve"> has commented:</w:t>
            </w:r>
          </w:p>
        </w:tc>
      </w:tr>
      <w:tr w:rsidR="007E490A" w14:paraId="770B9F54" w14:textId="77777777" w:rsidTr="00D805FE">
        <w:tc>
          <w:tcPr>
            <w:tcW w:w="8448" w:type="dxa"/>
          </w:tcPr>
          <w:p w14:paraId="2E55659C" w14:textId="77777777" w:rsidR="00D56CDE" w:rsidRDefault="00D56CDE" w:rsidP="00D56CDE">
            <w:r>
              <w:t>The Department of Corporate and Digital Development notes the finding of 91% of invoices paid within the 20 day payment policy.</w:t>
            </w:r>
          </w:p>
          <w:p w14:paraId="1A7C9C37" w14:textId="77777777" w:rsidR="007E490A" w:rsidRDefault="00D56CDE" w:rsidP="00D56CDE">
            <w:r>
              <w:t>The department's Accounting and Property Manual has been updated, incorporating references to recently issued Treasurer's Directions.</w:t>
            </w:r>
          </w:p>
          <w:p w14:paraId="6201B863" w14:textId="0C06C3D9" w:rsidR="00D56CDE" w:rsidRDefault="00D56CDE" w:rsidP="00D56CDE">
            <w:r w:rsidRPr="00D56CDE">
              <w:t>A process has been established to assist panel chairs improve compliance with procurement rules</w:t>
            </w:r>
            <w:r>
              <w:t>.</w:t>
            </w:r>
          </w:p>
        </w:tc>
      </w:tr>
    </w:tbl>
    <w:p w14:paraId="48BDDE96" w14:textId="2119D7EE" w:rsidR="007E490A" w:rsidRDefault="007E490A" w:rsidP="00C55463"/>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Department of Industry, Tourism and Trade response"/>
      </w:tblPr>
      <w:tblGrid>
        <w:gridCol w:w="8448"/>
      </w:tblGrid>
      <w:tr w:rsidR="007E490A" w14:paraId="7815DFE6" w14:textId="77777777" w:rsidTr="00D805FE">
        <w:trPr>
          <w:tblHeader/>
        </w:trPr>
        <w:tc>
          <w:tcPr>
            <w:tcW w:w="8448" w:type="dxa"/>
          </w:tcPr>
          <w:p w14:paraId="0254538C" w14:textId="770F9739" w:rsidR="007E490A" w:rsidRPr="00270B09" w:rsidRDefault="007E490A" w:rsidP="007E490A">
            <w:pPr>
              <w:rPr>
                <w:b/>
              </w:rPr>
            </w:pPr>
            <w:r>
              <w:rPr>
                <w:b/>
              </w:rPr>
              <w:t>The Department of Industry, Tourism and Trade has commented:</w:t>
            </w:r>
          </w:p>
        </w:tc>
      </w:tr>
      <w:tr w:rsidR="007E490A" w14:paraId="2BCF0F92" w14:textId="77777777" w:rsidTr="00D805FE">
        <w:tc>
          <w:tcPr>
            <w:tcW w:w="8448" w:type="dxa"/>
          </w:tcPr>
          <w:p w14:paraId="08A6BE55" w14:textId="4626A538" w:rsidR="008E26BC" w:rsidRDefault="008E26BC" w:rsidP="008E26BC">
            <w:r>
              <w:t xml:space="preserve">Two of the three audit issues raised relate to the </w:t>
            </w:r>
            <w:r w:rsidRPr="008E26BC">
              <w:rPr>
                <w:i/>
              </w:rPr>
              <w:t>"Incomplete register of Equity investments</w:t>
            </w:r>
            <w:r>
              <w:t>" and "</w:t>
            </w:r>
            <w:r w:rsidRPr="008E26BC">
              <w:rPr>
                <w:i/>
              </w:rPr>
              <w:t>Deficiency within the internal audit program</w:t>
            </w:r>
            <w:r>
              <w:t>". These issues were as a result of the Machinery of Government changes and have been resolved.</w:t>
            </w:r>
          </w:p>
          <w:p w14:paraId="3DC78F3E" w14:textId="29D17153" w:rsidR="007E490A" w:rsidRDefault="008E26BC" w:rsidP="008E26BC">
            <w:r>
              <w:t>The third issue relates to the gifting of gift cards, in contravention of the Treasurers Direction (TD). All Agency staff have been reminded of the TD requirements.</w:t>
            </w:r>
          </w:p>
        </w:tc>
      </w:tr>
    </w:tbl>
    <w:p w14:paraId="1E1FA573" w14:textId="575A1F19" w:rsidR="007E490A" w:rsidRDefault="007E490A" w:rsidP="00C55463"/>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Department of the Attorney-General and Justice response"/>
      </w:tblPr>
      <w:tblGrid>
        <w:gridCol w:w="8448"/>
      </w:tblGrid>
      <w:tr w:rsidR="007E490A" w14:paraId="4AFD824D" w14:textId="77777777" w:rsidTr="00D805FE">
        <w:trPr>
          <w:tblHeader/>
        </w:trPr>
        <w:tc>
          <w:tcPr>
            <w:tcW w:w="8448" w:type="dxa"/>
          </w:tcPr>
          <w:p w14:paraId="28291453" w14:textId="27732976" w:rsidR="007E490A" w:rsidRPr="00270B09" w:rsidRDefault="007E490A" w:rsidP="00D805FE">
            <w:pPr>
              <w:rPr>
                <w:b/>
              </w:rPr>
            </w:pPr>
            <w:r>
              <w:rPr>
                <w:b/>
              </w:rPr>
              <w:t xml:space="preserve">The Department of </w:t>
            </w:r>
            <w:r w:rsidRPr="007E490A">
              <w:rPr>
                <w:b/>
              </w:rPr>
              <w:t xml:space="preserve">the Attorney-General and Justice </w:t>
            </w:r>
            <w:r>
              <w:rPr>
                <w:b/>
              </w:rPr>
              <w:t>has commented:</w:t>
            </w:r>
          </w:p>
        </w:tc>
      </w:tr>
      <w:tr w:rsidR="007E490A" w14:paraId="4EF895A3" w14:textId="77777777" w:rsidTr="00D805FE">
        <w:tc>
          <w:tcPr>
            <w:tcW w:w="8448" w:type="dxa"/>
          </w:tcPr>
          <w:p w14:paraId="07008766" w14:textId="473217AD" w:rsidR="00DD651C" w:rsidRDefault="00DD651C" w:rsidP="00DD651C">
            <w:r>
              <w:t>We note the findings and specific matters of the audit and continue our efforts to address the recommendations made in this and previous reports. We are committed to better governance, management and accountability of the Accountable Officer's Trust Account and Deposits Held and in particular prisoner monies.</w:t>
            </w:r>
          </w:p>
          <w:p w14:paraId="2EA133DB" w14:textId="41938E68" w:rsidR="00DD651C" w:rsidRDefault="00DD651C" w:rsidP="00DD651C">
            <w:r>
              <w:t>A dedicated resource is working through the accepted recommendations of March 2020. Policies and procedures have been developed and are being tested. We are continuing the investigation of unexplained or unresolved variances on reconciliations and improving internal controls and effective oversight of monies held in trust and deposits held.</w:t>
            </w:r>
          </w:p>
          <w:p w14:paraId="62360F5F" w14:textId="12DA6980" w:rsidR="007E490A" w:rsidRDefault="00DD651C" w:rsidP="00DD651C">
            <w:r>
              <w:t>I note that Tab Telebet is no longer an account controlled by the Department and is part of Licensing NT now with the Department of Industry, Tourism and Trade</w:t>
            </w:r>
          </w:p>
        </w:tc>
      </w:tr>
    </w:tbl>
    <w:p w14:paraId="608C644E" w14:textId="77777777" w:rsidR="009F38E9" w:rsidRDefault="009F38E9" w:rsidP="009F38E9"/>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Department of Chief Minister response"/>
      </w:tblPr>
      <w:tblGrid>
        <w:gridCol w:w="8448"/>
      </w:tblGrid>
      <w:tr w:rsidR="007E490A" w14:paraId="00E19261" w14:textId="77777777" w:rsidTr="00D805FE">
        <w:trPr>
          <w:tblHeader/>
        </w:trPr>
        <w:tc>
          <w:tcPr>
            <w:tcW w:w="8448" w:type="dxa"/>
          </w:tcPr>
          <w:p w14:paraId="7548B200" w14:textId="71A239F6" w:rsidR="007E490A" w:rsidRPr="00270B09" w:rsidRDefault="007E490A" w:rsidP="00D805FE">
            <w:pPr>
              <w:rPr>
                <w:b/>
              </w:rPr>
            </w:pPr>
            <w:r>
              <w:rPr>
                <w:b/>
              </w:rPr>
              <w:t xml:space="preserve">The Department of </w:t>
            </w:r>
            <w:r w:rsidR="009F38E9">
              <w:rPr>
                <w:b/>
              </w:rPr>
              <w:t xml:space="preserve">the </w:t>
            </w:r>
            <w:r w:rsidRPr="007E490A">
              <w:rPr>
                <w:b/>
              </w:rPr>
              <w:t xml:space="preserve">Chief Minister </w:t>
            </w:r>
            <w:r w:rsidR="009F38E9">
              <w:rPr>
                <w:b/>
              </w:rPr>
              <w:t xml:space="preserve">and Cabinet </w:t>
            </w:r>
            <w:r>
              <w:rPr>
                <w:b/>
              </w:rPr>
              <w:t>has commented:</w:t>
            </w:r>
          </w:p>
        </w:tc>
      </w:tr>
      <w:tr w:rsidR="007E490A" w14:paraId="4A4BBB8A" w14:textId="77777777" w:rsidTr="00D805FE">
        <w:tc>
          <w:tcPr>
            <w:tcW w:w="8448" w:type="dxa"/>
          </w:tcPr>
          <w:p w14:paraId="5F28D443" w14:textId="77777777" w:rsidR="007E490A" w:rsidRDefault="007E490A" w:rsidP="007E490A">
            <w:r>
              <w:t xml:space="preserve">The Department of Corporate and Digital Development generated AP06 - Invoice Processing Report calculates payments outside of the NTG Payment Policy from date of invoice and not from when invoice is received and uploaded by Accounts Payable into the Electronic Invoice Management System. </w:t>
            </w:r>
          </w:p>
          <w:p w14:paraId="576F2781" w14:textId="750C05C6" w:rsidR="007E490A" w:rsidRDefault="007E490A" w:rsidP="007E490A">
            <w:r>
              <w:t xml:space="preserve">When removing the anomaly, the agency's non-compliance is reduced from 21 per cent to 13 per cent for the reporting period with a total of 5,829 invoices being paid. </w:t>
            </w:r>
          </w:p>
          <w:p w14:paraId="2DC3C43A" w14:textId="0519AB98" w:rsidR="007E490A" w:rsidRDefault="007E490A" w:rsidP="007E490A">
            <w:r>
              <w:t xml:space="preserve">The agency recognises the revised result is still too high and will implement reminders with delegates of their obligations in regards to the NTG Payment Policy. </w:t>
            </w:r>
          </w:p>
        </w:tc>
      </w:tr>
    </w:tbl>
    <w:p w14:paraId="51FAF462" w14:textId="46B3CD5A" w:rsidR="007E490A" w:rsidRDefault="007E490A" w:rsidP="00C55463"/>
    <w:p w14:paraId="087878C5" w14:textId="77777777" w:rsidR="00E00AA4" w:rsidRDefault="00E00AA4" w:rsidP="00E00AA4">
      <w:pPr>
        <w:pStyle w:val="Heading1-continued"/>
      </w:pPr>
      <w:r w:rsidRPr="00FD1498">
        <w:t>Selected Agencies – Agency Compliance Audits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Department of Treasury and Finance response"/>
      </w:tblPr>
      <w:tblGrid>
        <w:gridCol w:w="8448"/>
      </w:tblGrid>
      <w:tr w:rsidR="007E490A" w14:paraId="510485B9" w14:textId="77777777" w:rsidTr="00D805FE">
        <w:trPr>
          <w:tblHeader/>
        </w:trPr>
        <w:tc>
          <w:tcPr>
            <w:tcW w:w="8448" w:type="dxa"/>
          </w:tcPr>
          <w:p w14:paraId="6A9AD5AF" w14:textId="17B6097C" w:rsidR="007E490A" w:rsidRPr="00270B09" w:rsidRDefault="007E490A" w:rsidP="00D805FE">
            <w:pPr>
              <w:rPr>
                <w:b/>
              </w:rPr>
            </w:pPr>
            <w:bookmarkStart w:id="37" w:name="_Ref78872799"/>
            <w:r>
              <w:rPr>
                <w:b/>
              </w:rPr>
              <w:t xml:space="preserve">The Department of </w:t>
            </w:r>
            <w:r w:rsidRPr="007E490A">
              <w:rPr>
                <w:b/>
              </w:rPr>
              <w:t xml:space="preserve">Treasury and Finance </w:t>
            </w:r>
            <w:r>
              <w:rPr>
                <w:b/>
              </w:rPr>
              <w:t>has commented:</w:t>
            </w:r>
          </w:p>
        </w:tc>
      </w:tr>
      <w:tr w:rsidR="00A41DDB" w14:paraId="024BF288" w14:textId="77777777" w:rsidTr="00D805FE">
        <w:tc>
          <w:tcPr>
            <w:tcW w:w="8448" w:type="dxa"/>
          </w:tcPr>
          <w:p w14:paraId="3D30557A" w14:textId="03BEDBFD" w:rsidR="00A41DDB" w:rsidRDefault="00A84310" w:rsidP="00A84310">
            <w:r>
              <w:t>Northern Territory Government (NTG) Payment Policy – a weekly auditing process operates for the Department of Treasury and Finance (DTF), with appropriate follow up, to ensure creditor invoices are paid within the NTG payment policy guidelines. This is monitored by the Chief Financial Officer and the Deputy Under Treasurer, and compliance is reported monthly to the Senior Management Group. However, the report used to conduct the audit differs from the report DTF relies upon in that the former includes non-invoice payments such as tax and stamp duty refunds in addition to supplier invoices (which are the subject of the NTG Payment Policy). If these non-invoice payments are excluded, the percentage of payments processed outside the NTG Payment Policy is 3% (or 20 out of 794 creditor invoices). Nonetheless, DTF will provide further education within the agency on the policy and its timeframes, and encourage all suppliers to use the NTG invoice portal to minimise any delays in authorising payments.</w:t>
            </w:r>
          </w:p>
        </w:tc>
      </w:tr>
    </w:tbl>
    <w:p w14:paraId="36A3EA47" w14:textId="77777777" w:rsidR="007E490A" w:rsidRDefault="007E490A" w:rsidP="007E490A"/>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Northern Territory Police, Fire and Emergency Services response"/>
      </w:tblPr>
      <w:tblGrid>
        <w:gridCol w:w="8448"/>
      </w:tblGrid>
      <w:tr w:rsidR="007E490A" w14:paraId="52BC5421" w14:textId="77777777" w:rsidTr="00D805FE">
        <w:trPr>
          <w:tblHeader/>
        </w:trPr>
        <w:tc>
          <w:tcPr>
            <w:tcW w:w="8448" w:type="dxa"/>
          </w:tcPr>
          <w:p w14:paraId="44858E99" w14:textId="6C597FA7" w:rsidR="007E490A" w:rsidRPr="00270B09" w:rsidRDefault="007E490A" w:rsidP="00D805FE">
            <w:pPr>
              <w:rPr>
                <w:b/>
              </w:rPr>
            </w:pPr>
            <w:r w:rsidRPr="007E490A">
              <w:rPr>
                <w:b/>
              </w:rPr>
              <w:t xml:space="preserve">Northern Territory Police, Fire and Emergency Services </w:t>
            </w:r>
            <w:r>
              <w:rPr>
                <w:b/>
              </w:rPr>
              <w:t>has commented:</w:t>
            </w:r>
          </w:p>
        </w:tc>
      </w:tr>
      <w:tr w:rsidR="007E490A" w14:paraId="24395998" w14:textId="77777777" w:rsidTr="00D805FE">
        <w:tc>
          <w:tcPr>
            <w:tcW w:w="8448" w:type="dxa"/>
          </w:tcPr>
          <w:p w14:paraId="7E5CBA0F" w14:textId="45BBDBB1" w:rsidR="005E1FB9" w:rsidRDefault="005E1FB9" w:rsidP="005E1FB9">
            <w:r>
              <w:t>Adherence to the Northern Territory Government policy requiring undisputed invoices to be processed within the required 20 day (under $1million) and 30 day (over $1million) periods:</w:t>
            </w:r>
          </w:p>
          <w:p w14:paraId="465ADED7" w14:textId="2989F44F" w:rsidR="005E1FB9" w:rsidRDefault="005E1FB9" w:rsidP="005E1FB9">
            <w:pPr>
              <w:pStyle w:val="ListNumber"/>
              <w:numPr>
                <w:ilvl w:val="0"/>
                <w:numId w:val="42"/>
              </w:numPr>
            </w:pPr>
            <w:r>
              <w:t>NTPFES notes the findings. Outstanding/ pending invoices are closely monitored within NTPFES and business units are advised weekly. Outstanding items are elevated for Executive action.</w:t>
            </w:r>
          </w:p>
          <w:p w14:paraId="2723AEA8" w14:textId="479C2128" w:rsidR="005E1FB9" w:rsidRDefault="005E1FB9" w:rsidP="005E1FB9">
            <w:pPr>
              <w:pStyle w:val="ListNumber"/>
              <w:numPr>
                <w:ilvl w:val="0"/>
                <w:numId w:val="42"/>
              </w:numPr>
            </w:pPr>
            <w:r>
              <w:t>Maintenance of own official bank account/ Advance Account at the Alyangula Police Station where inadequate controls were identified:</w:t>
            </w:r>
          </w:p>
          <w:p w14:paraId="1EF020A0" w14:textId="71770C48" w:rsidR="005E1FB9" w:rsidRDefault="005E1FB9" w:rsidP="005E1FB9">
            <w:pPr>
              <w:pStyle w:val="ListBullet2"/>
            </w:pPr>
            <w:r>
              <w:t>NTPFES notes the findings. The following recommendations/ remedial actions will be implemented:</w:t>
            </w:r>
          </w:p>
          <w:p w14:paraId="7C6B84F7" w14:textId="77777777" w:rsidR="005E1FB9" w:rsidRDefault="005E1FB9" w:rsidP="005E1FB9">
            <w:pPr>
              <w:pStyle w:val="ListBullet2"/>
              <w:ind w:left="1003"/>
            </w:pPr>
            <w:r>
              <w:t>All business processes and supporting cash transactions must be directed to the local post office where possible</w:t>
            </w:r>
          </w:p>
          <w:p w14:paraId="5D140A2F" w14:textId="658362A0" w:rsidR="005E1FB9" w:rsidRDefault="005E1FB9" w:rsidP="005E1FB9">
            <w:pPr>
              <w:pStyle w:val="ListBullet2"/>
              <w:ind w:left="1003"/>
            </w:pPr>
            <w:r>
              <w:t>All cash and/ or cheques received are to be banked on a weekly basis, with associated reconciliations being done at the same time</w:t>
            </w:r>
          </w:p>
          <w:p w14:paraId="64D78783" w14:textId="6BE9777E" w:rsidR="005E1FB9" w:rsidRDefault="005E1FB9" w:rsidP="005E1FB9">
            <w:pPr>
              <w:pStyle w:val="ListBullet2"/>
              <w:ind w:left="1003"/>
            </w:pPr>
            <w:r>
              <w:t>A formal documented governance process to be disseminated to the relevant staff outlining controls and processes and procedures to be adhered to; and</w:t>
            </w:r>
          </w:p>
          <w:p w14:paraId="434AB61D" w14:textId="26E907FC" w:rsidR="007E490A" w:rsidRDefault="005E1FB9" w:rsidP="005E1FB9">
            <w:pPr>
              <w:pStyle w:val="ListBullet2"/>
              <w:ind w:left="1003"/>
            </w:pPr>
            <w:r>
              <w:t>To ensure business continuity, other staff to be trained in banking / reconciliation process</w:t>
            </w:r>
          </w:p>
        </w:tc>
      </w:tr>
    </w:tbl>
    <w:p w14:paraId="472ED4A4" w14:textId="77777777" w:rsidR="007E490A" w:rsidRDefault="007E490A" w:rsidP="007E490A"/>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Office of the Independent Commissioner Against Corruption response"/>
      </w:tblPr>
      <w:tblGrid>
        <w:gridCol w:w="8448"/>
      </w:tblGrid>
      <w:tr w:rsidR="007E490A" w14:paraId="4EC9358E" w14:textId="77777777" w:rsidTr="00D805FE">
        <w:trPr>
          <w:tblHeader/>
        </w:trPr>
        <w:tc>
          <w:tcPr>
            <w:tcW w:w="8448" w:type="dxa"/>
          </w:tcPr>
          <w:p w14:paraId="18F37481" w14:textId="4BBA2C21" w:rsidR="007E490A" w:rsidRPr="00270B09" w:rsidRDefault="007E490A" w:rsidP="00D805FE">
            <w:pPr>
              <w:rPr>
                <w:b/>
              </w:rPr>
            </w:pPr>
            <w:r>
              <w:rPr>
                <w:b/>
              </w:rPr>
              <w:t xml:space="preserve">The </w:t>
            </w:r>
            <w:r w:rsidRPr="007E490A">
              <w:rPr>
                <w:b/>
              </w:rPr>
              <w:t>Office of the Independent Commissioner Against Corruption</w:t>
            </w:r>
            <w:r>
              <w:rPr>
                <w:b/>
              </w:rPr>
              <w:t xml:space="preserve"> commented:</w:t>
            </w:r>
          </w:p>
        </w:tc>
      </w:tr>
      <w:tr w:rsidR="00A41DDB" w14:paraId="0D70EAEA" w14:textId="77777777" w:rsidTr="00D805FE">
        <w:tc>
          <w:tcPr>
            <w:tcW w:w="8448" w:type="dxa"/>
          </w:tcPr>
          <w:p w14:paraId="710FFD2F" w14:textId="51827C1A" w:rsidR="00A41DDB" w:rsidRDefault="00A41DDB" w:rsidP="00A41DDB">
            <w:r w:rsidRPr="00A41DDB">
              <w:t>The OICAC acknowledged the findings from the agency compliance audit. The OICAC values the Auditor-General’s oversight and constructive feedback. Recommendations to improve the OICAC’s compliance with the NTG payment policy have already commenced, and the OICAC continues to find efficiencies within its current practices whilst adhering to whole of government procedures</w:t>
            </w:r>
            <w:r>
              <w:t>.</w:t>
            </w:r>
          </w:p>
        </w:tc>
      </w:tr>
    </w:tbl>
    <w:p w14:paraId="1DB377BC" w14:textId="77777777" w:rsidR="00E00AA4" w:rsidRDefault="00E00AA4" w:rsidP="00E00AA4">
      <w:pPr>
        <w:pStyle w:val="Heading1-continued"/>
      </w:pPr>
      <w:r w:rsidRPr="00FD1498">
        <w:t>Selected Agencies – Agency Compliance Audits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Ombudsman’s Office response"/>
      </w:tblPr>
      <w:tblGrid>
        <w:gridCol w:w="8448"/>
      </w:tblGrid>
      <w:tr w:rsidR="007E490A" w14:paraId="6258E572" w14:textId="77777777" w:rsidTr="00D805FE">
        <w:trPr>
          <w:tblHeader/>
        </w:trPr>
        <w:tc>
          <w:tcPr>
            <w:tcW w:w="8448" w:type="dxa"/>
          </w:tcPr>
          <w:p w14:paraId="3DFB076E" w14:textId="178109DC" w:rsidR="007E490A" w:rsidRPr="00270B09" w:rsidRDefault="007E490A" w:rsidP="007E490A">
            <w:pPr>
              <w:rPr>
                <w:b/>
              </w:rPr>
            </w:pPr>
            <w:r>
              <w:rPr>
                <w:b/>
              </w:rPr>
              <w:t>The Ombudsman’s Office</w:t>
            </w:r>
            <w:r w:rsidRPr="007E490A">
              <w:rPr>
                <w:b/>
              </w:rPr>
              <w:t xml:space="preserve"> </w:t>
            </w:r>
            <w:r>
              <w:rPr>
                <w:b/>
              </w:rPr>
              <w:t>has commented:</w:t>
            </w:r>
          </w:p>
        </w:tc>
      </w:tr>
      <w:tr w:rsidR="007E490A" w14:paraId="0FD4D2FE" w14:textId="77777777" w:rsidTr="00D805FE">
        <w:tc>
          <w:tcPr>
            <w:tcW w:w="8448" w:type="dxa"/>
          </w:tcPr>
          <w:p w14:paraId="006A79F1" w14:textId="70E9FA72" w:rsidR="007E490A" w:rsidRDefault="00FC6222" w:rsidP="00FC6222">
            <w:r>
              <w:t>The high proportion of invoices processed outside the 20 day period during 1 July 2020 to 31 March 2021 is regrettable.  Steps have been taken to improve processes and prioritise payment within the 20 day period, with only three invoices processed outside that period between 1 April and 30 June 2021.</w:t>
            </w:r>
          </w:p>
        </w:tc>
      </w:tr>
    </w:tbl>
    <w:p w14:paraId="78AB8AED" w14:textId="77777777" w:rsidR="007E490A" w:rsidRDefault="007E490A" w:rsidP="007E490A"/>
    <w:p w14:paraId="6B0329D1" w14:textId="77BEC57C" w:rsidR="005E4510" w:rsidRPr="000D515D" w:rsidRDefault="005E4510" w:rsidP="005E4510">
      <w:pPr>
        <w:pStyle w:val="Heading1"/>
      </w:pPr>
      <w:bookmarkStart w:id="38" w:name="_Ref79990850"/>
      <w:r>
        <w:t>Selected Entities</w:t>
      </w:r>
      <w:r w:rsidR="00B97957">
        <w:t xml:space="preserve"> – </w:t>
      </w:r>
      <w:bookmarkStart w:id="39" w:name="Closedown"/>
      <w:r w:rsidR="00B97957">
        <w:t>Close-down leave</w:t>
      </w:r>
      <w:bookmarkEnd w:id="37"/>
      <w:bookmarkEnd w:id="39"/>
      <w:bookmarkEnd w:id="38"/>
    </w:p>
    <w:p w14:paraId="7BA571F2" w14:textId="77777777" w:rsidR="005E4510" w:rsidRDefault="005E4510" w:rsidP="005E4510">
      <w:pPr>
        <w:pStyle w:val="Heading3"/>
      </w:pPr>
      <w:r>
        <w:t>Background</w:t>
      </w:r>
    </w:p>
    <w:p w14:paraId="4506E713" w14:textId="3A0E2F76" w:rsidR="007C37D9" w:rsidRDefault="007C37D9" w:rsidP="007C37D9">
      <w:r>
        <w:t xml:space="preserve">Historically, many Northern Territory </w:t>
      </w:r>
      <w:r w:rsidR="002713B5">
        <w:t>G</w:t>
      </w:r>
      <w:r>
        <w:t xml:space="preserve">overnment </w:t>
      </w:r>
      <w:r w:rsidR="00694CFF">
        <w:t>entities</w:t>
      </w:r>
      <w:r>
        <w:t xml:space="preserve"> have announced a ‘</w:t>
      </w:r>
      <w:r w:rsidR="00B750E5">
        <w:t>close-down</w:t>
      </w:r>
      <w:r>
        <w:t>’ period between Christmas Day and New Year’s Day inclusive. Where these days include days that are a usual working day, public sector employees</w:t>
      </w:r>
      <w:r w:rsidR="00EE104D">
        <w:t xml:space="preserve"> who are not required to work</w:t>
      </w:r>
      <w:r>
        <w:t xml:space="preserve"> have applied their leave entitlements to those days with the </w:t>
      </w:r>
      <w:r w:rsidR="00694CFF">
        <w:t>entity</w:t>
      </w:r>
      <w:r>
        <w:t xml:space="preserve"> considered ‘closed’ for usual operations.</w:t>
      </w:r>
      <w:r w:rsidRPr="007C37D9">
        <w:t xml:space="preserve"> </w:t>
      </w:r>
      <w:r>
        <w:t xml:space="preserve">As many </w:t>
      </w:r>
      <w:r w:rsidR="00EC0273" w:rsidRPr="00220748">
        <w:t>N</w:t>
      </w:r>
      <w:r w:rsidR="00EC0273">
        <w:t>orthern Territory Government</w:t>
      </w:r>
      <w:r w:rsidR="00EE104D">
        <w:t xml:space="preserve"> entities either close down</w:t>
      </w:r>
      <w:r>
        <w:t xml:space="preserve"> or are staffed with minimal </w:t>
      </w:r>
      <w:r w:rsidR="00EE104D">
        <w:t>personnel</w:t>
      </w:r>
      <w:r>
        <w:t xml:space="preserve"> over the Christmas period</w:t>
      </w:r>
      <w:r w:rsidR="00EE104D">
        <w:t>,</w:t>
      </w:r>
      <w:r>
        <w:t xml:space="preserve"> it would be expected that</w:t>
      </w:r>
      <w:r w:rsidR="007F1F6E">
        <w:t xml:space="preserve"> in many </w:t>
      </w:r>
      <w:r w:rsidR="00694CFF">
        <w:t>entities</w:t>
      </w:r>
      <w:r w:rsidR="007F1F6E">
        <w:t>,</w:t>
      </w:r>
      <w:r>
        <w:t xml:space="preserve"> most </w:t>
      </w:r>
      <w:r w:rsidR="00EE104D">
        <w:t>employees</w:t>
      </w:r>
      <w:r>
        <w:t xml:space="preserve"> would have submitted leave applications for 29, 30 and 31 December 2020.</w:t>
      </w:r>
    </w:p>
    <w:p w14:paraId="34DBA0F7" w14:textId="330E6DE6" w:rsidR="007C37D9" w:rsidRDefault="007C37D9" w:rsidP="007C37D9">
      <w:r>
        <w:t xml:space="preserve">Results of past data analytic exercises undertaken on employee leave entitlements have identified a risk of employees taking leave but not recording leave thus their leave entitlements are not appropriately adjusted. There is an increased risk of this occurring during periods where </w:t>
      </w:r>
      <w:r w:rsidR="007F1F6E">
        <w:t>an</w:t>
      </w:r>
      <w:r>
        <w:t xml:space="preserve"> </w:t>
      </w:r>
      <w:r w:rsidR="00694CFF">
        <w:t>entity</w:t>
      </w:r>
      <w:r>
        <w:t xml:space="preserve"> is ‘closed’ for usual operations highlighting the need for increased scrutiny over this period. </w:t>
      </w:r>
    </w:p>
    <w:p w14:paraId="0816954A" w14:textId="77777777" w:rsidR="00AC0FAE" w:rsidRDefault="00AC0FAE" w:rsidP="00AC0FAE">
      <w:pPr>
        <w:pStyle w:val="Heading3"/>
      </w:pPr>
      <w:r>
        <w:t>Scope and Objectives</w:t>
      </w:r>
    </w:p>
    <w:p w14:paraId="6569F459" w14:textId="3D86C307" w:rsidR="00AC0FAE" w:rsidRDefault="00AC0FAE" w:rsidP="00AC0FAE">
      <w:r>
        <w:t>The objective of this data analytics exercise was to examine leave taken by ‘non-casual’ Northern Territory Public Sector employees during the period Friday 25 December 2020 to Friday 1 January 2021 in order to identify employees that did not take leave for the non</w:t>
      </w:r>
      <w:r>
        <w:noBreakHyphen/>
        <w:t>public holiday dates during that period and seek assurance from Accountable Officers that, where leave was not recorded for an employee, the employee was working.</w:t>
      </w:r>
    </w:p>
    <w:p w14:paraId="346EFC60" w14:textId="52423DF8" w:rsidR="00AC0FAE" w:rsidRPr="00B750E5" w:rsidRDefault="00AC0FAE" w:rsidP="00AC0FAE">
      <w:r>
        <w:t xml:space="preserve">Whilst analysis of the data occurred at all </w:t>
      </w:r>
      <w:r w:rsidRPr="00220748">
        <w:t>N</w:t>
      </w:r>
      <w:r>
        <w:t xml:space="preserve">orthern Territory Government </w:t>
      </w:r>
      <w:r w:rsidR="00694CFF" w:rsidRPr="00694CFF">
        <w:t>entit</w:t>
      </w:r>
      <w:r w:rsidRPr="00694CFF">
        <w:t>ies</w:t>
      </w:r>
      <w:r>
        <w:t xml:space="preserve">, it was expected that there would be a considerable number of frontline personnel who would be working during this period and therefore would not be on leave. As expected, Northern Territory Police, Fire and Emergency Services, Power Generation Corporation, Department of Health, Department of the Attorney-General and </w:t>
      </w:r>
      <w:r w:rsidRPr="00B750E5">
        <w:t xml:space="preserve">Justice, Power and Water Corporation and Power Retail Corporation had a significant number of staff who did not have a leave application recorded for the three days. The leave data for these </w:t>
      </w:r>
      <w:r w:rsidR="00694CFF">
        <w:t>entities</w:t>
      </w:r>
      <w:r w:rsidRPr="00B750E5">
        <w:t xml:space="preserve"> were not subjected to further analysis and assurance was not sought from these Accountable Officers.</w:t>
      </w:r>
    </w:p>
    <w:p w14:paraId="2A83331F" w14:textId="77777777" w:rsidR="00B750E5" w:rsidRPr="00B750E5" w:rsidRDefault="00B750E5" w:rsidP="00B750E5">
      <w:pPr>
        <w:pStyle w:val="Heading3"/>
      </w:pPr>
      <w:r w:rsidRPr="00B750E5">
        <w:t>Overall Assessment</w:t>
      </w:r>
    </w:p>
    <w:p w14:paraId="435CCBCE" w14:textId="77777777" w:rsidR="00B750E5" w:rsidRDefault="00B750E5" w:rsidP="00B750E5">
      <w:r>
        <w:t>This analysis did not constitute an audit.</w:t>
      </w:r>
    </w:p>
    <w:p w14:paraId="162042EE" w14:textId="77777777" w:rsidR="00F94291" w:rsidRDefault="00F94291" w:rsidP="00F94291">
      <w:r>
        <w:t xml:space="preserve">In the majority of instances, those employees who had not submitted an application for leave during one or more days of the close-down period were confirmed as present at the work place and not on any form of leave on the day/s when there was no approved leave application. </w:t>
      </w:r>
    </w:p>
    <w:p w14:paraId="4C50A806" w14:textId="765D5658" w:rsidR="00F94291" w:rsidRDefault="00F94291" w:rsidP="00F94291">
      <w:r>
        <w:t xml:space="preserve">I note a number of the larger </w:t>
      </w:r>
      <w:r w:rsidR="00694CFF">
        <w:t>entities</w:t>
      </w:r>
      <w:r>
        <w:t xml:space="preserve"> are undertaking further research in order to accurately respond to the findings related to their </w:t>
      </w:r>
      <w:r w:rsidR="00694CFF">
        <w:t xml:space="preserve">entities </w:t>
      </w:r>
      <w:r w:rsidR="00620D56">
        <w:t>and are yet to respond to the findings</w:t>
      </w:r>
      <w:r>
        <w:t>.</w:t>
      </w:r>
    </w:p>
    <w:p w14:paraId="45296A14" w14:textId="7F66938E" w:rsidR="006946D0" w:rsidRDefault="00F94291" w:rsidP="00B750E5">
      <w:r>
        <w:t xml:space="preserve">A number of instances were identified where employees were not at work yet did not have approved leave applications. </w:t>
      </w:r>
      <w:r w:rsidR="00620D56">
        <w:t xml:space="preserve">Appendix A to the </w:t>
      </w:r>
      <w:r w:rsidR="00620D56" w:rsidRPr="00620D56">
        <w:rPr>
          <w:i/>
        </w:rPr>
        <w:t>Treasurer’s Direction - Fraud control</w:t>
      </w:r>
      <w:r w:rsidR="00620D56">
        <w:t xml:space="preserve"> </w:t>
      </w:r>
      <w:r w:rsidR="00620D56" w:rsidRPr="00620D56">
        <w:t>identifies “</w:t>
      </w:r>
      <w:r w:rsidR="00620D56" w:rsidRPr="00620D56">
        <w:rPr>
          <w:i/>
        </w:rPr>
        <w:t>deliberate failure to submit use of employee entitlements (eg. leave)</w:t>
      </w:r>
      <w:r w:rsidR="00620D56" w:rsidRPr="00620D56">
        <w:t>” as</w:t>
      </w:r>
      <w:r w:rsidR="00620D56">
        <w:t xml:space="preserve"> on</w:t>
      </w:r>
      <w:r w:rsidR="008C1392">
        <w:t>e</w:t>
      </w:r>
      <w:r w:rsidR="00620D56">
        <w:t xml:space="preserve"> example of fraud.</w:t>
      </w:r>
      <w:r w:rsidR="00620D56" w:rsidRPr="00620D56">
        <w:t xml:space="preserve">  </w:t>
      </w:r>
      <w:r w:rsidR="00B750E5" w:rsidRPr="00620D56">
        <w:t xml:space="preserve">My review of the data related to leave taken highlights the necessity for </w:t>
      </w:r>
      <w:r w:rsidR="00694CFF">
        <w:t>entities</w:t>
      </w:r>
      <w:r w:rsidR="00694CFF" w:rsidRPr="00B750E5">
        <w:t xml:space="preserve"> </w:t>
      </w:r>
      <w:r w:rsidR="00B750E5" w:rsidRPr="00620D56">
        <w:t>to manage staff leave on a co</w:t>
      </w:r>
      <w:r w:rsidR="00B750E5" w:rsidRPr="00B750E5">
        <w:t>ntinual basis and ensure that, when staff take leave, they obtain an approved leave application prior to commencing leave.</w:t>
      </w:r>
    </w:p>
    <w:p w14:paraId="20129096" w14:textId="43F52CED" w:rsidR="00B97957" w:rsidRPr="000D515D" w:rsidRDefault="00FD1498" w:rsidP="00B97957">
      <w:pPr>
        <w:pStyle w:val="Heading1-continued"/>
      </w:pPr>
      <w:r>
        <w:t>Selected Entities – Close-down leave cont</w:t>
      </w:r>
      <w:r w:rsidR="00B97957">
        <w:t>…</w:t>
      </w:r>
    </w:p>
    <w:p w14:paraId="50436596" w14:textId="7D6405FE" w:rsidR="00AC0FAE" w:rsidRDefault="00101B82" w:rsidP="00AC0FAE">
      <w:pPr>
        <w:pStyle w:val="Heading3"/>
      </w:pPr>
      <w:r>
        <w:t>Parameters and Methodology</w:t>
      </w:r>
    </w:p>
    <w:p w14:paraId="60F7E194" w14:textId="05A2AD9F" w:rsidR="002A4234" w:rsidRDefault="002A4234" w:rsidP="00C211A0">
      <w:pPr>
        <w:pStyle w:val="Heading4"/>
      </w:pPr>
      <w:r w:rsidRPr="00C211A0">
        <w:t>Close</w:t>
      </w:r>
      <w:r>
        <w:t>-down period</w:t>
      </w:r>
    </w:p>
    <w:p w14:paraId="608E0EC3" w14:textId="5F61D62C" w:rsidR="00DF099E" w:rsidRDefault="00B750E5" w:rsidP="002A4234">
      <w:pPr>
        <w:keepNext/>
      </w:pPr>
      <w:r>
        <w:t xml:space="preserve">Historically, many Northern Territory government </w:t>
      </w:r>
      <w:r w:rsidR="00694CFF">
        <w:t>entities</w:t>
      </w:r>
      <w:r w:rsidR="00694CFF" w:rsidRPr="00B750E5">
        <w:t xml:space="preserve"> </w:t>
      </w:r>
      <w:r>
        <w:t>have announced a close-down period between Christmas Day and New Year’s Day inclusive.</w:t>
      </w:r>
      <w:r w:rsidR="002A4234">
        <w:t xml:space="preserve"> </w:t>
      </w:r>
    </w:p>
    <w:p w14:paraId="2CC94C3E" w14:textId="565794C3" w:rsidR="00852039" w:rsidRDefault="007C37D9" w:rsidP="002A4234">
      <w:pPr>
        <w:keepNext/>
      </w:pPr>
      <w:r>
        <w:t>Instructions to public sector employees in relation to t</w:t>
      </w:r>
      <w:r w:rsidR="00852039">
        <w:t>he Christmas close-down leave entitlements state</w:t>
      </w:r>
      <w:r w:rsidR="00852039">
        <w:rPr>
          <w:rStyle w:val="FootnoteReference"/>
        </w:rPr>
        <w:footnoteReference w:id="1"/>
      </w:r>
      <w:r w:rsidR="00852039">
        <w:t>:</w:t>
      </w:r>
    </w:p>
    <w:p w14:paraId="417EABC2" w14:textId="77777777" w:rsidR="00852039" w:rsidRPr="00852039" w:rsidRDefault="00852039" w:rsidP="00852039">
      <w:pPr>
        <w:ind w:left="360"/>
        <w:rPr>
          <w:i/>
        </w:rPr>
      </w:pPr>
      <w:r>
        <w:t>“</w:t>
      </w:r>
      <w:r w:rsidRPr="00852039">
        <w:rPr>
          <w:i/>
        </w:rPr>
        <w:t>If a close-down occurs, you must use any:</w:t>
      </w:r>
    </w:p>
    <w:p w14:paraId="33900506" w14:textId="77777777" w:rsidR="00852039" w:rsidRPr="00852039" w:rsidRDefault="00852039" w:rsidP="00852039">
      <w:pPr>
        <w:pStyle w:val="ListBullet"/>
        <w:ind w:left="720"/>
        <w:rPr>
          <w:i/>
        </w:rPr>
      </w:pPr>
      <w:r w:rsidRPr="00852039">
        <w:rPr>
          <w:i/>
        </w:rPr>
        <w:t>recreation leave</w:t>
      </w:r>
    </w:p>
    <w:p w14:paraId="371D7EF6" w14:textId="77777777" w:rsidR="00852039" w:rsidRPr="00852039" w:rsidRDefault="00852039" w:rsidP="00852039">
      <w:pPr>
        <w:pStyle w:val="ListBullet"/>
        <w:ind w:left="720"/>
        <w:rPr>
          <w:i/>
        </w:rPr>
      </w:pPr>
      <w:r w:rsidRPr="00852039">
        <w:rPr>
          <w:i/>
        </w:rPr>
        <w:t>long service leave</w:t>
      </w:r>
    </w:p>
    <w:p w14:paraId="019C7DA9" w14:textId="77777777" w:rsidR="00852039" w:rsidRPr="00852039" w:rsidRDefault="00852039" w:rsidP="00852039">
      <w:pPr>
        <w:pStyle w:val="ListBullet"/>
        <w:ind w:left="720"/>
        <w:rPr>
          <w:i/>
        </w:rPr>
      </w:pPr>
      <w:r w:rsidRPr="00852039">
        <w:rPr>
          <w:i/>
        </w:rPr>
        <w:t>leave without pay</w:t>
      </w:r>
    </w:p>
    <w:p w14:paraId="6B8D6B26" w14:textId="77777777" w:rsidR="00852039" w:rsidRPr="00852039" w:rsidRDefault="00852039" w:rsidP="00852039">
      <w:pPr>
        <w:pStyle w:val="ListBullet"/>
        <w:ind w:left="720"/>
        <w:rPr>
          <w:i/>
        </w:rPr>
      </w:pPr>
      <w:r w:rsidRPr="00852039">
        <w:rPr>
          <w:i/>
        </w:rPr>
        <w:t>time off in lieu (TOIL) (if eligible)</w:t>
      </w:r>
    </w:p>
    <w:p w14:paraId="2B5477D5" w14:textId="77777777" w:rsidR="00852039" w:rsidRPr="00852039" w:rsidRDefault="00852039" w:rsidP="00852039">
      <w:pPr>
        <w:pStyle w:val="ListBullet"/>
        <w:ind w:left="720"/>
        <w:rPr>
          <w:i/>
        </w:rPr>
      </w:pPr>
      <w:r w:rsidRPr="00852039">
        <w:rPr>
          <w:i/>
        </w:rPr>
        <w:t>flextime credits during the close-down period (if eligible).</w:t>
      </w:r>
    </w:p>
    <w:p w14:paraId="62860277" w14:textId="77777777" w:rsidR="00852039" w:rsidRDefault="00852039" w:rsidP="00852039">
      <w:pPr>
        <w:ind w:left="360"/>
        <w:rPr>
          <w:i/>
        </w:rPr>
      </w:pPr>
      <w:r w:rsidRPr="00852039">
        <w:rPr>
          <w:i/>
        </w:rPr>
        <w:t>If you don't have enough leave available, you will need to use leave without pay or request to work additional hours.</w:t>
      </w:r>
    </w:p>
    <w:p w14:paraId="038024B4" w14:textId="77777777" w:rsidR="009B66BD" w:rsidRDefault="00852039" w:rsidP="00852039">
      <w:pPr>
        <w:ind w:left="360"/>
        <w:rPr>
          <w:i/>
        </w:rPr>
      </w:pPr>
      <w:r w:rsidRPr="00852039">
        <w:rPr>
          <w:i/>
        </w:rPr>
        <w:t>You cannot work additional hours to accrue TOIL/flex for the sole purpose of the close-down period, unless under exceptional circumstances</w:t>
      </w:r>
      <w:r>
        <w:rPr>
          <w:i/>
        </w:rPr>
        <w:t>.</w:t>
      </w:r>
    </w:p>
    <w:p w14:paraId="17881652" w14:textId="77777777" w:rsidR="009B66BD" w:rsidRPr="009B66BD" w:rsidRDefault="009B66BD" w:rsidP="009B66BD">
      <w:pPr>
        <w:ind w:left="360"/>
        <w:rPr>
          <w:i/>
        </w:rPr>
      </w:pPr>
      <w:r w:rsidRPr="009B66BD">
        <w:rPr>
          <w:i/>
        </w:rPr>
        <w:t>Speak with your manager to work out which option is best for you.</w:t>
      </w:r>
    </w:p>
    <w:p w14:paraId="0623621E" w14:textId="77777777" w:rsidR="009B66BD" w:rsidRPr="009B66BD" w:rsidRDefault="009B66BD" w:rsidP="009B66BD">
      <w:pPr>
        <w:ind w:left="360"/>
        <w:rPr>
          <w:b/>
          <w:i/>
        </w:rPr>
      </w:pPr>
      <w:r w:rsidRPr="009B66BD">
        <w:rPr>
          <w:b/>
          <w:i/>
        </w:rPr>
        <w:t>How to apply</w:t>
      </w:r>
    </w:p>
    <w:p w14:paraId="4A197223" w14:textId="1677D85E" w:rsidR="00852039" w:rsidRPr="00852039" w:rsidRDefault="009B66BD" w:rsidP="009B66BD">
      <w:pPr>
        <w:ind w:left="360"/>
        <w:rPr>
          <w:i/>
        </w:rPr>
      </w:pPr>
      <w:r w:rsidRPr="009B66BD">
        <w:rPr>
          <w:i/>
        </w:rPr>
        <w:t>Submit your leave request in myHR selecting the appropriate leave type for your circumstances.</w:t>
      </w:r>
      <w:r w:rsidR="00852039" w:rsidRPr="00852039">
        <w:rPr>
          <w:i/>
        </w:rPr>
        <w:t>”</w:t>
      </w:r>
    </w:p>
    <w:p w14:paraId="6689EDFB" w14:textId="7E6A9F08" w:rsidR="009B66BD" w:rsidRDefault="009B66BD" w:rsidP="00C211A0">
      <w:pPr>
        <w:pStyle w:val="Heading4"/>
      </w:pPr>
      <w:r>
        <w:t xml:space="preserve">Declared </w:t>
      </w:r>
      <w:r w:rsidRPr="00C211A0">
        <w:t>Public</w:t>
      </w:r>
      <w:r>
        <w:t xml:space="preserve"> Holidays</w:t>
      </w:r>
    </w:p>
    <w:p w14:paraId="6844D721" w14:textId="741B2839" w:rsidR="009B66BD" w:rsidRDefault="00C211A0" w:rsidP="009B66BD">
      <w:r>
        <w:t>I</w:t>
      </w:r>
      <w:r w:rsidR="009B66BD">
        <w:t>nformation relating to public holidays and weekends during t</w:t>
      </w:r>
      <w:r w:rsidR="00820B53">
        <w:t>he period 25 December 2020 to 1 </w:t>
      </w:r>
      <w:r w:rsidR="009B66BD">
        <w:t>January 2021 was sourced from the Office of the Commissioner for Public Employment’s website:</w:t>
      </w:r>
    </w:p>
    <w:p w14:paraId="0A99B14F" w14:textId="0F18A6BA" w:rsidR="00C211A0" w:rsidRDefault="00C211A0" w:rsidP="00C211A0">
      <w:pPr>
        <w:pStyle w:val="Caption"/>
        <w:keepNext/>
        <w:spacing w:after="120"/>
      </w:pPr>
      <w:r>
        <w:t>Table 1: Northern Territory Public Holiday dates over the period</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Northern Territory Public Holiday dates over the period"/>
        <w:tblDescription w:val="Date Day Notation&#10;25 December Friday Public Holiday&#10;26 December Saturday Weekend&#10;27 December Sunday Weekend&#10;28 December  Monday Public Holiday&#10;29 December Tuesday &#10;30 December Wednesday &#10;31 December Thursday Part-day Holiday – 7pm to Midnight&#10;1 January Friday Public Holiday&#10;"/>
      </w:tblPr>
      <w:tblGrid>
        <w:gridCol w:w="1843"/>
        <w:gridCol w:w="1564"/>
        <w:gridCol w:w="3734"/>
      </w:tblGrid>
      <w:tr w:rsidR="009B66BD" w:rsidRPr="00672BA8" w14:paraId="5700934F" w14:textId="77777777" w:rsidTr="00EC0D5A">
        <w:trPr>
          <w:tblHeader/>
        </w:trPr>
        <w:tc>
          <w:tcPr>
            <w:tcW w:w="1843" w:type="dxa"/>
            <w:shd w:val="clear" w:color="auto" w:fill="E6E6E6"/>
          </w:tcPr>
          <w:p w14:paraId="33FE0673" w14:textId="77777777" w:rsidR="009B66BD" w:rsidRPr="00672BA8" w:rsidRDefault="009B66BD" w:rsidP="00421DE8">
            <w:pPr>
              <w:tabs>
                <w:tab w:val="clear" w:pos="1378"/>
              </w:tabs>
              <w:jc w:val="center"/>
              <w:rPr>
                <w:b/>
              </w:rPr>
            </w:pPr>
            <w:r w:rsidRPr="00672BA8">
              <w:rPr>
                <w:b/>
              </w:rPr>
              <w:t>Date</w:t>
            </w:r>
          </w:p>
        </w:tc>
        <w:tc>
          <w:tcPr>
            <w:tcW w:w="1564" w:type="dxa"/>
            <w:shd w:val="clear" w:color="auto" w:fill="E6E6E6"/>
          </w:tcPr>
          <w:p w14:paraId="334A2E1D" w14:textId="77777777" w:rsidR="009B66BD" w:rsidRPr="00672BA8" w:rsidRDefault="009B66BD" w:rsidP="00421DE8">
            <w:pPr>
              <w:tabs>
                <w:tab w:val="clear" w:pos="1378"/>
              </w:tabs>
              <w:jc w:val="center"/>
              <w:rPr>
                <w:b/>
              </w:rPr>
            </w:pPr>
            <w:r w:rsidRPr="00672BA8">
              <w:rPr>
                <w:b/>
              </w:rPr>
              <w:t>Day</w:t>
            </w:r>
          </w:p>
        </w:tc>
        <w:tc>
          <w:tcPr>
            <w:tcW w:w="3734" w:type="dxa"/>
            <w:shd w:val="clear" w:color="auto" w:fill="E6E6E6"/>
          </w:tcPr>
          <w:p w14:paraId="3FD7DB30" w14:textId="77777777" w:rsidR="009B66BD" w:rsidRPr="00672BA8" w:rsidRDefault="009B66BD" w:rsidP="00421DE8">
            <w:pPr>
              <w:tabs>
                <w:tab w:val="clear" w:pos="1378"/>
              </w:tabs>
              <w:jc w:val="center"/>
              <w:rPr>
                <w:b/>
              </w:rPr>
            </w:pPr>
            <w:r w:rsidRPr="00672BA8">
              <w:rPr>
                <w:b/>
              </w:rPr>
              <w:t>Notation</w:t>
            </w:r>
          </w:p>
        </w:tc>
      </w:tr>
      <w:tr w:rsidR="009B66BD" w:rsidRPr="00672BA8" w14:paraId="11D69659" w14:textId="77777777" w:rsidTr="00421DE8">
        <w:tc>
          <w:tcPr>
            <w:tcW w:w="1843" w:type="dxa"/>
          </w:tcPr>
          <w:p w14:paraId="4C20137E" w14:textId="77777777" w:rsidR="009B66BD" w:rsidRPr="00672BA8" w:rsidRDefault="009B66BD" w:rsidP="00421DE8">
            <w:pPr>
              <w:tabs>
                <w:tab w:val="clear" w:pos="1378"/>
              </w:tabs>
            </w:pPr>
            <w:r w:rsidRPr="00672BA8">
              <w:t>25 December</w:t>
            </w:r>
          </w:p>
        </w:tc>
        <w:tc>
          <w:tcPr>
            <w:tcW w:w="1564" w:type="dxa"/>
          </w:tcPr>
          <w:p w14:paraId="0598A1CB" w14:textId="77777777" w:rsidR="009B66BD" w:rsidRPr="00672BA8" w:rsidRDefault="009B66BD" w:rsidP="00421DE8">
            <w:pPr>
              <w:tabs>
                <w:tab w:val="clear" w:pos="1378"/>
              </w:tabs>
            </w:pPr>
            <w:r w:rsidRPr="00672BA8">
              <w:t>Friday</w:t>
            </w:r>
          </w:p>
        </w:tc>
        <w:tc>
          <w:tcPr>
            <w:tcW w:w="3734" w:type="dxa"/>
          </w:tcPr>
          <w:p w14:paraId="4B839421" w14:textId="77777777" w:rsidR="009B66BD" w:rsidRPr="00672BA8" w:rsidRDefault="009B66BD" w:rsidP="00421DE8">
            <w:pPr>
              <w:tabs>
                <w:tab w:val="clear" w:pos="1378"/>
              </w:tabs>
            </w:pPr>
            <w:r w:rsidRPr="00672BA8">
              <w:t>Public Holiday</w:t>
            </w:r>
          </w:p>
        </w:tc>
      </w:tr>
      <w:tr w:rsidR="009B66BD" w:rsidRPr="00672BA8" w14:paraId="098737E2" w14:textId="77777777" w:rsidTr="00421DE8">
        <w:tc>
          <w:tcPr>
            <w:tcW w:w="1843" w:type="dxa"/>
          </w:tcPr>
          <w:p w14:paraId="70529E6F" w14:textId="77777777" w:rsidR="009B66BD" w:rsidRPr="00672BA8" w:rsidRDefault="009B66BD" w:rsidP="00421DE8">
            <w:pPr>
              <w:tabs>
                <w:tab w:val="clear" w:pos="1378"/>
              </w:tabs>
            </w:pPr>
            <w:r w:rsidRPr="00672BA8">
              <w:t>26 December</w:t>
            </w:r>
          </w:p>
        </w:tc>
        <w:tc>
          <w:tcPr>
            <w:tcW w:w="1564" w:type="dxa"/>
          </w:tcPr>
          <w:p w14:paraId="2C94FAD1" w14:textId="77777777" w:rsidR="009B66BD" w:rsidRPr="00672BA8" w:rsidRDefault="009B66BD" w:rsidP="00421DE8">
            <w:pPr>
              <w:tabs>
                <w:tab w:val="clear" w:pos="1378"/>
              </w:tabs>
            </w:pPr>
            <w:r w:rsidRPr="00672BA8">
              <w:t>Saturday</w:t>
            </w:r>
          </w:p>
        </w:tc>
        <w:tc>
          <w:tcPr>
            <w:tcW w:w="3734" w:type="dxa"/>
          </w:tcPr>
          <w:p w14:paraId="6A66EC61" w14:textId="77777777" w:rsidR="009B66BD" w:rsidRPr="00672BA8" w:rsidRDefault="009B66BD" w:rsidP="00421DE8">
            <w:pPr>
              <w:tabs>
                <w:tab w:val="clear" w:pos="1378"/>
              </w:tabs>
            </w:pPr>
            <w:r w:rsidRPr="00672BA8">
              <w:t>Weekend</w:t>
            </w:r>
          </w:p>
        </w:tc>
      </w:tr>
      <w:tr w:rsidR="009B66BD" w:rsidRPr="00672BA8" w14:paraId="239C312A" w14:textId="77777777" w:rsidTr="00421DE8">
        <w:tc>
          <w:tcPr>
            <w:tcW w:w="1843" w:type="dxa"/>
          </w:tcPr>
          <w:p w14:paraId="23778922" w14:textId="77777777" w:rsidR="009B66BD" w:rsidRPr="00672BA8" w:rsidRDefault="009B66BD" w:rsidP="00421DE8">
            <w:pPr>
              <w:tabs>
                <w:tab w:val="clear" w:pos="1378"/>
              </w:tabs>
            </w:pPr>
            <w:r w:rsidRPr="00672BA8">
              <w:t>27 December</w:t>
            </w:r>
          </w:p>
        </w:tc>
        <w:tc>
          <w:tcPr>
            <w:tcW w:w="1564" w:type="dxa"/>
          </w:tcPr>
          <w:p w14:paraId="3BD4A163" w14:textId="77777777" w:rsidR="009B66BD" w:rsidRPr="00672BA8" w:rsidRDefault="009B66BD" w:rsidP="00421DE8">
            <w:pPr>
              <w:tabs>
                <w:tab w:val="clear" w:pos="1378"/>
              </w:tabs>
            </w:pPr>
            <w:r w:rsidRPr="00672BA8">
              <w:t>Sunday</w:t>
            </w:r>
          </w:p>
        </w:tc>
        <w:tc>
          <w:tcPr>
            <w:tcW w:w="3734" w:type="dxa"/>
          </w:tcPr>
          <w:p w14:paraId="67402A1B" w14:textId="77777777" w:rsidR="009B66BD" w:rsidRPr="00672BA8" w:rsidRDefault="009B66BD" w:rsidP="00421DE8">
            <w:pPr>
              <w:tabs>
                <w:tab w:val="clear" w:pos="1378"/>
              </w:tabs>
            </w:pPr>
            <w:r w:rsidRPr="00672BA8">
              <w:t>Weekend</w:t>
            </w:r>
          </w:p>
        </w:tc>
      </w:tr>
      <w:tr w:rsidR="009B66BD" w:rsidRPr="00672BA8" w14:paraId="284F4F16" w14:textId="77777777" w:rsidTr="00421DE8">
        <w:tc>
          <w:tcPr>
            <w:tcW w:w="1843" w:type="dxa"/>
          </w:tcPr>
          <w:p w14:paraId="3A16EC8E" w14:textId="77777777" w:rsidR="009B66BD" w:rsidRPr="00672BA8" w:rsidRDefault="009B66BD" w:rsidP="00421DE8">
            <w:pPr>
              <w:tabs>
                <w:tab w:val="clear" w:pos="1378"/>
              </w:tabs>
            </w:pPr>
            <w:r w:rsidRPr="00672BA8">
              <w:t xml:space="preserve">28 December </w:t>
            </w:r>
          </w:p>
        </w:tc>
        <w:tc>
          <w:tcPr>
            <w:tcW w:w="1564" w:type="dxa"/>
          </w:tcPr>
          <w:p w14:paraId="1C7DC454" w14:textId="77777777" w:rsidR="009B66BD" w:rsidRPr="00672BA8" w:rsidRDefault="009B66BD" w:rsidP="00421DE8">
            <w:pPr>
              <w:tabs>
                <w:tab w:val="clear" w:pos="1378"/>
              </w:tabs>
            </w:pPr>
            <w:r w:rsidRPr="00672BA8">
              <w:t>Monday</w:t>
            </w:r>
          </w:p>
        </w:tc>
        <w:tc>
          <w:tcPr>
            <w:tcW w:w="3734" w:type="dxa"/>
          </w:tcPr>
          <w:p w14:paraId="1FE17B99" w14:textId="77777777" w:rsidR="009B66BD" w:rsidRPr="00672BA8" w:rsidRDefault="009B66BD" w:rsidP="00421DE8">
            <w:pPr>
              <w:tabs>
                <w:tab w:val="clear" w:pos="1378"/>
              </w:tabs>
            </w:pPr>
            <w:r w:rsidRPr="00672BA8">
              <w:t>Public Holiday</w:t>
            </w:r>
          </w:p>
        </w:tc>
      </w:tr>
      <w:tr w:rsidR="009B66BD" w:rsidRPr="00672BA8" w14:paraId="0D7FC43A" w14:textId="77777777" w:rsidTr="00421DE8">
        <w:tc>
          <w:tcPr>
            <w:tcW w:w="1843" w:type="dxa"/>
          </w:tcPr>
          <w:p w14:paraId="0599C2CE" w14:textId="77777777" w:rsidR="009B66BD" w:rsidRPr="00672BA8" w:rsidRDefault="009B66BD" w:rsidP="00421DE8">
            <w:pPr>
              <w:tabs>
                <w:tab w:val="clear" w:pos="1378"/>
              </w:tabs>
            </w:pPr>
            <w:r w:rsidRPr="00672BA8">
              <w:t>29 December</w:t>
            </w:r>
          </w:p>
        </w:tc>
        <w:tc>
          <w:tcPr>
            <w:tcW w:w="1564" w:type="dxa"/>
          </w:tcPr>
          <w:p w14:paraId="76D31B12" w14:textId="77777777" w:rsidR="009B66BD" w:rsidRPr="00672BA8" w:rsidRDefault="009B66BD" w:rsidP="00421DE8">
            <w:pPr>
              <w:tabs>
                <w:tab w:val="clear" w:pos="1378"/>
              </w:tabs>
            </w:pPr>
            <w:r w:rsidRPr="00672BA8">
              <w:t>Tuesday</w:t>
            </w:r>
          </w:p>
        </w:tc>
        <w:tc>
          <w:tcPr>
            <w:tcW w:w="3734" w:type="dxa"/>
          </w:tcPr>
          <w:p w14:paraId="1BC27142" w14:textId="77777777" w:rsidR="009B66BD" w:rsidRPr="00672BA8" w:rsidRDefault="009B66BD" w:rsidP="00421DE8">
            <w:pPr>
              <w:tabs>
                <w:tab w:val="clear" w:pos="1378"/>
              </w:tabs>
            </w:pPr>
          </w:p>
        </w:tc>
      </w:tr>
      <w:tr w:rsidR="009B66BD" w:rsidRPr="00672BA8" w14:paraId="239BD1BA" w14:textId="77777777" w:rsidTr="00421DE8">
        <w:tc>
          <w:tcPr>
            <w:tcW w:w="1843" w:type="dxa"/>
          </w:tcPr>
          <w:p w14:paraId="799790FA" w14:textId="77777777" w:rsidR="009B66BD" w:rsidRPr="00672BA8" w:rsidRDefault="009B66BD" w:rsidP="00421DE8">
            <w:pPr>
              <w:tabs>
                <w:tab w:val="clear" w:pos="1378"/>
              </w:tabs>
            </w:pPr>
            <w:r w:rsidRPr="00672BA8">
              <w:t>30 December</w:t>
            </w:r>
          </w:p>
        </w:tc>
        <w:tc>
          <w:tcPr>
            <w:tcW w:w="1564" w:type="dxa"/>
          </w:tcPr>
          <w:p w14:paraId="46A1B198" w14:textId="77777777" w:rsidR="009B66BD" w:rsidRPr="00672BA8" w:rsidRDefault="009B66BD" w:rsidP="00421DE8">
            <w:pPr>
              <w:tabs>
                <w:tab w:val="clear" w:pos="1378"/>
              </w:tabs>
            </w:pPr>
            <w:r w:rsidRPr="00672BA8">
              <w:t>Wednesday</w:t>
            </w:r>
          </w:p>
        </w:tc>
        <w:tc>
          <w:tcPr>
            <w:tcW w:w="3734" w:type="dxa"/>
          </w:tcPr>
          <w:p w14:paraId="4426E7EA" w14:textId="77777777" w:rsidR="009B66BD" w:rsidRPr="00672BA8" w:rsidRDefault="009B66BD" w:rsidP="00421DE8">
            <w:pPr>
              <w:tabs>
                <w:tab w:val="clear" w:pos="1378"/>
              </w:tabs>
            </w:pPr>
          </w:p>
        </w:tc>
      </w:tr>
      <w:tr w:rsidR="009B66BD" w:rsidRPr="00672BA8" w14:paraId="78A9EEA3" w14:textId="77777777" w:rsidTr="00421DE8">
        <w:tc>
          <w:tcPr>
            <w:tcW w:w="1843" w:type="dxa"/>
          </w:tcPr>
          <w:p w14:paraId="2BC99E9E" w14:textId="77777777" w:rsidR="009B66BD" w:rsidRPr="00672BA8" w:rsidRDefault="009B66BD" w:rsidP="00421DE8">
            <w:pPr>
              <w:tabs>
                <w:tab w:val="clear" w:pos="1378"/>
              </w:tabs>
            </w:pPr>
            <w:r w:rsidRPr="00672BA8">
              <w:t>31 December</w:t>
            </w:r>
          </w:p>
        </w:tc>
        <w:tc>
          <w:tcPr>
            <w:tcW w:w="1564" w:type="dxa"/>
          </w:tcPr>
          <w:p w14:paraId="70D6E943" w14:textId="77777777" w:rsidR="009B66BD" w:rsidRPr="00672BA8" w:rsidRDefault="009B66BD" w:rsidP="00421DE8">
            <w:pPr>
              <w:tabs>
                <w:tab w:val="clear" w:pos="1378"/>
              </w:tabs>
            </w:pPr>
            <w:r w:rsidRPr="00672BA8">
              <w:t>Thursday</w:t>
            </w:r>
          </w:p>
        </w:tc>
        <w:tc>
          <w:tcPr>
            <w:tcW w:w="3734" w:type="dxa"/>
          </w:tcPr>
          <w:p w14:paraId="7FBFB5AF" w14:textId="77777777" w:rsidR="009B66BD" w:rsidRPr="00672BA8" w:rsidRDefault="009B66BD" w:rsidP="00421DE8">
            <w:pPr>
              <w:tabs>
                <w:tab w:val="clear" w:pos="1378"/>
              </w:tabs>
            </w:pPr>
            <w:r w:rsidRPr="00672BA8">
              <w:t>Part-day Holiday – 7pm to Midnight</w:t>
            </w:r>
          </w:p>
        </w:tc>
      </w:tr>
      <w:tr w:rsidR="009B66BD" w:rsidRPr="00672BA8" w14:paraId="2B2A8C7B" w14:textId="77777777" w:rsidTr="00421DE8">
        <w:tc>
          <w:tcPr>
            <w:tcW w:w="1843" w:type="dxa"/>
          </w:tcPr>
          <w:p w14:paraId="2A34CAFE" w14:textId="77777777" w:rsidR="009B66BD" w:rsidRPr="00672BA8" w:rsidRDefault="009B66BD" w:rsidP="00421DE8">
            <w:pPr>
              <w:tabs>
                <w:tab w:val="clear" w:pos="1378"/>
              </w:tabs>
            </w:pPr>
            <w:r w:rsidRPr="00672BA8">
              <w:t>1 January</w:t>
            </w:r>
          </w:p>
        </w:tc>
        <w:tc>
          <w:tcPr>
            <w:tcW w:w="1564" w:type="dxa"/>
          </w:tcPr>
          <w:p w14:paraId="465C3BC7" w14:textId="77777777" w:rsidR="009B66BD" w:rsidRPr="00672BA8" w:rsidRDefault="009B66BD" w:rsidP="00421DE8">
            <w:pPr>
              <w:tabs>
                <w:tab w:val="clear" w:pos="1378"/>
              </w:tabs>
            </w:pPr>
            <w:r w:rsidRPr="00672BA8">
              <w:t>Friday</w:t>
            </w:r>
          </w:p>
        </w:tc>
        <w:tc>
          <w:tcPr>
            <w:tcW w:w="3734" w:type="dxa"/>
          </w:tcPr>
          <w:p w14:paraId="5B6E2266" w14:textId="77777777" w:rsidR="009B66BD" w:rsidRPr="00672BA8" w:rsidRDefault="009B66BD" w:rsidP="00421DE8">
            <w:pPr>
              <w:tabs>
                <w:tab w:val="clear" w:pos="1378"/>
              </w:tabs>
            </w:pPr>
            <w:r w:rsidRPr="00672BA8">
              <w:t>Public Holiday</w:t>
            </w:r>
          </w:p>
        </w:tc>
      </w:tr>
    </w:tbl>
    <w:p w14:paraId="108C313D" w14:textId="15B2BA0E" w:rsidR="00C211A0" w:rsidRDefault="00C211A0" w:rsidP="00C211A0">
      <w:pPr>
        <w:pStyle w:val="Caption"/>
        <w:keepNext/>
        <w:spacing w:after="120"/>
      </w:pPr>
      <w:r>
        <w:t>Source: Office of the Commissioner for Public Employment website</w:t>
      </w:r>
    </w:p>
    <w:p w14:paraId="2EECBB2A" w14:textId="4DBF7C5B" w:rsidR="00B97957" w:rsidRPr="000D515D" w:rsidRDefault="00FD1498" w:rsidP="00B97957">
      <w:pPr>
        <w:pStyle w:val="Heading1-continued"/>
      </w:pPr>
      <w:r>
        <w:t>Selected Entities – Close-down leave cont…</w:t>
      </w:r>
    </w:p>
    <w:p w14:paraId="1A5C13F7" w14:textId="129D80F0" w:rsidR="009B66BD" w:rsidRDefault="005F021F" w:rsidP="009B66BD">
      <w:r>
        <w:t>T</w:t>
      </w:r>
      <w:r w:rsidR="009B66BD">
        <w:t xml:space="preserve">he public holidays gazetted </w:t>
      </w:r>
      <w:r>
        <w:t>meant</w:t>
      </w:r>
      <w:r w:rsidR="009B66BD">
        <w:t xml:space="preserve"> the standard working days </w:t>
      </w:r>
      <w:r w:rsidR="00DF099E">
        <w:t>(for non-shift workers) were 29 </w:t>
      </w:r>
      <w:r w:rsidR="009B66BD">
        <w:t xml:space="preserve">December, </w:t>
      </w:r>
      <w:r w:rsidR="009B66BD" w:rsidRPr="005F021F">
        <w:t>30 December and 31 December 2020.</w:t>
      </w:r>
      <w:r w:rsidR="002A4234" w:rsidRPr="005F021F">
        <w:t xml:space="preserve"> In accordance with a government announcement in 2016, Thursday 31 December was a gazetted part-day holiday from 7pm to </w:t>
      </w:r>
      <w:r w:rsidR="009E6E42" w:rsidRPr="005F021F">
        <w:t>m</w:t>
      </w:r>
      <w:r w:rsidR="002A4234" w:rsidRPr="005F021F">
        <w:t>idnight</w:t>
      </w:r>
      <w:r w:rsidR="009E6E42" w:rsidRPr="005F021F">
        <w:t xml:space="preserve"> </w:t>
      </w:r>
      <w:r w:rsidRPr="005F021F">
        <w:t>thus</w:t>
      </w:r>
      <w:r w:rsidR="009E6E42" w:rsidRPr="005F021F">
        <w:t xml:space="preserve"> </w:t>
      </w:r>
      <w:r w:rsidR="002A4234" w:rsidRPr="005F021F">
        <w:t xml:space="preserve">normal office hours </w:t>
      </w:r>
      <w:r w:rsidRPr="005F021F">
        <w:t>applied</w:t>
      </w:r>
      <w:r w:rsidR="00371558" w:rsidRPr="005F021F">
        <w:t xml:space="preserve"> with</w:t>
      </w:r>
      <w:r w:rsidRPr="005F021F">
        <w:t xml:space="preserve"> </w:t>
      </w:r>
      <w:r w:rsidR="00371558" w:rsidRPr="005F021F">
        <w:t xml:space="preserve">a leave application </w:t>
      </w:r>
      <w:r w:rsidRPr="005F021F">
        <w:t>required</w:t>
      </w:r>
      <w:r w:rsidR="00371558" w:rsidRPr="005F021F">
        <w:t xml:space="preserve"> for that day</w:t>
      </w:r>
      <w:r w:rsidRPr="005F021F">
        <w:t xml:space="preserve"> if an employee was not working.</w:t>
      </w:r>
    </w:p>
    <w:p w14:paraId="7ABFB8B0" w14:textId="6EFFFDE2" w:rsidR="009B66BD" w:rsidRDefault="009B66BD" w:rsidP="00C211A0">
      <w:pPr>
        <w:pStyle w:val="Heading4"/>
      </w:pPr>
      <w:r w:rsidRPr="00C211A0">
        <w:t>myHR</w:t>
      </w:r>
    </w:p>
    <w:p w14:paraId="5EC95972" w14:textId="28D38369" w:rsidR="009B66BD" w:rsidRDefault="009B66BD" w:rsidP="009B66BD">
      <w:r>
        <w:t xml:space="preserve">‘myHR’ is the </w:t>
      </w:r>
      <w:r w:rsidR="00EC0273" w:rsidRPr="00220748">
        <w:t>N</w:t>
      </w:r>
      <w:r w:rsidR="00EC0273">
        <w:t>orthern Territory Government</w:t>
      </w:r>
      <w:r>
        <w:t xml:space="preserve"> system used by employees to access personal payslips, process higher-duty allowance applications, process temporary transfers, enter overtime claims, enter recreation and personal leave applications and ch</w:t>
      </w:r>
      <w:r w:rsidR="00A715EB">
        <w:t>eck leave entitlement balances.</w:t>
      </w:r>
      <w:r>
        <w:t xml:space="preserve"> </w:t>
      </w:r>
    </w:p>
    <w:p w14:paraId="29479FD0" w14:textId="6D9FDD78" w:rsidR="009B66BD" w:rsidRDefault="009B66BD" w:rsidP="00C211A0">
      <w:pPr>
        <w:pStyle w:val="Heading4"/>
      </w:pPr>
      <w:r>
        <w:t xml:space="preserve">Time Off </w:t>
      </w:r>
      <w:r w:rsidRPr="00C211A0">
        <w:t>in</w:t>
      </w:r>
      <w:r>
        <w:t xml:space="preserve"> Lieu</w:t>
      </w:r>
    </w:p>
    <w:p w14:paraId="17B99101" w14:textId="3ACF2355" w:rsidR="004679A2" w:rsidRDefault="004679A2" w:rsidP="004679A2">
      <w:r>
        <w:t>The ‘request time off in lieu (TOIL) work-life balance</w:t>
      </w:r>
      <w:r w:rsidR="00D34EAE">
        <w:t>’</w:t>
      </w:r>
      <w:r>
        <w:t xml:space="preserve"> information state</w:t>
      </w:r>
      <w:r w:rsidR="00A328F6">
        <w:t>s</w:t>
      </w:r>
      <w:r w:rsidR="00A328F6">
        <w:rPr>
          <w:rStyle w:val="FootnoteReference"/>
        </w:rPr>
        <w:footnoteReference w:id="2"/>
      </w:r>
      <w:r>
        <w:t>:</w:t>
      </w:r>
    </w:p>
    <w:p w14:paraId="76BF4928" w14:textId="17C55F61" w:rsidR="004679A2" w:rsidRPr="00A328F6" w:rsidRDefault="00A328F6" w:rsidP="00A328F6">
      <w:pPr>
        <w:ind w:left="720"/>
        <w:rPr>
          <w:i/>
        </w:rPr>
      </w:pPr>
      <w:r>
        <w:rPr>
          <w:i/>
        </w:rPr>
        <w:t>“</w:t>
      </w:r>
      <w:r w:rsidR="004679A2" w:rsidRPr="00A328F6">
        <w:rPr>
          <w:i/>
        </w:rPr>
        <w:t>Time off in lieu (TOIL) is time off work instead of being paid overtime for additional hours you have worked.</w:t>
      </w:r>
    </w:p>
    <w:p w14:paraId="2B9CBA4B" w14:textId="6818563A" w:rsidR="004679A2" w:rsidRPr="00A328F6" w:rsidRDefault="00A328F6" w:rsidP="00A328F6">
      <w:pPr>
        <w:ind w:left="720"/>
        <w:rPr>
          <w:i/>
        </w:rPr>
      </w:pPr>
      <w:r>
        <w:rPr>
          <w:i/>
        </w:rPr>
        <w:t>…</w:t>
      </w:r>
      <w:r w:rsidR="004679A2" w:rsidRPr="00A328F6">
        <w:rPr>
          <w:i/>
        </w:rPr>
        <w:t>.</w:t>
      </w:r>
    </w:p>
    <w:p w14:paraId="455F8C5E" w14:textId="77777777" w:rsidR="004679A2" w:rsidRPr="00A328F6" w:rsidRDefault="004679A2" w:rsidP="00A328F6">
      <w:pPr>
        <w:ind w:left="720"/>
        <w:rPr>
          <w:b/>
          <w:i/>
        </w:rPr>
      </w:pPr>
      <w:r w:rsidRPr="00A328F6">
        <w:rPr>
          <w:b/>
          <w:i/>
        </w:rPr>
        <w:t>Who is eligible</w:t>
      </w:r>
    </w:p>
    <w:p w14:paraId="7D98BC06" w14:textId="77777777" w:rsidR="004679A2" w:rsidRPr="00A328F6" w:rsidRDefault="004679A2" w:rsidP="00A328F6">
      <w:pPr>
        <w:ind w:left="720"/>
        <w:rPr>
          <w:i/>
        </w:rPr>
      </w:pPr>
      <w:r w:rsidRPr="00A328F6">
        <w:rPr>
          <w:i/>
        </w:rPr>
        <w:t>To be eligible for TOIL, your salary needs to be less than the top increment of the AO6 classification, unless approved by the Commissioner for Public Employment.</w:t>
      </w:r>
    </w:p>
    <w:p w14:paraId="44B8DB8B" w14:textId="77777777" w:rsidR="004679A2" w:rsidRPr="00A328F6" w:rsidRDefault="004679A2" w:rsidP="00A328F6">
      <w:pPr>
        <w:ind w:left="720"/>
        <w:rPr>
          <w:i/>
        </w:rPr>
      </w:pPr>
      <w:r w:rsidRPr="00A328F6">
        <w:rPr>
          <w:i/>
        </w:rPr>
        <w:t>You can't get TOIL if:</w:t>
      </w:r>
    </w:p>
    <w:p w14:paraId="4A4A7A6C" w14:textId="77777777" w:rsidR="004679A2" w:rsidRPr="00A328F6" w:rsidRDefault="004679A2" w:rsidP="00A328F6">
      <w:pPr>
        <w:pStyle w:val="ListBullet"/>
        <w:ind w:left="1080"/>
        <w:rPr>
          <w:i/>
        </w:rPr>
      </w:pPr>
      <w:r w:rsidRPr="00A328F6">
        <w:rPr>
          <w:i/>
        </w:rPr>
        <w:t>your salary is more than the top increment of the AO6 classification or</w:t>
      </w:r>
    </w:p>
    <w:p w14:paraId="26475E73" w14:textId="77777777" w:rsidR="004679A2" w:rsidRPr="00A328F6" w:rsidRDefault="004679A2" w:rsidP="00A328F6">
      <w:pPr>
        <w:pStyle w:val="ListBullet"/>
        <w:ind w:left="1080"/>
        <w:rPr>
          <w:i/>
        </w:rPr>
      </w:pPr>
      <w:r w:rsidRPr="00A328F6">
        <w:rPr>
          <w:i/>
        </w:rPr>
        <w:t>it is not part of your conditions of employment.</w:t>
      </w:r>
    </w:p>
    <w:p w14:paraId="1AFF2AC3" w14:textId="77777777" w:rsidR="004679A2" w:rsidRPr="00A328F6" w:rsidRDefault="004679A2" w:rsidP="00A328F6">
      <w:pPr>
        <w:ind w:left="720"/>
        <w:rPr>
          <w:b/>
          <w:i/>
        </w:rPr>
      </w:pPr>
      <w:r w:rsidRPr="00A328F6">
        <w:rPr>
          <w:b/>
          <w:i/>
        </w:rPr>
        <w:t>Before you apply</w:t>
      </w:r>
    </w:p>
    <w:p w14:paraId="4A182B2B" w14:textId="77777777" w:rsidR="004679A2" w:rsidRPr="00A328F6" w:rsidRDefault="004679A2" w:rsidP="00A328F6">
      <w:pPr>
        <w:ind w:left="720"/>
        <w:rPr>
          <w:i/>
        </w:rPr>
      </w:pPr>
      <w:r w:rsidRPr="00A328F6">
        <w:rPr>
          <w:i/>
        </w:rPr>
        <w:t>You must receive approval from an agency authorised delegate before you work TOIL.</w:t>
      </w:r>
    </w:p>
    <w:p w14:paraId="68E45810" w14:textId="77777777" w:rsidR="004679A2" w:rsidRPr="00A328F6" w:rsidRDefault="004679A2" w:rsidP="00A328F6">
      <w:pPr>
        <w:ind w:left="720"/>
        <w:rPr>
          <w:i/>
        </w:rPr>
      </w:pPr>
      <w:r w:rsidRPr="00A328F6">
        <w:rPr>
          <w:i/>
        </w:rPr>
        <w:t>Your manager will need to consider operational requirements.</w:t>
      </w:r>
    </w:p>
    <w:p w14:paraId="4CF16054" w14:textId="77777777" w:rsidR="004679A2" w:rsidRPr="00A328F6" w:rsidRDefault="004679A2" w:rsidP="00A328F6">
      <w:pPr>
        <w:ind w:left="720"/>
        <w:rPr>
          <w:b/>
          <w:i/>
        </w:rPr>
      </w:pPr>
      <w:r w:rsidRPr="00A328F6">
        <w:rPr>
          <w:b/>
          <w:i/>
        </w:rPr>
        <w:t>How to apply</w:t>
      </w:r>
    </w:p>
    <w:p w14:paraId="6A4F9F7C" w14:textId="5B8BEF17" w:rsidR="004679A2" w:rsidRPr="00A328F6" w:rsidRDefault="004679A2" w:rsidP="00A328F6">
      <w:pPr>
        <w:ind w:left="720"/>
        <w:rPr>
          <w:i/>
        </w:rPr>
      </w:pPr>
      <w:r w:rsidRPr="00A328F6">
        <w:rPr>
          <w:i/>
        </w:rPr>
        <w:t>You must submit a miscellaneous leave application in myHR and select the time off in lieu option.</w:t>
      </w:r>
      <w:r w:rsidR="00A328F6">
        <w:rPr>
          <w:i/>
        </w:rPr>
        <w:t>”</w:t>
      </w:r>
    </w:p>
    <w:p w14:paraId="7F54334A" w14:textId="1C70CDF9" w:rsidR="00A328F6" w:rsidRDefault="008940B6" w:rsidP="00A328F6">
      <w:r>
        <w:t>T</w:t>
      </w:r>
      <w:r w:rsidR="00A328F6">
        <w:t>ime off in</w:t>
      </w:r>
      <w:r w:rsidR="0081789C">
        <w:t xml:space="preserve"> lieu recorded within ‘myHR’</w:t>
      </w:r>
      <w:r w:rsidR="00A328F6">
        <w:t xml:space="preserve"> by the employee submitting a miscellaneous leave application</w:t>
      </w:r>
      <w:r w:rsidR="00A328F6" w:rsidRPr="00852039">
        <w:t xml:space="preserve"> </w:t>
      </w:r>
      <w:r>
        <w:t xml:space="preserve">for </w:t>
      </w:r>
      <w:r w:rsidR="00A328F6">
        <w:t xml:space="preserve">29, 30 and 31 December 2020 has been </w:t>
      </w:r>
      <w:r w:rsidR="004308BA">
        <w:t>recognised</w:t>
      </w:r>
      <w:r w:rsidR="00A328F6" w:rsidRPr="006E3FCE">
        <w:t xml:space="preserve"> </w:t>
      </w:r>
      <w:r w:rsidR="00A328F6">
        <w:t xml:space="preserve">within this analysis as leave taken. </w:t>
      </w:r>
    </w:p>
    <w:p w14:paraId="636D6C09" w14:textId="18444042" w:rsidR="009B66BD" w:rsidRDefault="009B66BD" w:rsidP="00C211A0">
      <w:pPr>
        <w:pStyle w:val="Heading4"/>
      </w:pPr>
      <w:r w:rsidRPr="00C211A0">
        <w:t>Flextime</w:t>
      </w:r>
    </w:p>
    <w:p w14:paraId="11E1FC29" w14:textId="067E0490" w:rsidR="00172488" w:rsidRDefault="00172488" w:rsidP="009B66BD">
      <w:r>
        <w:t xml:space="preserve">An employee can accrue a maximum of two working days flextime credit (where they have worked additional hours to build up this time) and one working day debit (where </w:t>
      </w:r>
      <w:r w:rsidR="0081789C">
        <w:t>the employee is required to subsequently work the</w:t>
      </w:r>
      <w:r>
        <w:t xml:space="preserve"> hours). The employee must use the credit, or make up the debit time, within four weeks.</w:t>
      </w:r>
      <w:r w:rsidR="009B66BD">
        <w:t xml:space="preserve"> </w:t>
      </w:r>
    </w:p>
    <w:p w14:paraId="57744E90" w14:textId="1AE91F04" w:rsidR="00B97957" w:rsidRPr="000D515D" w:rsidRDefault="00FD1498" w:rsidP="00B97957">
      <w:pPr>
        <w:pStyle w:val="Heading1-continued"/>
      </w:pPr>
      <w:r>
        <w:t>Selected Entities – Close-down leave cont…</w:t>
      </w:r>
    </w:p>
    <w:p w14:paraId="4CC79A75" w14:textId="77777777" w:rsidR="004308BA" w:rsidRDefault="004308BA" w:rsidP="004308BA">
      <w:r>
        <w:t>Flextime</w:t>
      </w:r>
      <w:r>
        <w:rPr>
          <w:rStyle w:val="FootnoteReference"/>
        </w:rPr>
        <w:footnoteReference w:id="3"/>
      </w:r>
      <w:r>
        <w:t xml:space="preserve"> may also be recorded within ‘myHR’ as miscellaneous leave (Flex Debit and Flex Time (Taken)), however the use of myHR is not mandated for flextime and there is an option of completing flex-sheets as opposed to entering the credits and leave within ‘myHR’. </w:t>
      </w:r>
    </w:p>
    <w:p w14:paraId="51CA49E7" w14:textId="1C6C1561" w:rsidR="00A328F6" w:rsidRDefault="008940B6" w:rsidP="00A328F6">
      <w:r>
        <w:t>F</w:t>
      </w:r>
      <w:r w:rsidR="00DD4720">
        <w:t>lextime</w:t>
      </w:r>
      <w:r w:rsidR="00A328F6">
        <w:t xml:space="preserve"> </w:t>
      </w:r>
      <w:r w:rsidR="00172488">
        <w:t>that was</w:t>
      </w:r>
      <w:r w:rsidR="00A328F6">
        <w:t xml:space="preserve"> recorded within ‘myHR’ by the employee submitting a miscellaneous leave application</w:t>
      </w:r>
      <w:r w:rsidR="00172488">
        <w:t xml:space="preserve"> for</w:t>
      </w:r>
      <w:r w:rsidR="00A328F6">
        <w:t xml:space="preserve"> 29, 30 </w:t>
      </w:r>
      <w:r w:rsidR="00172488">
        <w:t>or</w:t>
      </w:r>
      <w:r w:rsidR="00A328F6">
        <w:t xml:space="preserve"> 31 December 2020 has been </w:t>
      </w:r>
      <w:r w:rsidR="00030437">
        <w:t>recognised</w:t>
      </w:r>
      <w:r w:rsidR="00A328F6" w:rsidRPr="006E3FCE">
        <w:t xml:space="preserve"> </w:t>
      </w:r>
      <w:r w:rsidR="00A328F6">
        <w:t xml:space="preserve">within this analysis as leave taken. </w:t>
      </w:r>
    </w:p>
    <w:p w14:paraId="15715A8E" w14:textId="69ED08BA" w:rsidR="009B66BD" w:rsidRDefault="009B66BD" w:rsidP="00C211A0">
      <w:pPr>
        <w:pStyle w:val="Heading4"/>
      </w:pPr>
      <w:r>
        <w:t xml:space="preserve">Leave </w:t>
      </w:r>
      <w:r w:rsidRPr="00C211A0">
        <w:t>Applications</w:t>
      </w:r>
      <w:r>
        <w:t xml:space="preserve"> Processed</w:t>
      </w:r>
    </w:p>
    <w:p w14:paraId="6FCBDB78" w14:textId="72ACA244" w:rsidR="00672BA8" w:rsidRDefault="00CA41A5" w:rsidP="00672BA8">
      <w:r>
        <w:t>To enable this analysis of leave</w:t>
      </w:r>
      <w:r w:rsidR="00D34EAE">
        <w:t>, t</w:t>
      </w:r>
      <w:r w:rsidR="00672BA8">
        <w:t>he Department of Corporate and Digital Development (DCDD) provided a listing of all processed Recreation, Personal and Miscellaneous Leave recorded between 21 December 2020 and 1 January 2021. The list included leave that commenced before 21 December 2020 or ended after 1 January 2021.</w:t>
      </w:r>
    </w:p>
    <w:p w14:paraId="7AAF6B06" w14:textId="3EDAB9E0" w:rsidR="00672BA8" w:rsidRDefault="00672BA8" w:rsidP="00672BA8">
      <w:r>
        <w:t xml:space="preserve">DCDD also provided a listing </w:t>
      </w:r>
      <w:r w:rsidR="00CA41A5">
        <w:t>of</w:t>
      </w:r>
      <w:r>
        <w:t xml:space="preserve"> people employed by the </w:t>
      </w:r>
      <w:r w:rsidR="00EC0273" w:rsidRPr="00220748">
        <w:t>N</w:t>
      </w:r>
      <w:r w:rsidR="00EC0273">
        <w:t>orthern Territory Government</w:t>
      </w:r>
      <w:r>
        <w:t xml:space="preserve"> on </w:t>
      </w:r>
      <w:r w:rsidR="00CA41A5">
        <w:t xml:space="preserve">any </w:t>
      </w:r>
      <w:r>
        <w:t xml:space="preserve">one or more days during the period. This report included employees who commenced with </w:t>
      </w:r>
      <w:r w:rsidR="00CA41A5">
        <w:t xml:space="preserve">the </w:t>
      </w:r>
      <w:r w:rsidR="00EC0273" w:rsidRPr="00220748">
        <w:t>N</w:t>
      </w:r>
      <w:r w:rsidR="00EC0273">
        <w:t>orthern Territory Government</w:t>
      </w:r>
      <w:r>
        <w:t xml:space="preserve"> before 21 December 2020 or separated after 1 January 2021</w:t>
      </w:r>
      <w:r w:rsidR="002C2203">
        <w:t xml:space="preserve"> and personnel</w:t>
      </w:r>
      <w:r>
        <w:t xml:space="preserve"> that commenced or separated during this period.</w:t>
      </w:r>
    </w:p>
    <w:p w14:paraId="2E98A77D" w14:textId="3BE7A27C" w:rsidR="0090644E" w:rsidRDefault="006452B4" w:rsidP="00672BA8">
      <w:r>
        <w:t xml:space="preserve">As </w:t>
      </w:r>
      <w:r w:rsidR="0090644E">
        <w:t xml:space="preserve">Members of the Legislative Assembly </w:t>
      </w:r>
      <w:r>
        <w:t xml:space="preserve">(MLAs) </w:t>
      </w:r>
      <w:r w:rsidR="0090644E">
        <w:t xml:space="preserve">do not have a leave </w:t>
      </w:r>
      <w:r>
        <w:t>entitlement</w:t>
      </w:r>
      <w:r w:rsidR="0090644E">
        <w:t xml:space="preserve"> they are excluded from this analysis.</w:t>
      </w:r>
      <w:r w:rsidR="00D34EAE">
        <w:t xml:space="preserve"> Employees working within electorate officers are </w:t>
      </w:r>
      <w:r w:rsidR="00BF622C">
        <w:t xml:space="preserve">not </w:t>
      </w:r>
      <w:r w:rsidR="00587FA2">
        <w:t xml:space="preserve">employees </w:t>
      </w:r>
      <w:r w:rsidR="00BF622C">
        <w:t xml:space="preserve">under the </w:t>
      </w:r>
      <w:r w:rsidR="00BF622C" w:rsidRPr="00BC6F45">
        <w:rPr>
          <w:i/>
        </w:rPr>
        <w:t xml:space="preserve">Public Sector </w:t>
      </w:r>
      <w:r w:rsidR="00BC6F45" w:rsidRPr="00BC6F45">
        <w:rPr>
          <w:i/>
        </w:rPr>
        <w:t>Employment and Management Act 1993</w:t>
      </w:r>
      <w:r w:rsidR="00BC6F45">
        <w:t xml:space="preserve">, they are contracted as employees under separate legislation. These individuals were captured in the payroll data because they are </w:t>
      </w:r>
      <w:r w:rsidR="00030437">
        <w:t>‘</w:t>
      </w:r>
      <w:r w:rsidR="00BC6F45">
        <w:t>allocated</w:t>
      </w:r>
      <w:r w:rsidR="00030437">
        <w:t>’</w:t>
      </w:r>
      <w:r w:rsidR="00BC6F45">
        <w:t xml:space="preserve"> to the Department of the Legislative Assembly notwithstanding</w:t>
      </w:r>
      <w:r w:rsidR="00716B54">
        <w:t xml:space="preserve"> that</w:t>
      </w:r>
      <w:r w:rsidR="00BC6F45">
        <w:t xml:space="preserve"> the Accountable Officer of the Department of the Legislative Assembly</w:t>
      </w:r>
      <w:r w:rsidR="00716B54">
        <w:t xml:space="preserve"> has</w:t>
      </w:r>
      <w:r w:rsidR="00F47072">
        <w:t xml:space="preserve"> no authority or oversight in relation to these individuals.</w:t>
      </w:r>
    </w:p>
    <w:p w14:paraId="4B5666BC" w14:textId="4DE5AF29" w:rsidR="00680F97" w:rsidRDefault="00680F97" w:rsidP="00680F97">
      <w:r>
        <w:t xml:space="preserve">The following </w:t>
      </w:r>
      <w:r w:rsidR="00694CFF">
        <w:t>entities</w:t>
      </w:r>
      <w:r w:rsidR="00694CFF" w:rsidRPr="00B750E5">
        <w:t xml:space="preserve"> </w:t>
      </w:r>
      <w:r>
        <w:t xml:space="preserve">were selected for </w:t>
      </w:r>
      <w:r w:rsidR="006A2461">
        <w:t>individual reporting</w:t>
      </w:r>
      <w:r w:rsidR="006E3FCE">
        <w:t xml:space="preserve"> within this report</w:t>
      </w:r>
      <w:r>
        <w:t>:</w:t>
      </w:r>
    </w:p>
    <w:p w14:paraId="4CB01316" w14:textId="77777777" w:rsidR="00680F97" w:rsidRDefault="00680F97" w:rsidP="00680F97">
      <w:pPr>
        <w:pStyle w:val="ListBullet"/>
      </w:pPr>
      <w:r>
        <w:t>Aboriginal Areas Protection Authority</w:t>
      </w:r>
    </w:p>
    <w:p w14:paraId="19D91633" w14:textId="77777777" w:rsidR="00680F97" w:rsidRDefault="00680F97" w:rsidP="00680F97">
      <w:pPr>
        <w:pStyle w:val="ListBullet"/>
      </w:pPr>
      <w:r>
        <w:t>Department of Corporate and Digital Development</w:t>
      </w:r>
    </w:p>
    <w:p w14:paraId="383568E3" w14:textId="77777777" w:rsidR="00680F97" w:rsidRDefault="00680F97" w:rsidP="00680F97">
      <w:pPr>
        <w:pStyle w:val="ListBullet"/>
      </w:pPr>
      <w:r>
        <w:t>Department of Education</w:t>
      </w:r>
    </w:p>
    <w:p w14:paraId="74059571" w14:textId="5B2E3AB0" w:rsidR="00680F97" w:rsidRDefault="00680F97" w:rsidP="00680F97">
      <w:pPr>
        <w:pStyle w:val="ListBullet"/>
      </w:pPr>
      <w:r>
        <w:t xml:space="preserve">Department of Environment, Parks and </w:t>
      </w:r>
      <w:r w:rsidR="0017475C">
        <w:t>Water Security</w:t>
      </w:r>
    </w:p>
    <w:p w14:paraId="15430D1C" w14:textId="77777777" w:rsidR="00680F97" w:rsidRDefault="00680F97" w:rsidP="00680F97">
      <w:pPr>
        <w:pStyle w:val="ListBullet"/>
      </w:pPr>
      <w:r>
        <w:t>Department of Industry, Tourism and Trade</w:t>
      </w:r>
    </w:p>
    <w:p w14:paraId="485AA4CB" w14:textId="77777777" w:rsidR="00680F97" w:rsidRDefault="00680F97" w:rsidP="00680F97">
      <w:pPr>
        <w:pStyle w:val="ListBullet"/>
      </w:pPr>
      <w:r>
        <w:t>Department of Infrastructure, Planning and Logistics</w:t>
      </w:r>
    </w:p>
    <w:p w14:paraId="5870CD5F" w14:textId="77777777" w:rsidR="00680F97" w:rsidRDefault="00680F97" w:rsidP="00680F97">
      <w:pPr>
        <w:pStyle w:val="ListBullet"/>
      </w:pPr>
      <w:r>
        <w:t>Department of Territory Families, Housing and Communities</w:t>
      </w:r>
    </w:p>
    <w:p w14:paraId="7A83963E" w14:textId="77777777" w:rsidR="00680F97" w:rsidRDefault="00680F97" w:rsidP="00680F97">
      <w:pPr>
        <w:pStyle w:val="ListBullet"/>
      </w:pPr>
      <w:r>
        <w:t>Department of the Chief Minister and Cabinet</w:t>
      </w:r>
    </w:p>
    <w:p w14:paraId="2527B579" w14:textId="77777777" w:rsidR="00680F97" w:rsidRDefault="00680F97" w:rsidP="00680F97">
      <w:pPr>
        <w:pStyle w:val="ListBullet"/>
      </w:pPr>
      <w:r>
        <w:t>Department of the Legislative Assembly</w:t>
      </w:r>
    </w:p>
    <w:p w14:paraId="7F699AA0" w14:textId="77777777" w:rsidR="00680F97" w:rsidRDefault="00680F97" w:rsidP="00680F97">
      <w:pPr>
        <w:pStyle w:val="ListBullet"/>
      </w:pPr>
      <w:r>
        <w:t>Department of Treasury and Finance</w:t>
      </w:r>
    </w:p>
    <w:p w14:paraId="115DEAC2" w14:textId="77777777" w:rsidR="00680F97" w:rsidRDefault="00680F97" w:rsidP="00680F97">
      <w:pPr>
        <w:pStyle w:val="ListBullet"/>
      </w:pPr>
      <w:r>
        <w:t>Northern Territory Legal Aid Commission</w:t>
      </w:r>
    </w:p>
    <w:p w14:paraId="5B03C70D" w14:textId="77777777" w:rsidR="00680F97" w:rsidRDefault="00680F97" w:rsidP="00680F97">
      <w:pPr>
        <w:pStyle w:val="ListBullet"/>
      </w:pPr>
      <w:r>
        <w:t>Office of the Independent Commissioner Against Corruption</w:t>
      </w:r>
    </w:p>
    <w:p w14:paraId="3AF82EDD" w14:textId="4379355C" w:rsidR="00680F97" w:rsidRDefault="00680F97" w:rsidP="00680F97">
      <w:pPr>
        <w:pStyle w:val="ListBullet"/>
      </w:pPr>
      <w:r>
        <w:t>Ombudsman's Office</w:t>
      </w:r>
    </w:p>
    <w:p w14:paraId="77C92CF5" w14:textId="54836916" w:rsidR="00B97957" w:rsidRPr="000D515D" w:rsidRDefault="00FD1498" w:rsidP="00B97957">
      <w:pPr>
        <w:pStyle w:val="Heading1-continued"/>
      </w:pPr>
      <w:r>
        <w:t>Selected Entities – Close-down leave cont…</w:t>
      </w:r>
    </w:p>
    <w:p w14:paraId="27F17937" w14:textId="77777777" w:rsidR="00030437" w:rsidRDefault="00030437" w:rsidP="00030437">
      <w:pPr>
        <w:keepNext/>
      </w:pPr>
      <w:r>
        <w:t>All personnel employed at the following entities took three days leave so no further analysis or reporting was undertaken:</w:t>
      </w:r>
    </w:p>
    <w:p w14:paraId="75C3F2BE" w14:textId="77777777" w:rsidR="00030437" w:rsidRDefault="00030437" w:rsidP="00030437">
      <w:pPr>
        <w:pStyle w:val="ListBullet"/>
        <w:keepNext/>
      </w:pPr>
      <w:r>
        <w:t>Land Development Corporation</w:t>
      </w:r>
    </w:p>
    <w:p w14:paraId="794452F7" w14:textId="77777777" w:rsidR="00030437" w:rsidRDefault="00030437" w:rsidP="00030437">
      <w:pPr>
        <w:pStyle w:val="ListBullet"/>
        <w:keepNext/>
      </w:pPr>
      <w:r>
        <w:t>Northern Territory Auditor-General’s Office</w:t>
      </w:r>
    </w:p>
    <w:p w14:paraId="4D2FB5F5" w14:textId="77777777" w:rsidR="00030437" w:rsidRDefault="00030437" w:rsidP="00030437">
      <w:pPr>
        <w:pStyle w:val="ListBullet"/>
      </w:pPr>
      <w:r>
        <w:t>Northern Territory Electoral Commission</w:t>
      </w:r>
    </w:p>
    <w:p w14:paraId="340CA8CD" w14:textId="57DD852D" w:rsidR="00346646" w:rsidRDefault="00753BB8" w:rsidP="009B66BD">
      <w:pPr>
        <w:keepNext/>
      </w:pPr>
      <w:r>
        <w:t>I</w:t>
      </w:r>
      <w:r w:rsidR="00587FA2">
        <w:t>t was expected that there would be a considerable number of frontline personnel who would be working during this period and therefore would not be on leave. Whilst the data within the whole</w:t>
      </w:r>
      <w:r w:rsidR="00587FA2">
        <w:noBreakHyphen/>
        <w:t>of</w:t>
      </w:r>
      <w:r w:rsidR="00587FA2">
        <w:noBreakHyphen/>
        <w:t xml:space="preserve">government figures includes the results for these </w:t>
      </w:r>
      <w:r w:rsidR="00694CFF">
        <w:t>entities</w:t>
      </w:r>
      <w:r w:rsidR="00587FA2">
        <w:t xml:space="preserve">, the leave data for these </w:t>
      </w:r>
      <w:r w:rsidR="00694CFF">
        <w:t>entities</w:t>
      </w:r>
      <w:r w:rsidR="00694CFF" w:rsidRPr="00B750E5">
        <w:t xml:space="preserve"> </w:t>
      </w:r>
      <w:r w:rsidR="00587FA2">
        <w:t xml:space="preserve">was not subjected to further analysis or individual reporting and confirmation was not sought from the respective Accountable Officers that each employee had correctly recorded their leave. </w:t>
      </w:r>
      <w:r w:rsidR="00030437">
        <w:t xml:space="preserve">Consideration will be given to how best to undertake a similar analysis of leave for these </w:t>
      </w:r>
      <w:r w:rsidR="00694CFF">
        <w:t>entities</w:t>
      </w:r>
      <w:r w:rsidR="00694CFF" w:rsidRPr="00B750E5">
        <w:t xml:space="preserve"> </w:t>
      </w:r>
      <w:r w:rsidR="00030437">
        <w:t>in future years.</w:t>
      </w:r>
      <w:r w:rsidR="00346646">
        <w:t xml:space="preserve"> </w:t>
      </w:r>
    </w:p>
    <w:p w14:paraId="4802DD4D" w14:textId="7294FB7F" w:rsidR="00A26896" w:rsidRDefault="00587FA2" w:rsidP="009B66BD">
      <w:pPr>
        <w:keepNext/>
      </w:pPr>
      <w:r>
        <w:t>Those</w:t>
      </w:r>
      <w:r w:rsidR="00A26896">
        <w:t xml:space="preserve"> </w:t>
      </w:r>
      <w:r w:rsidR="00694CFF">
        <w:t>entities</w:t>
      </w:r>
      <w:r w:rsidR="00694CFF" w:rsidRPr="00B750E5">
        <w:t xml:space="preserve"> </w:t>
      </w:r>
      <w:r w:rsidR="00A26896">
        <w:t xml:space="preserve">excluded from being individually reported as the </w:t>
      </w:r>
      <w:r>
        <w:t xml:space="preserve">employee cohort </w:t>
      </w:r>
      <w:r w:rsidR="00A26896">
        <w:t xml:space="preserve">includes </w:t>
      </w:r>
      <w:r>
        <w:t>a significant proportion of medical staff, corrections</w:t>
      </w:r>
      <w:r w:rsidR="00A26896">
        <w:t xml:space="preserve"> officers or police officers or</w:t>
      </w:r>
      <w:r>
        <w:t xml:space="preserve"> where</w:t>
      </w:r>
      <w:r w:rsidR="00A26896">
        <w:t xml:space="preserve"> the entity is a utility entity</w:t>
      </w:r>
      <w:r>
        <w:t xml:space="preserve"> were</w:t>
      </w:r>
      <w:r w:rsidR="00A26896">
        <w:t>:</w:t>
      </w:r>
    </w:p>
    <w:p w14:paraId="30F0B475" w14:textId="77777777" w:rsidR="00A26896" w:rsidRDefault="00A26896" w:rsidP="009B66BD">
      <w:pPr>
        <w:pStyle w:val="ListBullet"/>
        <w:keepNext/>
      </w:pPr>
      <w:r>
        <w:t>Department of Health</w:t>
      </w:r>
    </w:p>
    <w:p w14:paraId="1D47AC0C" w14:textId="77777777" w:rsidR="00A26896" w:rsidRDefault="00A26896" w:rsidP="009B66BD">
      <w:pPr>
        <w:pStyle w:val="ListBullet"/>
        <w:keepNext/>
      </w:pPr>
      <w:r>
        <w:t>Department of the Attorney-General and Justice</w:t>
      </w:r>
    </w:p>
    <w:p w14:paraId="619FFD08" w14:textId="77777777" w:rsidR="00A26896" w:rsidRDefault="00A26896" w:rsidP="009B66BD">
      <w:pPr>
        <w:pStyle w:val="ListBullet"/>
        <w:keepNext/>
      </w:pPr>
      <w:r>
        <w:t>Northern Territory Police, Fire and Emergency Services</w:t>
      </w:r>
    </w:p>
    <w:p w14:paraId="51BB1058" w14:textId="77777777" w:rsidR="00A26896" w:rsidRDefault="00A26896" w:rsidP="00A26896">
      <w:pPr>
        <w:pStyle w:val="ListBullet"/>
      </w:pPr>
      <w:r>
        <w:t>Power and Water Corporation</w:t>
      </w:r>
    </w:p>
    <w:p w14:paraId="106EE427" w14:textId="77777777" w:rsidR="00A26896" w:rsidRDefault="00A26896" w:rsidP="00A26896">
      <w:pPr>
        <w:pStyle w:val="ListBullet"/>
      </w:pPr>
      <w:r>
        <w:t>Power Generation Corporation</w:t>
      </w:r>
    </w:p>
    <w:p w14:paraId="09335A07" w14:textId="77777777" w:rsidR="00A26896" w:rsidRDefault="00A26896" w:rsidP="00A26896">
      <w:pPr>
        <w:pStyle w:val="ListBullet"/>
      </w:pPr>
      <w:r>
        <w:t>Power Retail Corporation</w:t>
      </w:r>
    </w:p>
    <w:p w14:paraId="61F9E8A5" w14:textId="30FE7A24" w:rsidR="00346646" w:rsidRPr="000D515D" w:rsidRDefault="00FD1498" w:rsidP="00346646">
      <w:pPr>
        <w:pStyle w:val="Heading1-continued"/>
      </w:pPr>
      <w:r>
        <w:t>Selected Entities – Close-down leave cont…</w:t>
      </w:r>
    </w:p>
    <w:p w14:paraId="36A9F01C" w14:textId="0A2775BE" w:rsidR="00101B82" w:rsidRDefault="00101B82" w:rsidP="00101B82">
      <w:pPr>
        <w:pStyle w:val="Heading2"/>
      </w:pPr>
      <w:r>
        <w:t>Observations</w:t>
      </w:r>
    </w:p>
    <w:p w14:paraId="6AE19C73" w14:textId="7E484C74" w:rsidR="00C77E86" w:rsidRDefault="00C77E86" w:rsidP="00C77E86">
      <w:r>
        <w:t xml:space="preserve">Figure 1 presents the percentage of employees by entity who were recorded as taking all three days, being 29 December, </w:t>
      </w:r>
      <w:r w:rsidRPr="005F021F">
        <w:t>30 December and 31 December 2020</w:t>
      </w:r>
      <w:r>
        <w:t>, as leave.</w:t>
      </w:r>
    </w:p>
    <w:p w14:paraId="74271E8A" w14:textId="1C0BFE1B" w:rsidR="00AA4899" w:rsidRDefault="00AA4899" w:rsidP="00AA4899">
      <w:pPr>
        <w:pStyle w:val="Caption"/>
        <w:keepNext/>
      </w:pPr>
      <w:r>
        <w:t xml:space="preserve">Figure </w:t>
      </w:r>
      <w:r w:rsidR="007C2D4B">
        <w:fldChar w:fldCharType="begin"/>
      </w:r>
      <w:r w:rsidR="007C2D4B">
        <w:instrText xml:space="preserve"> SEQ Figure \* ARABIC </w:instrText>
      </w:r>
      <w:r w:rsidR="007C2D4B">
        <w:fldChar w:fldCharType="separate"/>
      </w:r>
      <w:r w:rsidR="00F52F17">
        <w:rPr>
          <w:noProof/>
        </w:rPr>
        <w:t>1</w:t>
      </w:r>
      <w:r w:rsidR="007C2D4B">
        <w:fldChar w:fldCharType="end"/>
      </w:r>
      <w:r>
        <w:t>:</w:t>
      </w:r>
      <w:r w:rsidRPr="00A57B99">
        <w:t xml:space="preserve"> Percentage of employees, by entity, who recorded 3 days leave</w:t>
      </w:r>
    </w:p>
    <w:p w14:paraId="18275E07" w14:textId="465A77E5" w:rsidR="0043501D" w:rsidRDefault="0017475C" w:rsidP="0043501D">
      <w:pPr>
        <w:keepNext/>
      </w:pPr>
      <w:r>
        <w:rPr>
          <w:noProof/>
          <w:lang w:val="en-GB" w:eastAsia="en-GB"/>
        </w:rPr>
        <w:drawing>
          <wp:inline distT="0" distB="0" distL="0" distR="0" wp14:anchorId="225AA826" wp14:editId="641A2BB9">
            <wp:extent cx="5677514" cy="4048125"/>
            <wp:effectExtent l="0" t="0" r="0" b="0"/>
            <wp:docPr id="2" name="Picture 2" descr="Percentage of employees, by entity, who recorded 3 days leave&#10;Northern Territory Legal Aid Commission 7%&#10;Northern Territory Police, Fire and Emergency Services 28%&#10;Power Generation Corporation 33%&#10;Ombudsman's Office 33%&#10;Department of Health 37%&#10;Department of the Attorney-General and Justice 43%&#10;Department of Territory Families, Housing and Communities 49%&#10;Power and Water Corporation 52%&#10;Department of the Legislative Assembly 60%&#10;Power Retail Corporation 65%&#10;Department of Corporate and Digital Developmen 66%&#10;Office of the Independent Commissioner Against Corruption 70%&#10;Department of the Chief Minister and Cabinet 75%&#10;Department of Environment, Parks and Water Security 75%&#10;Department of Infrastructure, Planning and Logistics 89%&#10;Department of Industry, Tourism and Trade 93%&#10;Aboriginal Areas Protection Authority 94%&#10;Department of Treasury and Finance 94%&#10;Department of Education 98%&#10;Auditor-General's Office 100%&#10;Land Development Corporation 100%&#10;NT Electoral Commission 100%&#10;" title="Figure 1: Percentage of employees, by entity, who recorded 3 days l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6920" cy="4069092"/>
                    </a:xfrm>
                    <a:prstGeom prst="rect">
                      <a:avLst/>
                    </a:prstGeom>
                    <a:noFill/>
                  </pic:spPr>
                </pic:pic>
              </a:graphicData>
            </a:graphic>
          </wp:inline>
        </w:drawing>
      </w:r>
    </w:p>
    <w:p w14:paraId="39CE963F" w14:textId="1EF090CB" w:rsidR="005429CB" w:rsidRDefault="005429CB" w:rsidP="005429CB">
      <w:pPr>
        <w:pStyle w:val="Caption"/>
      </w:pPr>
      <w:r>
        <w:t>Source: NTAGO derived from DCDD leave records</w:t>
      </w:r>
    </w:p>
    <w:p w14:paraId="43C81EFA" w14:textId="065D3BE7" w:rsidR="00C211A0" w:rsidRPr="000D515D" w:rsidRDefault="00FD1498" w:rsidP="00C211A0">
      <w:pPr>
        <w:pStyle w:val="Heading1-continued"/>
      </w:pPr>
      <w:r>
        <w:t>Selected Entities – Close-down leave cont…</w:t>
      </w:r>
    </w:p>
    <w:p w14:paraId="01E3A23F" w14:textId="304270BF" w:rsidR="0006665D" w:rsidRDefault="0006665D" w:rsidP="0006665D">
      <w:r>
        <w:t>For the entities where individual analysis was conducted, the following table provides the number of employees during the period subject to analysis and the percentage of employees that recorded leave on all three days being 29, 30 and 31 December 2020.</w:t>
      </w:r>
    </w:p>
    <w:p w14:paraId="437E5CAA" w14:textId="07960876" w:rsidR="00C211A0" w:rsidRDefault="00C211A0" w:rsidP="00C211A0">
      <w:pPr>
        <w:pStyle w:val="Caption"/>
        <w:keepNext/>
      </w:pPr>
      <w:r>
        <w:t>Table 2: Percentage of employees by agency that recorded leave on all three days</w:t>
      </w:r>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Percentage of employees by agency that recorded leave on all three days"/>
        <w:tblDescription w:val="Percentage of employees by agency that recorded leave on all three days"/>
      </w:tblPr>
      <w:tblGrid>
        <w:gridCol w:w="5529"/>
        <w:gridCol w:w="1418"/>
        <w:gridCol w:w="2126"/>
      </w:tblGrid>
      <w:tr w:rsidR="0006665D" w:rsidRPr="00892B60" w14:paraId="6BC7D481" w14:textId="77777777" w:rsidTr="00C211A0">
        <w:trPr>
          <w:tblHeader/>
        </w:trPr>
        <w:tc>
          <w:tcPr>
            <w:tcW w:w="5529" w:type="dxa"/>
            <w:tcBorders>
              <w:top w:val="single" w:sz="4" w:space="0" w:color="auto"/>
              <w:bottom w:val="single" w:sz="4" w:space="0" w:color="auto"/>
            </w:tcBorders>
            <w:shd w:val="clear" w:color="auto" w:fill="E6E6E6"/>
            <w:vAlign w:val="bottom"/>
          </w:tcPr>
          <w:p w14:paraId="14D3F8BF" w14:textId="77777777" w:rsidR="0006665D" w:rsidRPr="00C211A0" w:rsidRDefault="0006665D" w:rsidP="00C211A0">
            <w:pPr>
              <w:jc w:val="center"/>
              <w:rPr>
                <w:b/>
              </w:rPr>
            </w:pPr>
            <w:r w:rsidRPr="00C211A0">
              <w:rPr>
                <w:b/>
              </w:rPr>
              <w:t>Entity</w:t>
            </w:r>
          </w:p>
        </w:tc>
        <w:tc>
          <w:tcPr>
            <w:tcW w:w="1418" w:type="dxa"/>
            <w:tcBorders>
              <w:top w:val="single" w:sz="4" w:space="0" w:color="auto"/>
              <w:bottom w:val="single" w:sz="4" w:space="0" w:color="auto"/>
            </w:tcBorders>
            <w:shd w:val="clear" w:color="auto" w:fill="E6E6E6"/>
            <w:vAlign w:val="bottom"/>
          </w:tcPr>
          <w:p w14:paraId="22FA7129" w14:textId="77777777" w:rsidR="0006665D" w:rsidRPr="00C211A0" w:rsidRDefault="0006665D" w:rsidP="00C211A0">
            <w:pPr>
              <w:jc w:val="center"/>
              <w:rPr>
                <w:b/>
              </w:rPr>
            </w:pPr>
            <w:r w:rsidRPr="00C211A0">
              <w:rPr>
                <w:b/>
              </w:rPr>
              <w:t>Employee Numbers</w:t>
            </w:r>
          </w:p>
        </w:tc>
        <w:tc>
          <w:tcPr>
            <w:tcW w:w="2126" w:type="dxa"/>
            <w:tcBorders>
              <w:top w:val="single" w:sz="4" w:space="0" w:color="auto"/>
              <w:bottom w:val="single" w:sz="4" w:space="0" w:color="auto"/>
            </w:tcBorders>
            <w:shd w:val="clear" w:color="auto" w:fill="E6E6E6"/>
            <w:vAlign w:val="bottom"/>
          </w:tcPr>
          <w:p w14:paraId="7CD3FE18" w14:textId="53428D24" w:rsidR="0006665D" w:rsidRPr="00C211A0" w:rsidRDefault="0006665D" w:rsidP="00C211A0">
            <w:pPr>
              <w:jc w:val="center"/>
              <w:rPr>
                <w:b/>
              </w:rPr>
            </w:pPr>
            <w:r w:rsidRPr="00C211A0">
              <w:rPr>
                <w:b/>
              </w:rPr>
              <w:t xml:space="preserve">% that recorded </w:t>
            </w:r>
            <w:r w:rsidRPr="00C211A0">
              <w:rPr>
                <w:b/>
              </w:rPr>
              <w:br/>
              <w:t>leave on all three days</w:t>
            </w:r>
          </w:p>
        </w:tc>
      </w:tr>
      <w:tr w:rsidR="0006665D" w:rsidRPr="00892B60" w14:paraId="51A69AD7" w14:textId="77777777" w:rsidTr="00C211A0">
        <w:trPr>
          <w:trHeight w:val="227"/>
        </w:trPr>
        <w:tc>
          <w:tcPr>
            <w:tcW w:w="5529" w:type="dxa"/>
          </w:tcPr>
          <w:p w14:paraId="6C304761" w14:textId="6B0E5EC6" w:rsidR="0006665D" w:rsidRPr="00C211A0" w:rsidRDefault="0006665D" w:rsidP="00C211A0">
            <w:r w:rsidRPr="00C211A0">
              <w:t>Northern Territory Legal Aid Commission</w:t>
            </w:r>
          </w:p>
        </w:tc>
        <w:tc>
          <w:tcPr>
            <w:tcW w:w="1418" w:type="dxa"/>
            <w:vAlign w:val="bottom"/>
          </w:tcPr>
          <w:p w14:paraId="132F5172" w14:textId="77777777" w:rsidR="0006665D" w:rsidRPr="00C211A0" w:rsidRDefault="0006665D" w:rsidP="00C211A0">
            <w:pPr>
              <w:tabs>
                <w:tab w:val="clear" w:pos="1378"/>
                <w:tab w:val="decimal" w:pos="805"/>
              </w:tabs>
              <w:jc w:val="center"/>
            </w:pPr>
            <w:r w:rsidRPr="00C211A0">
              <w:t>104</w:t>
            </w:r>
          </w:p>
        </w:tc>
        <w:tc>
          <w:tcPr>
            <w:tcW w:w="2126" w:type="dxa"/>
            <w:vAlign w:val="bottom"/>
          </w:tcPr>
          <w:p w14:paraId="195449F9" w14:textId="77777777" w:rsidR="0006665D" w:rsidRPr="00C211A0" w:rsidRDefault="0006665D" w:rsidP="00C211A0">
            <w:pPr>
              <w:tabs>
                <w:tab w:val="clear" w:pos="1378"/>
                <w:tab w:val="decimal" w:pos="805"/>
              </w:tabs>
              <w:jc w:val="center"/>
            </w:pPr>
            <w:r w:rsidRPr="00C211A0">
              <w:t>7%</w:t>
            </w:r>
          </w:p>
        </w:tc>
      </w:tr>
      <w:tr w:rsidR="0006665D" w:rsidRPr="00041582" w14:paraId="77EB5401" w14:textId="77777777" w:rsidTr="00C211A0">
        <w:trPr>
          <w:trHeight w:val="227"/>
        </w:trPr>
        <w:tc>
          <w:tcPr>
            <w:tcW w:w="5529" w:type="dxa"/>
          </w:tcPr>
          <w:p w14:paraId="7F8F0B95" w14:textId="77777777" w:rsidR="0006665D" w:rsidRPr="00C211A0" w:rsidRDefault="0006665D" w:rsidP="00C211A0">
            <w:r w:rsidRPr="00C211A0">
              <w:t>Ombudsman's Office</w:t>
            </w:r>
          </w:p>
        </w:tc>
        <w:tc>
          <w:tcPr>
            <w:tcW w:w="1418" w:type="dxa"/>
            <w:vAlign w:val="bottom"/>
          </w:tcPr>
          <w:p w14:paraId="2DBC5F65" w14:textId="77777777" w:rsidR="0006665D" w:rsidRPr="00C211A0" w:rsidRDefault="0006665D" w:rsidP="00C211A0">
            <w:pPr>
              <w:tabs>
                <w:tab w:val="clear" w:pos="1378"/>
                <w:tab w:val="decimal" w:pos="805"/>
              </w:tabs>
              <w:jc w:val="center"/>
            </w:pPr>
            <w:r w:rsidRPr="00C211A0">
              <w:t>18</w:t>
            </w:r>
          </w:p>
        </w:tc>
        <w:tc>
          <w:tcPr>
            <w:tcW w:w="2126" w:type="dxa"/>
            <w:vAlign w:val="bottom"/>
          </w:tcPr>
          <w:p w14:paraId="2EA480BB" w14:textId="77777777" w:rsidR="0006665D" w:rsidRPr="00C211A0" w:rsidRDefault="0006665D" w:rsidP="00C211A0">
            <w:pPr>
              <w:tabs>
                <w:tab w:val="clear" w:pos="1378"/>
                <w:tab w:val="decimal" w:pos="805"/>
              </w:tabs>
              <w:jc w:val="center"/>
            </w:pPr>
            <w:r w:rsidRPr="00C211A0">
              <w:t>33%</w:t>
            </w:r>
          </w:p>
        </w:tc>
      </w:tr>
      <w:tr w:rsidR="0006665D" w:rsidRPr="00892B60" w14:paraId="04687E4F" w14:textId="77777777" w:rsidTr="00C211A0">
        <w:trPr>
          <w:trHeight w:val="227"/>
        </w:trPr>
        <w:tc>
          <w:tcPr>
            <w:tcW w:w="5529" w:type="dxa"/>
          </w:tcPr>
          <w:p w14:paraId="1A02B4E9" w14:textId="77777777" w:rsidR="0006665D" w:rsidRPr="00C211A0" w:rsidRDefault="0006665D" w:rsidP="00C211A0">
            <w:r w:rsidRPr="00C211A0">
              <w:t>Department of Territory Families, Housing and Communities</w:t>
            </w:r>
          </w:p>
        </w:tc>
        <w:tc>
          <w:tcPr>
            <w:tcW w:w="1418" w:type="dxa"/>
            <w:vAlign w:val="bottom"/>
          </w:tcPr>
          <w:p w14:paraId="74E2FC93" w14:textId="77777777" w:rsidR="0006665D" w:rsidRPr="00C211A0" w:rsidRDefault="0006665D" w:rsidP="00C211A0">
            <w:pPr>
              <w:tabs>
                <w:tab w:val="clear" w:pos="1378"/>
                <w:tab w:val="decimal" w:pos="805"/>
              </w:tabs>
              <w:jc w:val="center"/>
            </w:pPr>
            <w:r w:rsidRPr="00C211A0">
              <w:t>1,504</w:t>
            </w:r>
          </w:p>
        </w:tc>
        <w:tc>
          <w:tcPr>
            <w:tcW w:w="2126" w:type="dxa"/>
            <w:vAlign w:val="bottom"/>
          </w:tcPr>
          <w:p w14:paraId="43007A81" w14:textId="77777777" w:rsidR="0006665D" w:rsidRPr="00C211A0" w:rsidRDefault="0006665D" w:rsidP="00C211A0">
            <w:pPr>
              <w:tabs>
                <w:tab w:val="clear" w:pos="1378"/>
                <w:tab w:val="decimal" w:pos="805"/>
              </w:tabs>
              <w:jc w:val="center"/>
            </w:pPr>
            <w:r w:rsidRPr="00C211A0">
              <w:t>49%</w:t>
            </w:r>
          </w:p>
        </w:tc>
      </w:tr>
      <w:tr w:rsidR="0006665D" w:rsidRPr="00892B60" w14:paraId="41D2E1D8" w14:textId="77777777" w:rsidTr="00C211A0">
        <w:trPr>
          <w:trHeight w:val="227"/>
        </w:trPr>
        <w:tc>
          <w:tcPr>
            <w:tcW w:w="5529" w:type="dxa"/>
          </w:tcPr>
          <w:p w14:paraId="37C24F34" w14:textId="77777777" w:rsidR="0006665D" w:rsidRPr="00C211A0" w:rsidRDefault="0006665D" w:rsidP="00C211A0">
            <w:r w:rsidRPr="00C211A0">
              <w:t>Department of the Legislative Assembly</w:t>
            </w:r>
          </w:p>
        </w:tc>
        <w:tc>
          <w:tcPr>
            <w:tcW w:w="1418" w:type="dxa"/>
            <w:vAlign w:val="bottom"/>
          </w:tcPr>
          <w:p w14:paraId="346541B4" w14:textId="77777777" w:rsidR="0006665D" w:rsidRPr="00C211A0" w:rsidRDefault="0006665D" w:rsidP="00C211A0">
            <w:pPr>
              <w:tabs>
                <w:tab w:val="clear" w:pos="1378"/>
                <w:tab w:val="decimal" w:pos="805"/>
              </w:tabs>
              <w:jc w:val="center"/>
            </w:pPr>
            <w:r w:rsidRPr="00C211A0">
              <w:t>78</w:t>
            </w:r>
          </w:p>
        </w:tc>
        <w:tc>
          <w:tcPr>
            <w:tcW w:w="2126" w:type="dxa"/>
            <w:vAlign w:val="bottom"/>
          </w:tcPr>
          <w:p w14:paraId="2B9658A1" w14:textId="77777777" w:rsidR="0006665D" w:rsidRPr="00C211A0" w:rsidRDefault="0006665D" w:rsidP="00C211A0">
            <w:pPr>
              <w:tabs>
                <w:tab w:val="clear" w:pos="1378"/>
                <w:tab w:val="decimal" w:pos="805"/>
              </w:tabs>
              <w:jc w:val="center"/>
            </w:pPr>
            <w:r w:rsidRPr="00C211A0">
              <w:t>60%</w:t>
            </w:r>
          </w:p>
        </w:tc>
      </w:tr>
      <w:tr w:rsidR="0006665D" w:rsidRPr="00892B60" w14:paraId="5F52DC18" w14:textId="77777777" w:rsidTr="00C211A0">
        <w:trPr>
          <w:trHeight w:val="227"/>
        </w:trPr>
        <w:tc>
          <w:tcPr>
            <w:tcW w:w="5529" w:type="dxa"/>
          </w:tcPr>
          <w:p w14:paraId="522EEEA3" w14:textId="77777777" w:rsidR="0006665D" w:rsidRPr="00C211A0" w:rsidRDefault="0006665D" w:rsidP="00C211A0">
            <w:r w:rsidRPr="00C211A0">
              <w:t>Department of Corporate and Digital Development</w:t>
            </w:r>
          </w:p>
        </w:tc>
        <w:tc>
          <w:tcPr>
            <w:tcW w:w="1418" w:type="dxa"/>
            <w:vAlign w:val="bottom"/>
          </w:tcPr>
          <w:p w14:paraId="6D85D4E1" w14:textId="77777777" w:rsidR="0006665D" w:rsidRPr="00C211A0" w:rsidRDefault="0006665D" w:rsidP="00C211A0">
            <w:pPr>
              <w:tabs>
                <w:tab w:val="clear" w:pos="1378"/>
                <w:tab w:val="decimal" w:pos="805"/>
              </w:tabs>
              <w:jc w:val="center"/>
            </w:pPr>
            <w:r w:rsidRPr="00C211A0">
              <w:t>1,232</w:t>
            </w:r>
          </w:p>
        </w:tc>
        <w:tc>
          <w:tcPr>
            <w:tcW w:w="2126" w:type="dxa"/>
            <w:vAlign w:val="bottom"/>
          </w:tcPr>
          <w:p w14:paraId="4244AAA2" w14:textId="77777777" w:rsidR="0006665D" w:rsidRPr="00C211A0" w:rsidRDefault="0006665D" w:rsidP="00C211A0">
            <w:pPr>
              <w:tabs>
                <w:tab w:val="clear" w:pos="1378"/>
                <w:tab w:val="decimal" w:pos="805"/>
              </w:tabs>
              <w:jc w:val="center"/>
            </w:pPr>
            <w:r w:rsidRPr="00C211A0">
              <w:t>66%</w:t>
            </w:r>
          </w:p>
        </w:tc>
      </w:tr>
      <w:tr w:rsidR="0006665D" w:rsidRPr="00892B60" w14:paraId="4B8A8FBB" w14:textId="77777777" w:rsidTr="00C211A0">
        <w:trPr>
          <w:trHeight w:val="227"/>
        </w:trPr>
        <w:tc>
          <w:tcPr>
            <w:tcW w:w="5529" w:type="dxa"/>
          </w:tcPr>
          <w:p w14:paraId="08D27D5B" w14:textId="77777777" w:rsidR="0006665D" w:rsidRPr="00C211A0" w:rsidRDefault="0006665D" w:rsidP="00C211A0">
            <w:r w:rsidRPr="00C211A0">
              <w:t>Office of the Independent Commissioner Against Corruption</w:t>
            </w:r>
          </w:p>
        </w:tc>
        <w:tc>
          <w:tcPr>
            <w:tcW w:w="1418" w:type="dxa"/>
            <w:vAlign w:val="bottom"/>
          </w:tcPr>
          <w:p w14:paraId="0E1FD079" w14:textId="77777777" w:rsidR="0006665D" w:rsidRPr="00C211A0" w:rsidRDefault="0006665D" w:rsidP="00C211A0">
            <w:pPr>
              <w:tabs>
                <w:tab w:val="clear" w:pos="1378"/>
                <w:tab w:val="decimal" w:pos="805"/>
              </w:tabs>
              <w:jc w:val="center"/>
            </w:pPr>
            <w:r w:rsidRPr="00C211A0">
              <w:t>33</w:t>
            </w:r>
          </w:p>
        </w:tc>
        <w:tc>
          <w:tcPr>
            <w:tcW w:w="2126" w:type="dxa"/>
            <w:vAlign w:val="bottom"/>
          </w:tcPr>
          <w:p w14:paraId="758D5F36" w14:textId="77777777" w:rsidR="0006665D" w:rsidRPr="00C211A0" w:rsidRDefault="0006665D" w:rsidP="00C211A0">
            <w:pPr>
              <w:tabs>
                <w:tab w:val="clear" w:pos="1378"/>
                <w:tab w:val="decimal" w:pos="805"/>
              </w:tabs>
              <w:jc w:val="center"/>
            </w:pPr>
            <w:r w:rsidRPr="00C211A0">
              <w:t>70%</w:t>
            </w:r>
          </w:p>
        </w:tc>
      </w:tr>
      <w:tr w:rsidR="0006665D" w:rsidRPr="00892B60" w14:paraId="3256FFBC" w14:textId="77777777" w:rsidTr="00C211A0">
        <w:trPr>
          <w:trHeight w:val="227"/>
        </w:trPr>
        <w:tc>
          <w:tcPr>
            <w:tcW w:w="5529" w:type="dxa"/>
          </w:tcPr>
          <w:p w14:paraId="1DB8CF2E" w14:textId="77777777" w:rsidR="0006665D" w:rsidRPr="00C211A0" w:rsidRDefault="0006665D" w:rsidP="00C211A0">
            <w:r w:rsidRPr="00C211A0">
              <w:t>Department of Environment, Parks and Water Security</w:t>
            </w:r>
          </w:p>
        </w:tc>
        <w:tc>
          <w:tcPr>
            <w:tcW w:w="1418" w:type="dxa"/>
            <w:vAlign w:val="bottom"/>
          </w:tcPr>
          <w:p w14:paraId="55F0CDCF" w14:textId="77777777" w:rsidR="0006665D" w:rsidRPr="00C211A0" w:rsidRDefault="0006665D" w:rsidP="00C211A0">
            <w:pPr>
              <w:tabs>
                <w:tab w:val="clear" w:pos="1378"/>
                <w:tab w:val="decimal" w:pos="805"/>
              </w:tabs>
              <w:jc w:val="center"/>
            </w:pPr>
            <w:r w:rsidRPr="00C211A0">
              <w:t>570</w:t>
            </w:r>
          </w:p>
        </w:tc>
        <w:tc>
          <w:tcPr>
            <w:tcW w:w="2126" w:type="dxa"/>
            <w:vAlign w:val="bottom"/>
          </w:tcPr>
          <w:p w14:paraId="12145D96" w14:textId="77777777" w:rsidR="0006665D" w:rsidRPr="00C211A0" w:rsidRDefault="0006665D" w:rsidP="00C211A0">
            <w:pPr>
              <w:tabs>
                <w:tab w:val="clear" w:pos="1378"/>
                <w:tab w:val="decimal" w:pos="805"/>
              </w:tabs>
              <w:jc w:val="center"/>
            </w:pPr>
            <w:r w:rsidRPr="00C211A0">
              <w:t>75%</w:t>
            </w:r>
          </w:p>
        </w:tc>
      </w:tr>
      <w:tr w:rsidR="0006665D" w:rsidRPr="00892B60" w14:paraId="59342556" w14:textId="77777777" w:rsidTr="00C211A0">
        <w:trPr>
          <w:trHeight w:val="227"/>
        </w:trPr>
        <w:tc>
          <w:tcPr>
            <w:tcW w:w="5529" w:type="dxa"/>
          </w:tcPr>
          <w:p w14:paraId="4E9DAAA2" w14:textId="77777777" w:rsidR="0006665D" w:rsidRPr="00C211A0" w:rsidRDefault="0006665D" w:rsidP="00C211A0">
            <w:r w:rsidRPr="00C211A0">
              <w:t>Department of the Chief Minister and Cabinet</w:t>
            </w:r>
          </w:p>
        </w:tc>
        <w:tc>
          <w:tcPr>
            <w:tcW w:w="1418" w:type="dxa"/>
            <w:vAlign w:val="bottom"/>
          </w:tcPr>
          <w:p w14:paraId="11A7F2CE" w14:textId="77777777" w:rsidR="0006665D" w:rsidRPr="00C211A0" w:rsidRDefault="0006665D" w:rsidP="00C211A0">
            <w:pPr>
              <w:tabs>
                <w:tab w:val="clear" w:pos="1378"/>
                <w:tab w:val="decimal" w:pos="805"/>
              </w:tabs>
              <w:jc w:val="center"/>
            </w:pPr>
            <w:r w:rsidRPr="00C211A0">
              <w:t>488</w:t>
            </w:r>
          </w:p>
        </w:tc>
        <w:tc>
          <w:tcPr>
            <w:tcW w:w="2126" w:type="dxa"/>
            <w:vAlign w:val="bottom"/>
          </w:tcPr>
          <w:p w14:paraId="731A762A" w14:textId="77777777" w:rsidR="0006665D" w:rsidRPr="00C211A0" w:rsidRDefault="0006665D" w:rsidP="00C211A0">
            <w:pPr>
              <w:tabs>
                <w:tab w:val="clear" w:pos="1378"/>
                <w:tab w:val="decimal" w:pos="805"/>
              </w:tabs>
              <w:jc w:val="center"/>
            </w:pPr>
            <w:r w:rsidRPr="00C211A0">
              <w:t>75%</w:t>
            </w:r>
          </w:p>
        </w:tc>
      </w:tr>
      <w:tr w:rsidR="0006665D" w:rsidRPr="00892B60" w14:paraId="7DCA5CCF" w14:textId="77777777" w:rsidTr="00C211A0">
        <w:trPr>
          <w:trHeight w:val="227"/>
        </w:trPr>
        <w:tc>
          <w:tcPr>
            <w:tcW w:w="5529" w:type="dxa"/>
          </w:tcPr>
          <w:p w14:paraId="40894CA7" w14:textId="77777777" w:rsidR="0006665D" w:rsidRPr="00C211A0" w:rsidRDefault="0006665D" w:rsidP="00C211A0">
            <w:r w:rsidRPr="00C211A0">
              <w:t>Department of Infrastructure, Planning and Logistics</w:t>
            </w:r>
          </w:p>
        </w:tc>
        <w:tc>
          <w:tcPr>
            <w:tcW w:w="1418" w:type="dxa"/>
            <w:vAlign w:val="bottom"/>
          </w:tcPr>
          <w:p w14:paraId="6E4E7889" w14:textId="77777777" w:rsidR="0006665D" w:rsidRPr="00C211A0" w:rsidRDefault="0006665D" w:rsidP="00C211A0">
            <w:pPr>
              <w:tabs>
                <w:tab w:val="clear" w:pos="1378"/>
                <w:tab w:val="decimal" w:pos="805"/>
              </w:tabs>
              <w:jc w:val="center"/>
            </w:pPr>
            <w:r w:rsidRPr="00C211A0">
              <w:t>846</w:t>
            </w:r>
          </w:p>
        </w:tc>
        <w:tc>
          <w:tcPr>
            <w:tcW w:w="2126" w:type="dxa"/>
            <w:vAlign w:val="bottom"/>
          </w:tcPr>
          <w:p w14:paraId="5372FFC0" w14:textId="77777777" w:rsidR="0006665D" w:rsidRPr="00C211A0" w:rsidRDefault="0006665D" w:rsidP="00C211A0">
            <w:pPr>
              <w:tabs>
                <w:tab w:val="clear" w:pos="1378"/>
                <w:tab w:val="decimal" w:pos="805"/>
              </w:tabs>
              <w:jc w:val="center"/>
            </w:pPr>
            <w:r w:rsidRPr="00C211A0">
              <w:t>89%</w:t>
            </w:r>
          </w:p>
        </w:tc>
      </w:tr>
      <w:tr w:rsidR="0006665D" w:rsidRPr="00892B60" w14:paraId="0985E021" w14:textId="77777777" w:rsidTr="00C211A0">
        <w:trPr>
          <w:trHeight w:val="227"/>
        </w:trPr>
        <w:tc>
          <w:tcPr>
            <w:tcW w:w="5529" w:type="dxa"/>
          </w:tcPr>
          <w:p w14:paraId="57577F43" w14:textId="77777777" w:rsidR="0006665D" w:rsidRPr="00C211A0" w:rsidRDefault="0006665D" w:rsidP="00C211A0">
            <w:r w:rsidRPr="00C211A0">
              <w:t>Department of Industry, Tourism and Trade</w:t>
            </w:r>
          </w:p>
        </w:tc>
        <w:tc>
          <w:tcPr>
            <w:tcW w:w="1418" w:type="dxa"/>
            <w:vAlign w:val="bottom"/>
          </w:tcPr>
          <w:p w14:paraId="52BA162A" w14:textId="77777777" w:rsidR="0006665D" w:rsidRPr="00C211A0" w:rsidRDefault="0006665D" w:rsidP="00C211A0">
            <w:pPr>
              <w:tabs>
                <w:tab w:val="clear" w:pos="1378"/>
                <w:tab w:val="decimal" w:pos="805"/>
              </w:tabs>
              <w:jc w:val="center"/>
            </w:pPr>
            <w:r w:rsidRPr="00C211A0">
              <w:t>845</w:t>
            </w:r>
          </w:p>
        </w:tc>
        <w:tc>
          <w:tcPr>
            <w:tcW w:w="2126" w:type="dxa"/>
            <w:vAlign w:val="bottom"/>
          </w:tcPr>
          <w:p w14:paraId="47F12784" w14:textId="77777777" w:rsidR="0006665D" w:rsidRPr="00C211A0" w:rsidRDefault="0006665D" w:rsidP="00C211A0">
            <w:pPr>
              <w:tabs>
                <w:tab w:val="clear" w:pos="1378"/>
                <w:tab w:val="decimal" w:pos="805"/>
              </w:tabs>
              <w:jc w:val="center"/>
            </w:pPr>
            <w:r w:rsidRPr="00C211A0">
              <w:t>93%</w:t>
            </w:r>
          </w:p>
        </w:tc>
      </w:tr>
      <w:tr w:rsidR="0006665D" w:rsidRPr="00892B60" w14:paraId="70F21A92" w14:textId="77777777" w:rsidTr="00C211A0">
        <w:trPr>
          <w:trHeight w:val="227"/>
        </w:trPr>
        <w:tc>
          <w:tcPr>
            <w:tcW w:w="5529" w:type="dxa"/>
          </w:tcPr>
          <w:p w14:paraId="6FF3F80D" w14:textId="77777777" w:rsidR="0006665D" w:rsidRPr="00C211A0" w:rsidRDefault="0006665D" w:rsidP="00C211A0">
            <w:r w:rsidRPr="00C211A0">
              <w:t>Aboriginal Areas Protection Authority</w:t>
            </w:r>
          </w:p>
        </w:tc>
        <w:tc>
          <w:tcPr>
            <w:tcW w:w="1418" w:type="dxa"/>
            <w:vAlign w:val="bottom"/>
          </w:tcPr>
          <w:p w14:paraId="7D7FEF0C" w14:textId="77777777" w:rsidR="0006665D" w:rsidRPr="00C211A0" w:rsidRDefault="0006665D" w:rsidP="00C211A0">
            <w:pPr>
              <w:tabs>
                <w:tab w:val="clear" w:pos="1378"/>
                <w:tab w:val="decimal" w:pos="805"/>
              </w:tabs>
              <w:jc w:val="center"/>
            </w:pPr>
            <w:r w:rsidRPr="00C211A0">
              <w:t xml:space="preserve">35 </w:t>
            </w:r>
          </w:p>
        </w:tc>
        <w:tc>
          <w:tcPr>
            <w:tcW w:w="2126" w:type="dxa"/>
            <w:vAlign w:val="bottom"/>
          </w:tcPr>
          <w:p w14:paraId="3002A7F4" w14:textId="77777777" w:rsidR="0006665D" w:rsidRPr="00C211A0" w:rsidRDefault="0006665D" w:rsidP="00C211A0">
            <w:pPr>
              <w:tabs>
                <w:tab w:val="clear" w:pos="1378"/>
                <w:tab w:val="decimal" w:pos="805"/>
              </w:tabs>
              <w:jc w:val="center"/>
            </w:pPr>
            <w:r w:rsidRPr="00C211A0">
              <w:t>94%</w:t>
            </w:r>
          </w:p>
        </w:tc>
      </w:tr>
      <w:tr w:rsidR="0006665D" w:rsidRPr="00892B60" w14:paraId="50C25E23" w14:textId="77777777" w:rsidTr="00C211A0">
        <w:trPr>
          <w:trHeight w:val="227"/>
        </w:trPr>
        <w:tc>
          <w:tcPr>
            <w:tcW w:w="5529" w:type="dxa"/>
          </w:tcPr>
          <w:p w14:paraId="12F25890" w14:textId="77777777" w:rsidR="0006665D" w:rsidRPr="00C211A0" w:rsidRDefault="0006665D" w:rsidP="00C211A0">
            <w:r w:rsidRPr="00C211A0">
              <w:t>Department of Treasury and Finance</w:t>
            </w:r>
          </w:p>
        </w:tc>
        <w:tc>
          <w:tcPr>
            <w:tcW w:w="1418" w:type="dxa"/>
            <w:vAlign w:val="bottom"/>
          </w:tcPr>
          <w:p w14:paraId="763C5A29" w14:textId="77777777" w:rsidR="0006665D" w:rsidRPr="00C211A0" w:rsidRDefault="0006665D" w:rsidP="00C211A0">
            <w:pPr>
              <w:tabs>
                <w:tab w:val="clear" w:pos="1378"/>
                <w:tab w:val="decimal" w:pos="805"/>
              </w:tabs>
              <w:jc w:val="center"/>
            </w:pPr>
            <w:r w:rsidRPr="00C211A0">
              <w:t>124</w:t>
            </w:r>
          </w:p>
        </w:tc>
        <w:tc>
          <w:tcPr>
            <w:tcW w:w="2126" w:type="dxa"/>
            <w:vAlign w:val="bottom"/>
          </w:tcPr>
          <w:p w14:paraId="045BCC89" w14:textId="77777777" w:rsidR="0006665D" w:rsidRPr="00C211A0" w:rsidRDefault="0006665D" w:rsidP="00C211A0">
            <w:pPr>
              <w:tabs>
                <w:tab w:val="clear" w:pos="1378"/>
                <w:tab w:val="decimal" w:pos="805"/>
              </w:tabs>
              <w:jc w:val="center"/>
            </w:pPr>
            <w:r w:rsidRPr="00C211A0">
              <w:t>94%</w:t>
            </w:r>
          </w:p>
        </w:tc>
      </w:tr>
      <w:tr w:rsidR="0006665D" w:rsidRPr="00892B60" w14:paraId="11454815" w14:textId="77777777" w:rsidTr="00C211A0">
        <w:trPr>
          <w:trHeight w:val="227"/>
        </w:trPr>
        <w:tc>
          <w:tcPr>
            <w:tcW w:w="5529" w:type="dxa"/>
            <w:tcBorders>
              <w:bottom w:val="single" w:sz="4" w:space="0" w:color="auto"/>
            </w:tcBorders>
          </w:tcPr>
          <w:p w14:paraId="4BA251A9" w14:textId="77777777" w:rsidR="0006665D" w:rsidRPr="00C211A0" w:rsidRDefault="0006665D" w:rsidP="00C211A0">
            <w:r w:rsidRPr="00C211A0">
              <w:t>Department of Education</w:t>
            </w:r>
          </w:p>
        </w:tc>
        <w:tc>
          <w:tcPr>
            <w:tcW w:w="1418" w:type="dxa"/>
            <w:tcBorders>
              <w:bottom w:val="single" w:sz="4" w:space="0" w:color="auto"/>
            </w:tcBorders>
            <w:vAlign w:val="bottom"/>
          </w:tcPr>
          <w:p w14:paraId="2D239E48" w14:textId="77777777" w:rsidR="0006665D" w:rsidRPr="00C211A0" w:rsidRDefault="0006665D" w:rsidP="00C211A0">
            <w:pPr>
              <w:tabs>
                <w:tab w:val="clear" w:pos="1378"/>
                <w:tab w:val="decimal" w:pos="805"/>
              </w:tabs>
              <w:jc w:val="center"/>
            </w:pPr>
            <w:r w:rsidRPr="00C211A0">
              <w:t>4,956</w:t>
            </w:r>
          </w:p>
        </w:tc>
        <w:tc>
          <w:tcPr>
            <w:tcW w:w="2126" w:type="dxa"/>
            <w:tcBorders>
              <w:bottom w:val="single" w:sz="4" w:space="0" w:color="auto"/>
            </w:tcBorders>
            <w:vAlign w:val="bottom"/>
          </w:tcPr>
          <w:p w14:paraId="4A7BFA7C" w14:textId="77777777" w:rsidR="0006665D" w:rsidRPr="00C211A0" w:rsidRDefault="0006665D" w:rsidP="00C211A0">
            <w:pPr>
              <w:tabs>
                <w:tab w:val="clear" w:pos="1378"/>
                <w:tab w:val="decimal" w:pos="805"/>
              </w:tabs>
              <w:jc w:val="center"/>
            </w:pPr>
            <w:r w:rsidRPr="00C211A0">
              <w:t>98%</w:t>
            </w:r>
          </w:p>
        </w:tc>
      </w:tr>
    </w:tbl>
    <w:p w14:paraId="29EB09B9" w14:textId="77777777" w:rsidR="0006665D" w:rsidRDefault="0006665D" w:rsidP="0006665D">
      <w:pPr>
        <w:pStyle w:val="Caption"/>
      </w:pPr>
      <w:r>
        <w:t>Source: NTAGO derived from DCDD leave records</w:t>
      </w:r>
    </w:p>
    <w:p w14:paraId="4C62608D" w14:textId="623242A5" w:rsidR="005560DB" w:rsidRPr="000D515D" w:rsidRDefault="00FD1498" w:rsidP="005560DB">
      <w:pPr>
        <w:pStyle w:val="Heading1-continued"/>
      </w:pPr>
      <w:r>
        <w:t>Selected Entities – Close-down leave cont…</w:t>
      </w:r>
    </w:p>
    <w:p w14:paraId="00B785B9" w14:textId="5217C450" w:rsidR="006C217F" w:rsidRDefault="00C77E86" w:rsidP="006C217F">
      <w:r>
        <w:t xml:space="preserve">Of the ten </w:t>
      </w:r>
      <w:r w:rsidR="00694CFF">
        <w:t>entities</w:t>
      </w:r>
      <w:r>
        <w:t xml:space="preserve"> reporting the lowest number of employees taking the full close-down period as leave, t</w:t>
      </w:r>
      <w:r w:rsidR="006C217F">
        <w:t xml:space="preserve">he four </w:t>
      </w:r>
      <w:r w:rsidR="00694CFF">
        <w:t xml:space="preserve">entities </w:t>
      </w:r>
      <w:r w:rsidR="006C217F">
        <w:t>excluding the</w:t>
      </w:r>
      <w:r w:rsidR="006C217F" w:rsidRPr="00AF27AD">
        <w:t xml:space="preserve"> </w:t>
      </w:r>
      <w:r w:rsidR="006C217F">
        <w:t xml:space="preserve">Northern Territory Police, Fire and Emergency Services, Power Generation Corporation, Department of Health, Department of the Attorney-General and Justice, Power and Water Corporation and Power Retail Corporation) where </w:t>
      </w:r>
      <w:r>
        <w:t>more than 40% of non</w:t>
      </w:r>
      <w:r>
        <w:noBreakHyphen/>
      </w:r>
      <w:r w:rsidR="00BA629E">
        <w:t>casual personnel were recorded as working (</w:t>
      </w:r>
      <w:r w:rsidR="006C217F">
        <w:t>did not submit leave applications</w:t>
      </w:r>
      <w:r w:rsidR="00BA629E">
        <w:t>)</w:t>
      </w:r>
      <w:r w:rsidR="006C217F">
        <w:t xml:space="preserve"> for the three days leave are:</w:t>
      </w:r>
    </w:p>
    <w:p w14:paraId="1B91C614" w14:textId="017A5A38" w:rsidR="006C217F" w:rsidRDefault="006C217F" w:rsidP="006C217F">
      <w:pPr>
        <w:pStyle w:val="ListBullet"/>
      </w:pPr>
      <w:r>
        <w:t>Northern Territory Legal Aid Commission</w:t>
      </w:r>
      <w:r w:rsidR="00BA629E">
        <w:t xml:space="preserve"> – 7% of personnel were recorded as being on leave over the full three-day closure period</w:t>
      </w:r>
    </w:p>
    <w:p w14:paraId="4268BCC2" w14:textId="0AF839F9" w:rsidR="006C217F" w:rsidRDefault="006C217F" w:rsidP="006C217F">
      <w:pPr>
        <w:pStyle w:val="ListBullet"/>
      </w:pPr>
      <w:r>
        <w:t>Ombudsman's Office</w:t>
      </w:r>
      <w:r w:rsidR="00BA629E">
        <w:t xml:space="preserve"> – </w:t>
      </w:r>
      <w:r w:rsidR="005560DB">
        <w:t>33</w:t>
      </w:r>
      <w:r w:rsidR="00BA629E">
        <w:t>% of personnel were recorded as being on leave over the three-day closure period</w:t>
      </w:r>
    </w:p>
    <w:p w14:paraId="471E40D2" w14:textId="213C8C0B" w:rsidR="006C217F" w:rsidRDefault="006C217F" w:rsidP="006C217F">
      <w:pPr>
        <w:pStyle w:val="ListBullet"/>
      </w:pPr>
      <w:r>
        <w:t>Department of Territory Families, Housing and Communities</w:t>
      </w:r>
      <w:r w:rsidR="00BA629E">
        <w:t xml:space="preserve"> – </w:t>
      </w:r>
      <w:r w:rsidR="005560DB">
        <w:t>49</w:t>
      </w:r>
      <w:r w:rsidR="00BA629E">
        <w:t>% of personnel were recorded as being on leave over the three-day closure period</w:t>
      </w:r>
    </w:p>
    <w:p w14:paraId="31EA24D5" w14:textId="59394B51" w:rsidR="006C217F" w:rsidRDefault="006C217F" w:rsidP="006C217F">
      <w:pPr>
        <w:pStyle w:val="ListBullet"/>
      </w:pPr>
      <w:r>
        <w:t>Department of the Legislative Assembly</w:t>
      </w:r>
      <w:r w:rsidR="00BA629E">
        <w:t xml:space="preserve"> – </w:t>
      </w:r>
      <w:r w:rsidR="005560DB">
        <w:t>60</w:t>
      </w:r>
      <w:r w:rsidR="00BA629E">
        <w:t>% of personnel were recorded as being on leave over the three-day closure period</w:t>
      </w:r>
      <w:r w:rsidR="00B96E67" w:rsidRPr="00C77E86">
        <w:t>.</w:t>
      </w:r>
      <w:r w:rsidR="005560DB" w:rsidRPr="00C77E86">
        <w:t xml:space="preserve"> The Department has </w:t>
      </w:r>
      <w:r w:rsidR="00C77E86" w:rsidRPr="00C77E86">
        <w:t xml:space="preserve">since </w:t>
      </w:r>
      <w:r w:rsidR="005560DB" w:rsidRPr="00C77E86">
        <w:t xml:space="preserve">confirmed that all individuals recorded as not being on leave are personnel at the electorate offices and </w:t>
      </w:r>
      <w:r w:rsidR="00705B5E">
        <w:t>not</w:t>
      </w:r>
      <w:r w:rsidR="005560DB" w:rsidRPr="00C77E86">
        <w:t xml:space="preserve"> departmental personnel.</w:t>
      </w:r>
      <w:r w:rsidR="00C77E86" w:rsidRPr="00C77E86">
        <w:t xml:space="preserve"> </w:t>
      </w:r>
      <w:r w:rsidR="00705B5E">
        <w:t>Employees</w:t>
      </w:r>
      <w:r w:rsidR="00C77E86" w:rsidRPr="00C77E86">
        <w:t xml:space="preserve"> at the electorate offices are </w:t>
      </w:r>
      <w:r w:rsidR="00C77E86">
        <w:t>outside</w:t>
      </w:r>
      <w:r w:rsidR="00C77E86" w:rsidRPr="00C77E86">
        <w:t xml:space="preserve"> the </w:t>
      </w:r>
      <w:r w:rsidR="00C77E86" w:rsidRPr="00C77E86">
        <w:rPr>
          <w:i/>
        </w:rPr>
        <w:t>Public Sector Employment and Management Act 1993</w:t>
      </w:r>
      <w:r w:rsidR="00C77E86" w:rsidRPr="00C77E86">
        <w:t xml:space="preserve"> and electorate offices are not subject to the close-down period</w:t>
      </w:r>
      <w:r w:rsidR="00C77E86">
        <w:t>.</w:t>
      </w:r>
    </w:p>
    <w:p w14:paraId="3577EAD2" w14:textId="2811EC96" w:rsidR="00C9115B" w:rsidRDefault="004A3D13" w:rsidP="005560DB">
      <w:r>
        <w:t xml:space="preserve">As reported above, </w:t>
      </w:r>
      <w:r w:rsidRPr="005F021F">
        <w:t>Thursday 31 December was a gazetted part-day holiday from 7pm to midnight thus normal office hours applied with a leave application required for that day if an employee was not working.</w:t>
      </w:r>
      <w:r w:rsidR="00980806" w:rsidRPr="005560DB">
        <w:t xml:space="preserve"> </w:t>
      </w:r>
      <w:r w:rsidR="00E55344" w:rsidRPr="005560DB">
        <w:fldChar w:fldCharType="begin"/>
      </w:r>
      <w:r w:rsidR="00E55344" w:rsidRPr="005560DB">
        <w:instrText xml:space="preserve"> REF _Ref75436364 \h </w:instrText>
      </w:r>
      <w:r w:rsidR="00C9115B" w:rsidRPr="005560DB">
        <w:instrText xml:space="preserve"> \* MERGEFORMAT </w:instrText>
      </w:r>
      <w:r w:rsidR="00E55344" w:rsidRPr="005560DB">
        <w:fldChar w:fldCharType="separate"/>
      </w:r>
      <w:r w:rsidR="00F52F17">
        <w:t xml:space="preserve">Figure </w:t>
      </w:r>
      <w:r w:rsidR="00F52F17">
        <w:rPr>
          <w:noProof/>
        </w:rPr>
        <w:t>2</w:t>
      </w:r>
      <w:r w:rsidR="00E55344" w:rsidRPr="005560DB">
        <w:fldChar w:fldCharType="end"/>
      </w:r>
      <w:r w:rsidR="00E55344" w:rsidRPr="005560DB">
        <w:t xml:space="preserve"> </w:t>
      </w:r>
      <w:r w:rsidR="00980806" w:rsidRPr="005560DB">
        <w:t xml:space="preserve">shows the percentage of employees, by entity, </w:t>
      </w:r>
      <w:r w:rsidR="006C6D2A" w:rsidRPr="005560DB">
        <w:t xml:space="preserve">where </w:t>
      </w:r>
      <w:r w:rsidR="00980806" w:rsidRPr="005560DB">
        <w:t>a le</w:t>
      </w:r>
      <w:r w:rsidR="00086BE0" w:rsidRPr="005560DB">
        <w:t xml:space="preserve">ave application </w:t>
      </w:r>
      <w:r w:rsidR="006C6D2A" w:rsidRPr="005560DB">
        <w:t xml:space="preserve">was not </w:t>
      </w:r>
      <w:r w:rsidR="00086BE0" w:rsidRPr="005560DB">
        <w:t>recorded for 31 </w:t>
      </w:r>
      <w:r w:rsidR="00980806" w:rsidRPr="005560DB">
        <w:t>December 2020.</w:t>
      </w:r>
      <w:r w:rsidR="00086BE0">
        <w:t xml:space="preserve"> </w:t>
      </w:r>
    </w:p>
    <w:p w14:paraId="067C99F2" w14:textId="00C2ECB4" w:rsidR="0017475C" w:rsidRDefault="0043501D" w:rsidP="0017475C">
      <w:pPr>
        <w:pStyle w:val="Caption"/>
        <w:keepNext/>
      </w:pPr>
      <w:bookmarkStart w:id="40" w:name="_Ref75436364"/>
      <w:r>
        <w:t xml:space="preserve">Figure </w:t>
      </w:r>
      <w:r w:rsidR="007C2D4B">
        <w:fldChar w:fldCharType="begin"/>
      </w:r>
      <w:r w:rsidR="007C2D4B">
        <w:instrText xml:space="preserve"> SEQ Figure \* ARABIC </w:instrText>
      </w:r>
      <w:r w:rsidR="007C2D4B">
        <w:fldChar w:fldCharType="separate"/>
      </w:r>
      <w:r w:rsidR="00F52F17">
        <w:rPr>
          <w:noProof/>
        </w:rPr>
        <w:t>2</w:t>
      </w:r>
      <w:r w:rsidR="007C2D4B">
        <w:fldChar w:fldCharType="end"/>
      </w:r>
      <w:bookmarkEnd w:id="40"/>
      <w:r w:rsidR="00C211A0">
        <w:t>:</w:t>
      </w:r>
      <w:r>
        <w:t xml:space="preserve"> Pe</w:t>
      </w:r>
      <w:r w:rsidR="005429CB">
        <w:t>rcentage of employees, by entity</w:t>
      </w:r>
      <w:r>
        <w:t xml:space="preserve"> </w:t>
      </w:r>
      <w:r w:rsidR="005429CB">
        <w:t>that</w:t>
      </w:r>
      <w:r>
        <w:t xml:space="preserve"> recorded leave on 31 December 2020</w:t>
      </w:r>
    </w:p>
    <w:p w14:paraId="781F824F" w14:textId="542BC6E1" w:rsidR="0017475C" w:rsidRPr="0017475C" w:rsidRDefault="0017475C" w:rsidP="0017475C">
      <w:r>
        <w:rPr>
          <w:noProof/>
          <w:lang w:val="en-GB" w:eastAsia="en-GB"/>
        </w:rPr>
        <w:drawing>
          <wp:inline distT="0" distB="0" distL="0" distR="0" wp14:anchorId="77F8773D" wp14:editId="2C1C621E">
            <wp:extent cx="5532803" cy="3743325"/>
            <wp:effectExtent l="0" t="0" r="0" b="0"/>
            <wp:docPr id="4" name="Picture 4" descr="Percentage of employees, by entity that recorded leave on 31 December 2020&#10;Northern Territory Legal Aid Commission 7%&#10;Northern Territory Police, Fire and Emergency Services 31%&#10;Power Generation Corporation 39%&#10;Ombudsman's Office 44%&#10;Department of Health 41%&#10;Department of the Attorney-General and Justice 47%&#10;Department of Territory Families, Housing and Communities 53%&#10;Power and Water Corporation 56%&#10;Department of the Legislative Assembly 60%&#10;Power Retail Corporation 69%&#10;Department of Corporate and Digital Development 70%&#10;Office of the Independent Commissioner Against Corruption 73%&#10;Department of the Chief Minister and Cabinet 77%&#10;Department of Environment, Parks and Water Security 77%&#10;Department of Infrastructure, Planning and Logistics 90%&#10;Department of Industry, Tourism and Trade 94%&#10;Aboriginal Areas Protection Authority 94%&#10;Department of Treasury and Finance 96%&#10;Department of Education 98%&#10;Auditor-General's Office 100%&#10;Land Development Corporation 100%&#10;NT Electoral Commission 100%&#10;" title="Figure 2: Percentage of employees, by entity that recorded leave on 31 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6872" cy="3759609"/>
                    </a:xfrm>
                    <a:prstGeom prst="rect">
                      <a:avLst/>
                    </a:prstGeom>
                    <a:noFill/>
                  </pic:spPr>
                </pic:pic>
              </a:graphicData>
            </a:graphic>
          </wp:inline>
        </w:drawing>
      </w:r>
    </w:p>
    <w:p w14:paraId="0AFFD852" w14:textId="427B2FE5" w:rsidR="005429CB" w:rsidRDefault="005429CB" w:rsidP="005429CB">
      <w:pPr>
        <w:pStyle w:val="Caption"/>
      </w:pPr>
      <w:r>
        <w:t>Source: NTAGO derived from DCDD leave records</w:t>
      </w:r>
    </w:p>
    <w:p w14:paraId="5AFC2AEB" w14:textId="6BDB5027" w:rsidR="00122D0E" w:rsidRPr="000D515D" w:rsidRDefault="00FD1498" w:rsidP="00122D0E">
      <w:pPr>
        <w:pStyle w:val="Heading1-continued"/>
      </w:pPr>
      <w:r>
        <w:t>Selected Entities – Close-down leave cont…</w:t>
      </w:r>
    </w:p>
    <w:p w14:paraId="6700B6E6" w14:textId="18127FBB" w:rsidR="00980806" w:rsidRDefault="0006665D" w:rsidP="00AF27AD">
      <w:r>
        <w:t xml:space="preserve">Of the ten </w:t>
      </w:r>
      <w:r w:rsidR="00694CFF">
        <w:t xml:space="preserve">entities </w:t>
      </w:r>
      <w:r>
        <w:t>reporting the lowest number of employees taking the full close-down period as leave, t</w:t>
      </w:r>
      <w:r w:rsidR="00086BE0">
        <w:t xml:space="preserve">he percentage of staff that recorded leave on </w:t>
      </w:r>
      <w:r w:rsidR="00122D0E">
        <w:t>each</w:t>
      </w:r>
      <w:r w:rsidR="00086BE0">
        <w:t xml:space="preserve"> specified day is </w:t>
      </w:r>
      <w:r w:rsidR="0043501D">
        <w:t>presented</w:t>
      </w:r>
      <w:r w:rsidR="00086BE0">
        <w:t xml:space="preserve"> in</w:t>
      </w:r>
      <w:r w:rsidR="0043501D">
        <w:t xml:space="preserve"> </w:t>
      </w:r>
      <w:r w:rsidR="0043501D">
        <w:fldChar w:fldCharType="begin"/>
      </w:r>
      <w:r w:rsidR="0043501D">
        <w:instrText xml:space="preserve"> REF _Ref75434485 \h </w:instrText>
      </w:r>
      <w:r w:rsidR="0043501D">
        <w:fldChar w:fldCharType="separate"/>
      </w:r>
      <w:r w:rsidR="00F52F17">
        <w:t xml:space="preserve">Figure </w:t>
      </w:r>
      <w:r w:rsidR="00F52F17">
        <w:rPr>
          <w:noProof/>
        </w:rPr>
        <w:t>3</w:t>
      </w:r>
      <w:r w:rsidR="0043501D">
        <w:fldChar w:fldCharType="end"/>
      </w:r>
      <w:r w:rsidR="00086BE0">
        <w:t xml:space="preserve">. </w:t>
      </w:r>
    </w:p>
    <w:p w14:paraId="5E28B295" w14:textId="6BD4E6B2" w:rsidR="0043501D" w:rsidRDefault="0043501D" w:rsidP="0043501D">
      <w:pPr>
        <w:pStyle w:val="Caption"/>
        <w:keepNext/>
      </w:pPr>
      <w:bookmarkStart w:id="41" w:name="_Ref75434485"/>
      <w:bookmarkStart w:id="42" w:name="_Ref75434466"/>
      <w:r>
        <w:t xml:space="preserve">Figure </w:t>
      </w:r>
      <w:r w:rsidR="007C2D4B">
        <w:fldChar w:fldCharType="begin"/>
      </w:r>
      <w:r w:rsidR="007C2D4B">
        <w:instrText xml:space="preserve"> SEQ Figure \* ARABIC </w:instrText>
      </w:r>
      <w:r w:rsidR="007C2D4B">
        <w:fldChar w:fldCharType="separate"/>
      </w:r>
      <w:r w:rsidR="00F52F17">
        <w:rPr>
          <w:noProof/>
        </w:rPr>
        <w:t>3</w:t>
      </w:r>
      <w:r w:rsidR="007C2D4B">
        <w:fldChar w:fldCharType="end"/>
      </w:r>
      <w:bookmarkEnd w:id="41"/>
      <w:r w:rsidR="00C211A0">
        <w:t>:</w:t>
      </w:r>
      <w:r>
        <w:t xml:space="preserve"> Percentage of employees </w:t>
      </w:r>
      <w:r w:rsidR="00AA4899">
        <w:t>who</w:t>
      </w:r>
      <w:r>
        <w:t xml:space="preserve"> recorded leave on the specified day</w:t>
      </w:r>
      <w:bookmarkEnd w:id="42"/>
    </w:p>
    <w:p w14:paraId="492C6C2F" w14:textId="64C93F54" w:rsidR="00086BE0" w:rsidRDefault="003819E3" w:rsidP="00AF27AD">
      <w:r>
        <w:rPr>
          <w:noProof/>
          <w:lang w:val="en-GB" w:eastAsia="en-GB"/>
        </w:rPr>
        <w:drawing>
          <wp:inline distT="0" distB="0" distL="0" distR="0" wp14:anchorId="2F1F007D" wp14:editId="26046A48">
            <wp:extent cx="5524500" cy="4232130"/>
            <wp:effectExtent l="0" t="0" r="0" b="0"/>
            <wp:docPr id="8" name="Picture 8" descr="Percentage of employees who recorded leave on the specified day (29 December, 30 December and 31 December)&#10;Northern Territory Legal Aid Commission 98% 94% 7%&#10;Northern Territory Police, Fire and Emergency Services 32% 32% 31%&#10;Power Generation Corporation 37% 37% 39%&#10;Ombudsman's Office 44% 50% 44%&#10;Department of Health 42% 42% 41%&#10;Department of the Attorney-General and Justice 47% 48% 47%&#10;Department of Territory Families, Housing and Communities 52% 52% 53%&#10;Power and Water Corporation 55% 55% 56%&#10;Department of the Legislative Assembly 62% 62% 60%&#10;Power Retail Corporation 68% 70% 69%&#10;" title="Figure 3: Percentage of employees who recorded leave on the specified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6708" cy="4233821"/>
                    </a:xfrm>
                    <a:prstGeom prst="rect">
                      <a:avLst/>
                    </a:prstGeom>
                    <a:noFill/>
                  </pic:spPr>
                </pic:pic>
              </a:graphicData>
            </a:graphic>
          </wp:inline>
        </w:drawing>
      </w:r>
    </w:p>
    <w:p w14:paraId="5A29DA27" w14:textId="34D26C34" w:rsidR="005429CB" w:rsidRDefault="005429CB" w:rsidP="005429CB">
      <w:pPr>
        <w:pStyle w:val="Caption"/>
      </w:pPr>
      <w:r>
        <w:t>Source: NTAGO derived from DCDD leave records</w:t>
      </w:r>
    </w:p>
    <w:p w14:paraId="46EDD175" w14:textId="30C04560" w:rsidR="00033DB4" w:rsidRDefault="00FD1498" w:rsidP="00033DB4">
      <w:pPr>
        <w:pStyle w:val="Heading1-continued"/>
      </w:pPr>
      <w:r>
        <w:t>Selected Entities – Close-down leave cont…</w:t>
      </w:r>
    </w:p>
    <w:p w14:paraId="7FDA5294" w14:textId="473CDA61" w:rsidR="00033DB4" w:rsidRDefault="00033DB4" w:rsidP="00033DB4">
      <w:r>
        <w:t xml:space="preserve">The four </w:t>
      </w:r>
      <w:r w:rsidR="00694CFF">
        <w:t xml:space="preserve">entities </w:t>
      </w:r>
      <w:r>
        <w:t>(excluding the</w:t>
      </w:r>
      <w:r w:rsidRPr="00AF27AD">
        <w:t xml:space="preserve"> </w:t>
      </w:r>
      <w:r>
        <w:t xml:space="preserve">Northern Territory Police, Fire and Emergency Services, Power Generation Corporation, Department of Health, Department of the Attorney-General and Justice, Power and Water Corporation and Power Retail Corporation) where 60% or less of the employees allocated to the </w:t>
      </w:r>
      <w:r w:rsidR="00694CFF">
        <w:t>entity</w:t>
      </w:r>
      <w:r>
        <w:t xml:space="preserve"> submitted leave applications for the three days leave are:</w:t>
      </w:r>
    </w:p>
    <w:p w14:paraId="759EE648" w14:textId="77777777" w:rsidR="00033DB4" w:rsidRDefault="00033DB4" w:rsidP="00033DB4">
      <w:pPr>
        <w:pStyle w:val="ListBullet"/>
      </w:pPr>
      <w:r>
        <w:t>Northern Territory Legal Aid Commission</w:t>
      </w:r>
    </w:p>
    <w:p w14:paraId="6BF5555C" w14:textId="77777777" w:rsidR="00033DB4" w:rsidRDefault="00033DB4" w:rsidP="00033DB4">
      <w:pPr>
        <w:pStyle w:val="ListBullet"/>
      </w:pPr>
      <w:r>
        <w:t>Ombudsman's Office</w:t>
      </w:r>
    </w:p>
    <w:p w14:paraId="3DD89858" w14:textId="77777777" w:rsidR="00033DB4" w:rsidRDefault="00033DB4" w:rsidP="00033DB4">
      <w:pPr>
        <w:pStyle w:val="ListBullet"/>
      </w:pPr>
      <w:r>
        <w:t>Department of Territory Families, Housing and Communities</w:t>
      </w:r>
    </w:p>
    <w:p w14:paraId="39592D6E" w14:textId="5AD59A52" w:rsidR="00033DB4" w:rsidRDefault="00033DB4" w:rsidP="00033DB4">
      <w:pPr>
        <w:pStyle w:val="ListBullet"/>
      </w:pPr>
      <w:r>
        <w:t>Department of the Legislative Assembly</w:t>
      </w:r>
      <w:r w:rsidR="00AB5213">
        <w:t xml:space="preserve"> </w:t>
      </w:r>
    </w:p>
    <w:p w14:paraId="4288C150" w14:textId="77777777" w:rsidR="00033DB4" w:rsidRPr="00033DB4" w:rsidRDefault="00033DB4" w:rsidP="00033DB4"/>
    <w:p w14:paraId="771AB72E" w14:textId="63C52114" w:rsidR="007C2D4B" w:rsidRDefault="007C2D4B" w:rsidP="007C2D4B">
      <w:pPr>
        <w:pStyle w:val="Caption"/>
        <w:keepNext/>
      </w:pPr>
      <w:r>
        <w:t xml:space="preserve">Figure </w:t>
      </w:r>
      <w:r>
        <w:fldChar w:fldCharType="begin"/>
      </w:r>
      <w:r>
        <w:instrText xml:space="preserve"> SEQ Figure \* ARABIC </w:instrText>
      </w:r>
      <w:r>
        <w:fldChar w:fldCharType="separate"/>
      </w:r>
      <w:r w:rsidR="00F52F17">
        <w:rPr>
          <w:noProof/>
        </w:rPr>
        <w:t>4</w:t>
      </w:r>
      <w:r>
        <w:fldChar w:fldCharType="end"/>
      </w:r>
      <w:r>
        <w:t>: Entities where 60% or less of the employees recorded leave for the three days</w:t>
      </w:r>
    </w:p>
    <w:p w14:paraId="224538D3" w14:textId="1BC70892" w:rsidR="001506A8" w:rsidRDefault="0098089C" w:rsidP="001506A8">
      <w:r>
        <w:rPr>
          <w:noProof/>
          <w:lang w:val="en-GB" w:eastAsia="en-GB"/>
        </w:rPr>
        <w:drawing>
          <wp:inline distT="0" distB="0" distL="0" distR="0" wp14:anchorId="1405FE98" wp14:editId="2701FFF2">
            <wp:extent cx="5072932" cy="4115845"/>
            <wp:effectExtent l="0" t="0" r="0" b="0"/>
            <wp:docPr id="199" name="Picture 199" descr="Entities where 60% or less of the employees recorded leave for the three days 29 December, 30 December and 31 December&#10;Northern Territory Legal Aid Commission 98% 94% 7%&#10;Ombudsman's Office 44% 50% 44%&#10;Department of Territory Families, Housing and Communities 52% 52% 53%&#10;Department of the Legislative Assembly 62% 62% 60%&#10;" title="Figure 4: Entities where 60% or less of the employees recorded leave for the three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8122" cy="4120055"/>
                    </a:xfrm>
                    <a:prstGeom prst="rect">
                      <a:avLst/>
                    </a:prstGeom>
                    <a:noFill/>
                  </pic:spPr>
                </pic:pic>
              </a:graphicData>
            </a:graphic>
          </wp:inline>
        </w:drawing>
      </w:r>
    </w:p>
    <w:p w14:paraId="4886BD85" w14:textId="77777777" w:rsidR="007C2D4B" w:rsidRDefault="007C2D4B" w:rsidP="007C2D4B">
      <w:pPr>
        <w:pStyle w:val="Caption"/>
      </w:pPr>
      <w:r>
        <w:t>Source: NTAGO derived from DCDD leave records</w:t>
      </w:r>
    </w:p>
    <w:p w14:paraId="3AC509D3" w14:textId="1962B1E6" w:rsidR="003D4FA7" w:rsidRPr="000D515D" w:rsidRDefault="00FD1498" w:rsidP="003D4FA7">
      <w:pPr>
        <w:pStyle w:val="Heading1-continued"/>
      </w:pPr>
      <w:r>
        <w:t>Selected Entities – Close-down leave cont…</w:t>
      </w:r>
    </w:p>
    <w:p w14:paraId="5E05ABB9" w14:textId="77777777" w:rsidR="006452B4" w:rsidRDefault="006452B4" w:rsidP="007C2D4B">
      <w:pPr>
        <w:pStyle w:val="Heading4"/>
      </w:pPr>
      <w:r>
        <w:t>Northern Territory Legal Aid Commission</w:t>
      </w:r>
    </w:p>
    <w:p w14:paraId="1A99B220" w14:textId="1D19653B" w:rsidR="006452B4" w:rsidRDefault="006452B4" w:rsidP="007C2D4B">
      <w:pPr>
        <w:keepNext/>
      </w:pPr>
      <w:r>
        <w:t>During the period under review, the Commissio</w:t>
      </w:r>
      <w:r w:rsidR="00A715EB">
        <w:t>n had 104 non-casual employees.</w:t>
      </w:r>
      <w:r>
        <w:t xml:space="preserve"> </w:t>
      </w:r>
    </w:p>
    <w:p w14:paraId="155327E8" w14:textId="369FB428" w:rsidR="006452B4" w:rsidRDefault="006452B4" w:rsidP="007C2D4B">
      <w:pPr>
        <w:keepNext/>
      </w:pPr>
      <w:r>
        <w:t xml:space="preserve">Only seven (six full time, one part time) of the 104 employees (7%) took leave for all three days. Five of these seven employees were on long term leave that encompassed the period under analysis. The remaining two took leave specifically </w:t>
      </w:r>
      <w:r w:rsidR="00A715EB">
        <w:t>for the three days in question.</w:t>
      </w:r>
      <w:r>
        <w:t xml:space="preserve"> </w:t>
      </w:r>
    </w:p>
    <w:p w14:paraId="322E9E30" w14:textId="77777777" w:rsidR="006452B4" w:rsidRDefault="006452B4" w:rsidP="007C2D4B">
      <w:pPr>
        <w:keepNext/>
      </w:pPr>
      <w:r>
        <w:t>For the remaining 97 employees:</w:t>
      </w:r>
    </w:p>
    <w:p w14:paraId="6B8F0002" w14:textId="3680F65B" w:rsidR="00AD5761" w:rsidRDefault="00AD5761" w:rsidP="007C2D4B">
      <w:pPr>
        <w:pStyle w:val="ListBullet"/>
        <w:keepNext/>
      </w:pPr>
      <w:r>
        <w:t>91 employees (79 full time, 12 part time) took two days leave</w:t>
      </w:r>
      <w:r w:rsidR="00827013">
        <w:t xml:space="preserve"> </w:t>
      </w:r>
      <w:r>
        <w:t>on 29 and 30 December, none of</w:t>
      </w:r>
      <w:r w:rsidR="00827013">
        <w:t xml:space="preserve"> them took leave on 31 December;</w:t>
      </w:r>
    </w:p>
    <w:p w14:paraId="34F4DD05" w14:textId="3D547C82" w:rsidR="006452B4" w:rsidRDefault="006452B4" w:rsidP="00AD5761">
      <w:pPr>
        <w:pStyle w:val="ListBullet"/>
        <w:keepNext/>
      </w:pPr>
      <w:r>
        <w:t>four employees (one full time, three part time) took one day of leave w</w:t>
      </w:r>
      <w:r w:rsidR="00827013">
        <w:t>ith that day being 29 December; and</w:t>
      </w:r>
    </w:p>
    <w:p w14:paraId="6D396256" w14:textId="5AFE84BB" w:rsidR="00827013" w:rsidRDefault="00827013" w:rsidP="00AD5761">
      <w:pPr>
        <w:pStyle w:val="ListBullet"/>
        <w:keepNext/>
      </w:pPr>
      <w:r>
        <w:t>two employees (one full time, one part time) did not take any leave on the three days.</w:t>
      </w:r>
    </w:p>
    <w:p w14:paraId="4976C3C5" w14:textId="0692AC4F" w:rsidR="006452B4" w:rsidRDefault="00320FC2" w:rsidP="00320FC2">
      <w:pPr>
        <w:pStyle w:val="Caption"/>
        <w:keepNext/>
      </w:pPr>
      <w:r>
        <w:t xml:space="preserve">Figure </w:t>
      </w:r>
      <w:r>
        <w:fldChar w:fldCharType="begin"/>
      </w:r>
      <w:r>
        <w:instrText xml:space="preserve"> SEQ Figure \* ARABIC </w:instrText>
      </w:r>
      <w:r>
        <w:fldChar w:fldCharType="separate"/>
      </w:r>
      <w:r w:rsidR="00F52F17">
        <w:rPr>
          <w:noProof/>
        </w:rPr>
        <w:t>5</w:t>
      </w:r>
      <w:r>
        <w:fldChar w:fldCharType="end"/>
      </w:r>
      <w:r>
        <w:t>: Percentage of employees recorded as taking leave and not taking leave – Northern Territory Legal Aid Commission</w:t>
      </w:r>
      <w:r w:rsidR="0098089C">
        <w:rPr>
          <w:noProof/>
          <w:lang w:val="en-GB" w:eastAsia="en-GB"/>
        </w:rPr>
        <w:drawing>
          <wp:inline distT="0" distB="0" distL="0" distR="0" wp14:anchorId="2F343F51" wp14:editId="79FF7EFE">
            <wp:extent cx="5633085" cy="3462655"/>
            <wp:effectExtent l="0" t="0" r="5715" b="4445"/>
            <wp:docPr id="205" name="Picture 205" descr="Northern Territory Legal Aid Commission&#10;104 employees&#10;29-Dec 98% submitted a leave application&#10;30-Dec 94% submitted a leave application&#10;31-Dec 7% submitted a leave application&#10;&#10;" title="Figure 5: Percentage of employees recorded as taking leave and not taking leave – Northern Territory Legal Aid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3085" cy="3462655"/>
                    </a:xfrm>
                    <a:prstGeom prst="rect">
                      <a:avLst/>
                    </a:prstGeom>
                    <a:noFill/>
                  </pic:spPr>
                </pic:pic>
              </a:graphicData>
            </a:graphic>
          </wp:inline>
        </w:drawing>
      </w:r>
    </w:p>
    <w:p w14:paraId="3199695E" w14:textId="77777777" w:rsidR="00F837FA" w:rsidRDefault="00F837FA" w:rsidP="00F837FA">
      <w:pPr>
        <w:pStyle w:val="Caption"/>
      </w:pPr>
      <w:r>
        <w:t>Source: NTAGO derived from DCDD leave records</w:t>
      </w:r>
    </w:p>
    <w:p w14:paraId="0E9C3396" w14:textId="77777777" w:rsidR="00F837FA" w:rsidRDefault="00F837FA" w:rsidP="006452B4"/>
    <w:p w14:paraId="2E16113B" w14:textId="3CB90FBC" w:rsidR="003D4FA7" w:rsidRPr="000D515D" w:rsidRDefault="00FD1498" w:rsidP="003D4FA7">
      <w:pPr>
        <w:pStyle w:val="Heading1-continued"/>
      </w:pPr>
      <w:r>
        <w:t>Selected Entities – Close-down leave cont…</w:t>
      </w:r>
    </w:p>
    <w:p w14:paraId="0DF23CF8" w14:textId="77777777" w:rsidR="006452B4" w:rsidRDefault="006452B4" w:rsidP="004B0366">
      <w:pPr>
        <w:pStyle w:val="Heading4"/>
      </w:pPr>
      <w:r w:rsidRPr="0090644E">
        <w:t>Ombudsman's Office</w:t>
      </w:r>
    </w:p>
    <w:p w14:paraId="2119AB12" w14:textId="21B73D6C" w:rsidR="006452B4" w:rsidRDefault="006452B4" w:rsidP="004B0366">
      <w:pPr>
        <w:keepNext/>
      </w:pPr>
      <w:r>
        <w:t>During the period under review, the Agency had 18 non-casual employ</w:t>
      </w:r>
      <w:r w:rsidR="00A715EB">
        <w:t>ees.</w:t>
      </w:r>
      <w:r>
        <w:t xml:space="preserve"> </w:t>
      </w:r>
    </w:p>
    <w:p w14:paraId="70C4951F" w14:textId="13E93FF4" w:rsidR="006452B4" w:rsidRDefault="006452B4" w:rsidP="004B0366">
      <w:pPr>
        <w:keepNext/>
      </w:pPr>
      <w:r>
        <w:t>Six (all full time) of the 18 employees (33%) took leave for all three days.</w:t>
      </w:r>
    </w:p>
    <w:p w14:paraId="4099C052" w14:textId="77777777" w:rsidR="006452B4" w:rsidRDefault="006452B4" w:rsidP="004B0366">
      <w:pPr>
        <w:keepNext/>
      </w:pPr>
      <w:r>
        <w:t>For the remaining 12 employees:</w:t>
      </w:r>
    </w:p>
    <w:p w14:paraId="014B4B90" w14:textId="602491C3" w:rsidR="00827013" w:rsidRDefault="00827013" w:rsidP="004B0366">
      <w:pPr>
        <w:pStyle w:val="ListBullet"/>
        <w:keepNext/>
      </w:pPr>
      <w:r>
        <w:t>three employees (one full time, two part time) took two days leave;</w:t>
      </w:r>
    </w:p>
    <w:p w14:paraId="75F8BCAE" w14:textId="02A78E2C" w:rsidR="00827013" w:rsidRDefault="00827013" w:rsidP="004B0366">
      <w:pPr>
        <w:pStyle w:val="ListBullet"/>
        <w:keepNext/>
      </w:pPr>
      <w:r>
        <w:t>one employee (a full time employee) took one day of leave; and</w:t>
      </w:r>
    </w:p>
    <w:p w14:paraId="4424CD30" w14:textId="0AC3AE70" w:rsidR="006452B4" w:rsidRDefault="006452B4" w:rsidP="00827013">
      <w:pPr>
        <w:pStyle w:val="ListBullet"/>
        <w:keepNext/>
      </w:pPr>
      <w:r>
        <w:t>eight employees (six full time, two part time) took no leave on any</w:t>
      </w:r>
      <w:r w:rsidR="00827013">
        <w:t xml:space="preserve"> of the three days.</w:t>
      </w:r>
    </w:p>
    <w:p w14:paraId="52E08ACB" w14:textId="5F4A92A0" w:rsidR="006452B4" w:rsidRDefault="00320FC2" w:rsidP="00320FC2">
      <w:pPr>
        <w:pStyle w:val="Caption"/>
        <w:keepNext/>
      </w:pPr>
      <w:r>
        <w:t xml:space="preserve">Figure </w:t>
      </w:r>
      <w:r>
        <w:fldChar w:fldCharType="begin"/>
      </w:r>
      <w:r>
        <w:instrText xml:space="preserve"> SEQ Figure \* ARABIC </w:instrText>
      </w:r>
      <w:r>
        <w:fldChar w:fldCharType="separate"/>
      </w:r>
      <w:r w:rsidR="00F52F17">
        <w:rPr>
          <w:noProof/>
        </w:rPr>
        <w:t>6</w:t>
      </w:r>
      <w:r>
        <w:fldChar w:fldCharType="end"/>
      </w:r>
      <w:r>
        <w:t>: Percentage of employees recorded as taking leave and not taking leave – Ombudsman’s Office</w:t>
      </w:r>
      <w:r w:rsidR="0098089C">
        <w:rPr>
          <w:noProof/>
          <w:lang w:val="en-GB" w:eastAsia="en-GB"/>
        </w:rPr>
        <w:drawing>
          <wp:inline distT="0" distB="0" distL="0" distR="0" wp14:anchorId="37F4391A" wp14:editId="6D7796C7">
            <wp:extent cx="5633085" cy="3510280"/>
            <wp:effectExtent l="0" t="0" r="5715" b="0"/>
            <wp:docPr id="206" name="Picture 206" descr="Ombudsman's Office&#10;104 employees&#10;29-Dec 44% submitted a leave application&#10;30-Dec 50% submitted a leave application&#10;31-Dec 44% submitted a leave application" title="Figure 6: Percentage of employees recorded as taking leave and not taking leave – Ombudsman’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3085" cy="3510280"/>
                    </a:xfrm>
                    <a:prstGeom prst="rect">
                      <a:avLst/>
                    </a:prstGeom>
                    <a:noFill/>
                  </pic:spPr>
                </pic:pic>
              </a:graphicData>
            </a:graphic>
          </wp:inline>
        </w:drawing>
      </w:r>
    </w:p>
    <w:p w14:paraId="07C3CC3F" w14:textId="77777777" w:rsidR="00F837FA" w:rsidRDefault="00F837FA" w:rsidP="00F837FA">
      <w:pPr>
        <w:pStyle w:val="Caption"/>
      </w:pPr>
      <w:r>
        <w:t>Source: NTAGO derived from DCDD leave records</w:t>
      </w:r>
    </w:p>
    <w:p w14:paraId="7398A795" w14:textId="781C4056" w:rsidR="00DE19AA" w:rsidRDefault="00DE19AA" w:rsidP="00DE19AA">
      <w:r>
        <w:t xml:space="preserve">In responding to the reported findings, the Ombudsman’s Office confirmed that the Accountable Officer has approved an </w:t>
      </w:r>
      <w:r w:rsidR="00694CFF">
        <w:t>A</w:t>
      </w:r>
      <w:r>
        <w:t>gency policy whereby personnel are permitted to utilise flextime during the office closure. The flextime arrangements allow for overtime recorded in the months prior to December to be taken during the Christmas break. The flextime</w:t>
      </w:r>
      <w:r w:rsidRPr="00DD4720">
        <w:t xml:space="preserve"> </w:t>
      </w:r>
      <w:r>
        <w:t>was recorded by the use of time sheets and has not been recorded in myHR. I note there is no mandatory requirement to record flextime in myHR and the use of timesheets as an alternative means of recording is acceptable.</w:t>
      </w:r>
    </w:p>
    <w:p w14:paraId="6DC51EF7" w14:textId="77777777" w:rsidR="00F837FA" w:rsidRDefault="00F837FA" w:rsidP="006452B4"/>
    <w:p w14:paraId="5A712E55" w14:textId="2917120D" w:rsidR="003D4FA7" w:rsidRPr="000D515D" w:rsidRDefault="00FD1498" w:rsidP="003D4FA7">
      <w:pPr>
        <w:pStyle w:val="Heading1-continued"/>
      </w:pPr>
      <w:r>
        <w:t>Selected Entities – Close-down leave cont…</w:t>
      </w:r>
    </w:p>
    <w:p w14:paraId="71D36AEF" w14:textId="77777777" w:rsidR="006452B4" w:rsidRDefault="006452B4" w:rsidP="004B0366">
      <w:pPr>
        <w:pStyle w:val="Heading4"/>
      </w:pPr>
      <w:r w:rsidRPr="008C5BEA">
        <w:t>Department of Territory Families, Housing and Communities</w:t>
      </w:r>
    </w:p>
    <w:p w14:paraId="56BA537A" w14:textId="5934989E" w:rsidR="006452B4" w:rsidRDefault="006452B4" w:rsidP="004B0366">
      <w:pPr>
        <w:keepNext/>
      </w:pPr>
      <w:r>
        <w:t>During the period under review, the Agency had 1,504 n</w:t>
      </w:r>
      <w:r w:rsidR="00A715EB">
        <w:t>on-casual employees.</w:t>
      </w:r>
      <w:r>
        <w:t xml:space="preserve"> </w:t>
      </w:r>
    </w:p>
    <w:p w14:paraId="45214484" w14:textId="77777777" w:rsidR="006452B4" w:rsidRDefault="006452B4" w:rsidP="004B0366">
      <w:pPr>
        <w:keepNext/>
      </w:pPr>
      <w:r>
        <w:t>733 (688 full time, 45 part time) of the 1,504 employees (i.e. 49%) took leave for all three days.</w:t>
      </w:r>
    </w:p>
    <w:p w14:paraId="284E4396" w14:textId="77777777" w:rsidR="006452B4" w:rsidRDefault="006452B4" w:rsidP="004B0366">
      <w:pPr>
        <w:keepNext/>
      </w:pPr>
      <w:r>
        <w:t>For the remaining 711 employees:</w:t>
      </w:r>
    </w:p>
    <w:p w14:paraId="5A8D4436" w14:textId="77777777" w:rsidR="00902FF3" w:rsidRDefault="00902FF3" w:rsidP="004B0366">
      <w:pPr>
        <w:pStyle w:val="ListBullet"/>
        <w:keepNext/>
      </w:pPr>
      <w:r>
        <w:t xml:space="preserve">37 employees (30 full time, seven part time) took two days leave; </w:t>
      </w:r>
    </w:p>
    <w:p w14:paraId="1D4B44D5" w14:textId="77777777" w:rsidR="006452B4" w:rsidRDefault="006452B4" w:rsidP="004B0366">
      <w:pPr>
        <w:pStyle w:val="ListBullet"/>
        <w:keepNext/>
      </w:pPr>
      <w:r>
        <w:t>90 employees (77 full time, 13 part time) took one day of leave; and</w:t>
      </w:r>
    </w:p>
    <w:p w14:paraId="6B9C5F4A" w14:textId="0862D47D" w:rsidR="006452B4" w:rsidRDefault="00902FF3" w:rsidP="004B0366">
      <w:pPr>
        <w:pStyle w:val="ListBullet"/>
        <w:keepNext/>
      </w:pPr>
      <w:r>
        <w:t>644 employees (605 full time, 39 part time) took no leave on any of the three days</w:t>
      </w:r>
      <w:r w:rsidR="006452B4">
        <w:t>.</w:t>
      </w:r>
    </w:p>
    <w:p w14:paraId="690097C3" w14:textId="6E02283E" w:rsidR="006452B4" w:rsidRDefault="00320FC2" w:rsidP="00320FC2">
      <w:pPr>
        <w:pStyle w:val="Caption"/>
        <w:keepNext/>
      </w:pPr>
      <w:r>
        <w:t xml:space="preserve">Figure </w:t>
      </w:r>
      <w:r>
        <w:fldChar w:fldCharType="begin"/>
      </w:r>
      <w:r>
        <w:instrText xml:space="preserve"> SEQ Figure \* ARABIC </w:instrText>
      </w:r>
      <w:r>
        <w:fldChar w:fldCharType="separate"/>
      </w:r>
      <w:r w:rsidR="00F52F17">
        <w:rPr>
          <w:noProof/>
        </w:rPr>
        <w:t>7</w:t>
      </w:r>
      <w:r>
        <w:fldChar w:fldCharType="end"/>
      </w:r>
      <w:r>
        <w:t>: Percentage of employees recorded as taking leave and not taking leave – Department of Territory Families, Housing and Communities</w:t>
      </w:r>
      <w:r w:rsidR="0098089C">
        <w:rPr>
          <w:noProof/>
          <w:lang w:val="en-GB" w:eastAsia="en-GB"/>
        </w:rPr>
        <w:drawing>
          <wp:inline distT="0" distB="0" distL="0" distR="0" wp14:anchorId="2595B9ED" wp14:editId="1F201809">
            <wp:extent cx="5633085" cy="3462655"/>
            <wp:effectExtent l="0" t="0" r="5715" b="4445"/>
            <wp:docPr id="207" name="Picture 207" descr="Department of Territory Families, Housing and Communities&#10;1,504 employees&#10;29-Dec 52% submitted a leave application&#10;30-Dec 52% submitted a leave application&#10;31-Dec 53% submitted a leave application" title="Figure 7: Percentage of employees recorded as taking leave and not taking leave – Department of Territory Families, Housing and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3085" cy="3462655"/>
                    </a:xfrm>
                    <a:prstGeom prst="rect">
                      <a:avLst/>
                    </a:prstGeom>
                    <a:noFill/>
                  </pic:spPr>
                </pic:pic>
              </a:graphicData>
            </a:graphic>
          </wp:inline>
        </w:drawing>
      </w:r>
    </w:p>
    <w:p w14:paraId="2F4B353B" w14:textId="77777777" w:rsidR="00F837FA" w:rsidRDefault="00F837FA" w:rsidP="00F837FA">
      <w:pPr>
        <w:pStyle w:val="Caption"/>
      </w:pPr>
      <w:r>
        <w:t>Source: NTAGO derived from DCDD leave records</w:t>
      </w:r>
    </w:p>
    <w:p w14:paraId="758ADA6E" w14:textId="77777777" w:rsidR="00F837FA" w:rsidRDefault="00F837FA" w:rsidP="006452B4"/>
    <w:p w14:paraId="7B80973C" w14:textId="4C45F421" w:rsidR="003D4FA7" w:rsidRPr="000D515D" w:rsidRDefault="00FD1498" w:rsidP="003D4FA7">
      <w:pPr>
        <w:pStyle w:val="Heading1-continued"/>
      </w:pPr>
      <w:r>
        <w:t>Selected Entities – Close-down leave cont…</w:t>
      </w:r>
    </w:p>
    <w:p w14:paraId="257D298D" w14:textId="77777777" w:rsidR="006452B4" w:rsidRDefault="006452B4" w:rsidP="004B0366">
      <w:pPr>
        <w:pStyle w:val="Heading4"/>
      </w:pPr>
      <w:r w:rsidRPr="0090644E">
        <w:t>Department of the Legislative Assembly</w:t>
      </w:r>
    </w:p>
    <w:p w14:paraId="4DAFBF05" w14:textId="0EDC9047" w:rsidR="006452B4" w:rsidRDefault="006452B4" w:rsidP="004B0366">
      <w:pPr>
        <w:keepNext/>
      </w:pPr>
      <w:r>
        <w:t>During the period under review, the Agency had 78 non-cas</w:t>
      </w:r>
      <w:r w:rsidR="00A715EB">
        <w:t>ual employees (excluding MLAs)</w:t>
      </w:r>
      <w:r w:rsidR="00F47072">
        <w:t xml:space="preserve"> allocated </w:t>
      </w:r>
      <w:r w:rsidR="008C1392">
        <w:t xml:space="preserve">to </w:t>
      </w:r>
      <w:r w:rsidR="00F47072">
        <w:t>the Agency</w:t>
      </w:r>
      <w:r w:rsidR="00A715EB">
        <w:t>.</w:t>
      </w:r>
      <w:r>
        <w:t xml:space="preserve"> </w:t>
      </w:r>
      <w:r w:rsidR="00F47072">
        <w:t>Of these, 47 represent public sector employees working for the Department of the Legislative Assembly and 31 represent individuals working for electorate offices and are thus outside the scope of the analysis.</w:t>
      </w:r>
    </w:p>
    <w:p w14:paraId="6A3FF084" w14:textId="6A89C159" w:rsidR="006452B4" w:rsidRDefault="006452B4" w:rsidP="004B0366">
      <w:pPr>
        <w:keepNext/>
      </w:pPr>
      <w:r>
        <w:t xml:space="preserve">47 (43 full time, four part time) of the </w:t>
      </w:r>
      <w:r w:rsidR="00B97957">
        <w:t>78 non-MLA employees (</w:t>
      </w:r>
      <w:r>
        <w:t>60%) took leave for all three days.</w:t>
      </w:r>
    </w:p>
    <w:p w14:paraId="4EEF44EE" w14:textId="577D6F2A" w:rsidR="00A62C73" w:rsidRDefault="00845E4D" w:rsidP="004B0366">
      <w:pPr>
        <w:keepNext/>
      </w:pPr>
      <w:r>
        <w:t>T</w:t>
      </w:r>
      <w:r w:rsidR="006452B4">
        <w:t xml:space="preserve">he </w:t>
      </w:r>
      <w:r w:rsidR="002A5C18">
        <w:t xml:space="preserve">31 </w:t>
      </w:r>
      <w:r>
        <w:t xml:space="preserve">employees that did not record three days of leave were all employed at </w:t>
      </w:r>
      <w:r w:rsidR="00A62C73">
        <w:t>electorate offices.</w:t>
      </w:r>
    </w:p>
    <w:p w14:paraId="0062F27F" w14:textId="77777777" w:rsidR="006452B4" w:rsidRDefault="006452B4" w:rsidP="004B0366">
      <w:pPr>
        <w:pStyle w:val="ListBullet"/>
        <w:keepNext/>
      </w:pPr>
      <w:r>
        <w:t>30 employees (12 full time, 18 part time) did not take any leave on the three days in question.</w:t>
      </w:r>
    </w:p>
    <w:p w14:paraId="1470E215" w14:textId="7B90D217" w:rsidR="006452B4" w:rsidRDefault="006452B4" w:rsidP="004B0366">
      <w:pPr>
        <w:pStyle w:val="ListBullet"/>
        <w:keepNext/>
      </w:pPr>
      <w:r>
        <w:t>One employee (a full time employee) took two days leave.</w:t>
      </w:r>
    </w:p>
    <w:p w14:paraId="499DF427" w14:textId="1689B1DF" w:rsidR="006452B4" w:rsidRDefault="00320FC2" w:rsidP="00320FC2">
      <w:pPr>
        <w:pStyle w:val="Caption"/>
        <w:keepNext/>
      </w:pPr>
      <w:r>
        <w:t xml:space="preserve">Figure </w:t>
      </w:r>
      <w:r>
        <w:fldChar w:fldCharType="begin"/>
      </w:r>
      <w:r>
        <w:instrText xml:space="preserve"> SEQ Figure \* ARABIC </w:instrText>
      </w:r>
      <w:r>
        <w:fldChar w:fldCharType="separate"/>
      </w:r>
      <w:r w:rsidR="00F52F17">
        <w:rPr>
          <w:noProof/>
        </w:rPr>
        <w:t>8</w:t>
      </w:r>
      <w:r>
        <w:fldChar w:fldCharType="end"/>
      </w:r>
      <w:r>
        <w:t>: Percentage of employees recorded as taking leave and not taking leave – Department of the Legislative Assembly</w:t>
      </w:r>
      <w:r w:rsidR="0098089C">
        <w:rPr>
          <w:noProof/>
          <w:lang w:val="en-GB" w:eastAsia="en-GB"/>
        </w:rPr>
        <w:drawing>
          <wp:inline distT="0" distB="0" distL="0" distR="0" wp14:anchorId="00391B33" wp14:editId="4A770018">
            <wp:extent cx="5633085" cy="3462655"/>
            <wp:effectExtent l="0" t="0" r="5715" b="4445"/>
            <wp:docPr id="208" name="Picture 208" descr="Department of the Legislative Assembly&#10;78 employees&#10;29-Dec 62% submitted a leave application&#10;30-Dec 62% submitted a leave application&#10;31-Dec 60% submitted a leave application" title="Figure 8: Percentage of employees recorded as taking leave and not taking leave – Department of the Legislativ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3085" cy="3462655"/>
                    </a:xfrm>
                    <a:prstGeom prst="rect">
                      <a:avLst/>
                    </a:prstGeom>
                    <a:noFill/>
                  </pic:spPr>
                </pic:pic>
              </a:graphicData>
            </a:graphic>
          </wp:inline>
        </w:drawing>
      </w:r>
    </w:p>
    <w:p w14:paraId="7C068283" w14:textId="77777777" w:rsidR="00F837FA" w:rsidRDefault="00F837FA" w:rsidP="00F837FA">
      <w:pPr>
        <w:pStyle w:val="Caption"/>
      </w:pPr>
      <w:r>
        <w:t>Source: NTAGO derived from DCDD leave records</w:t>
      </w:r>
    </w:p>
    <w:p w14:paraId="1B7B14A0" w14:textId="50C15EF6" w:rsidR="00F837FA" w:rsidRDefault="00F47072" w:rsidP="006452B4">
      <w:r>
        <w:t xml:space="preserve">In responding to the reported findings, the Department of the Legislative Assembly has confirmed that </w:t>
      </w:r>
      <w:r w:rsidR="00EE104D">
        <w:t>all</w:t>
      </w:r>
      <w:r>
        <w:t xml:space="preserve"> employees reported as taking no leave or one day of leave were employed at electorate offices</w:t>
      </w:r>
      <w:r w:rsidR="00BA629E">
        <w:t xml:space="preserve"> and that all departmental personnel had taken leave over the closure period</w:t>
      </w:r>
      <w:r>
        <w:t xml:space="preserve">. Responsibility for monitoring and managing employee leave entitlements </w:t>
      </w:r>
      <w:r w:rsidR="00D22E27">
        <w:t xml:space="preserve">associated with these individuals </w:t>
      </w:r>
      <w:r>
        <w:t>therefore rests with the relevant Member of the Legislative Assembly.</w:t>
      </w:r>
    </w:p>
    <w:p w14:paraId="46EF5774" w14:textId="2F4CD648" w:rsidR="003D4FA7" w:rsidRDefault="00FD1498" w:rsidP="003D4FA7">
      <w:pPr>
        <w:pStyle w:val="Heading1-continued"/>
      </w:pPr>
      <w:r>
        <w:t>Selected Entities – Close-down leave cont…</w:t>
      </w:r>
    </w:p>
    <w:p w14:paraId="5C9A8BE4" w14:textId="1F74DDB5" w:rsidR="00C87E84" w:rsidRPr="00AB5213" w:rsidRDefault="00C87E84" w:rsidP="00C87E84">
      <w:r w:rsidRPr="00AB5213">
        <w:t xml:space="preserve">The following agencies had more than 60% of </w:t>
      </w:r>
      <w:r w:rsidR="00EE104D" w:rsidRPr="00AB5213">
        <w:t>agency</w:t>
      </w:r>
      <w:r w:rsidRPr="00AB5213">
        <w:t xml:space="preserve"> personnel recording </w:t>
      </w:r>
      <w:r w:rsidR="00EE104D" w:rsidRPr="00AB5213">
        <w:t xml:space="preserve">approved leave applications for one or more days during the close-down period. </w:t>
      </w:r>
    </w:p>
    <w:p w14:paraId="710FCB7D" w14:textId="0E0B2517" w:rsidR="00590EBB" w:rsidRPr="00AB5213" w:rsidRDefault="00590EBB" w:rsidP="00590EBB">
      <w:pPr>
        <w:pStyle w:val="Heading4"/>
      </w:pPr>
      <w:r w:rsidRPr="00AB5213">
        <w:t>Department of Corporate and Digital Development</w:t>
      </w:r>
    </w:p>
    <w:p w14:paraId="05FE7AFE" w14:textId="77777777" w:rsidR="00590EBB" w:rsidRPr="00AB5213" w:rsidRDefault="00590EBB" w:rsidP="00590EBB">
      <w:r w:rsidRPr="00AB5213">
        <w:t>During the period under review, the Agency had 1,232 non-casual employees.</w:t>
      </w:r>
    </w:p>
    <w:p w14:paraId="0EC10A10" w14:textId="31FEA6C2" w:rsidR="00590EBB" w:rsidRPr="00AB5213" w:rsidRDefault="00590EBB" w:rsidP="00590EBB">
      <w:r w:rsidRPr="00AB5213">
        <w:t>815 (766 full time, 49 part time) of the 1,232 employees (i.e. 75%) took leave for all three days.</w:t>
      </w:r>
    </w:p>
    <w:p w14:paraId="1EABCC99" w14:textId="77777777" w:rsidR="00590EBB" w:rsidRPr="00AB5213" w:rsidRDefault="00590EBB" w:rsidP="00590EBB">
      <w:r w:rsidRPr="00AB5213">
        <w:t>For the remaining 417 employees:</w:t>
      </w:r>
    </w:p>
    <w:p w14:paraId="394D8297" w14:textId="56C28A76" w:rsidR="00605BA6" w:rsidRPr="00AB5213" w:rsidRDefault="00605BA6" w:rsidP="00590EBB">
      <w:pPr>
        <w:pStyle w:val="ListBullet"/>
      </w:pPr>
      <w:r w:rsidRPr="00AB5213">
        <w:t>39 employees (33 full time, six part time) took two days leave;</w:t>
      </w:r>
    </w:p>
    <w:p w14:paraId="0046A923" w14:textId="099B4A61" w:rsidR="00605BA6" w:rsidRPr="00AB5213" w:rsidRDefault="00605BA6" w:rsidP="00590EBB">
      <w:pPr>
        <w:pStyle w:val="ListBullet"/>
      </w:pPr>
      <w:r w:rsidRPr="00AB5213">
        <w:t>39 employees (35 full time, four part time) took one day of leave; and</w:t>
      </w:r>
    </w:p>
    <w:p w14:paraId="3FD4D9AE" w14:textId="5F5FE729" w:rsidR="00605BA6" w:rsidRPr="00AB5213" w:rsidRDefault="00590EBB" w:rsidP="00605BA6">
      <w:pPr>
        <w:pStyle w:val="ListBullet"/>
      </w:pPr>
      <w:r w:rsidRPr="00AB5213">
        <w:t>339 employees (318 full time, 21 part time) took no leave on any of the three days</w:t>
      </w:r>
      <w:r w:rsidR="00605BA6" w:rsidRPr="00AB5213">
        <w:t>.</w:t>
      </w:r>
      <w:r w:rsidR="00C87E84" w:rsidRPr="00AB5213">
        <w:t xml:space="preserve"> This represents 27.5% of the Agency’s non-casual employees.</w:t>
      </w:r>
    </w:p>
    <w:p w14:paraId="392927E6" w14:textId="77777777" w:rsidR="00590EBB" w:rsidRPr="00AB5213" w:rsidRDefault="00590EBB" w:rsidP="00590EBB">
      <w:pPr>
        <w:pStyle w:val="Heading4"/>
      </w:pPr>
      <w:r w:rsidRPr="00AB5213">
        <w:t>Office of the Independent Commissioner Against Corruption</w:t>
      </w:r>
    </w:p>
    <w:p w14:paraId="7AEC84C8" w14:textId="77777777" w:rsidR="00590EBB" w:rsidRPr="00AB5213" w:rsidRDefault="00590EBB" w:rsidP="00590EBB">
      <w:r w:rsidRPr="00AB5213">
        <w:t>During the period under review, the Agency had 33 non-casual employees.</w:t>
      </w:r>
    </w:p>
    <w:p w14:paraId="5EAEF1E1" w14:textId="77777777" w:rsidR="00590EBB" w:rsidRPr="00AB5213" w:rsidRDefault="00590EBB" w:rsidP="00590EBB">
      <w:r w:rsidRPr="00AB5213">
        <w:t>23 of the 33 employees (i.e. 70%) took leave for all three days.</w:t>
      </w:r>
    </w:p>
    <w:p w14:paraId="78821D13" w14:textId="77777777" w:rsidR="00590EBB" w:rsidRPr="00AB5213" w:rsidRDefault="00590EBB" w:rsidP="00590EBB">
      <w:r w:rsidRPr="00AB5213">
        <w:t>For the remaining 10 employees:</w:t>
      </w:r>
    </w:p>
    <w:p w14:paraId="3885A744" w14:textId="77777777" w:rsidR="008B54CD" w:rsidRPr="00AB5213" w:rsidRDefault="008B54CD" w:rsidP="00590EBB">
      <w:pPr>
        <w:pStyle w:val="ListBullet"/>
      </w:pPr>
      <w:r w:rsidRPr="00AB5213">
        <w:t>two employees (both full time) took one day of leave;</w:t>
      </w:r>
    </w:p>
    <w:p w14:paraId="3C917535" w14:textId="1246DDAF" w:rsidR="00590EBB" w:rsidRPr="00AB5213" w:rsidRDefault="00590EBB" w:rsidP="00EE104D">
      <w:pPr>
        <w:pStyle w:val="ListBullet"/>
      </w:pPr>
      <w:r w:rsidRPr="00AB5213">
        <w:t>eight employees (all full time) took no leave on any of the three days</w:t>
      </w:r>
      <w:r w:rsidR="008B54CD" w:rsidRPr="00AB5213">
        <w:t>.</w:t>
      </w:r>
      <w:r w:rsidR="00C87E84" w:rsidRPr="00AB5213">
        <w:t xml:space="preserve"> This represents 24% of the Agency’s non-casual employees.</w:t>
      </w:r>
    </w:p>
    <w:p w14:paraId="3DF19D44" w14:textId="77777777" w:rsidR="00590EBB" w:rsidRPr="00AB5213" w:rsidRDefault="00590EBB" w:rsidP="00590EBB">
      <w:pPr>
        <w:pStyle w:val="Heading4"/>
      </w:pPr>
      <w:r w:rsidRPr="00AB5213">
        <w:t>Department of the Chief Minister and Cabinet</w:t>
      </w:r>
    </w:p>
    <w:p w14:paraId="792B00F5" w14:textId="77777777" w:rsidR="00590EBB" w:rsidRPr="00AB5213" w:rsidRDefault="00590EBB" w:rsidP="00590EBB">
      <w:r w:rsidRPr="00AB5213">
        <w:t>During the period under review, the Agency had 406 non-casual employees designated as being assigned to “Chief Minister and Cabinet” (DCMC) and 82 non-casual employees designated as “CMI Chief Ministers ECO and Ministerial” (within the Office of the Chief Minister (OCM)) making a total of 488 non-casual employees.</w:t>
      </w:r>
    </w:p>
    <w:p w14:paraId="01D0AD3F" w14:textId="77777777" w:rsidR="00590EBB" w:rsidRPr="00AB5213" w:rsidRDefault="00590EBB" w:rsidP="00590EBB">
      <w:r w:rsidRPr="00AB5213">
        <w:t>364 (346 full time, 18 part time) of the 488 employees (i.e. 75%) took leave for all three days being 340 (84%) DCMC employees and 24 (29%) OCM employees.</w:t>
      </w:r>
    </w:p>
    <w:p w14:paraId="3D92EF47" w14:textId="77777777" w:rsidR="00590EBB" w:rsidRPr="00AB5213" w:rsidRDefault="00590EBB" w:rsidP="00590EBB">
      <w:r w:rsidRPr="00AB5213">
        <w:t>For the remaining 124 employees:</w:t>
      </w:r>
    </w:p>
    <w:p w14:paraId="4CBA4654" w14:textId="702CBFED" w:rsidR="00911C83" w:rsidRPr="00AB5213" w:rsidRDefault="00911C83" w:rsidP="00590EBB">
      <w:pPr>
        <w:pStyle w:val="ListBullet"/>
      </w:pPr>
      <w:r w:rsidRPr="00AB5213">
        <w:t>15 employees (nine full time, six part time) took two days leave, nine of these employees are recorded as full time employees;</w:t>
      </w:r>
    </w:p>
    <w:p w14:paraId="7FCBD444" w14:textId="08662A32" w:rsidR="00911C83" w:rsidRPr="00AB5213" w:rsidRDefault="00911C83" w:rsidP="00590EBB">
      <w:pPr>
        <w:pStyle w:val="ListBullet"/>
      </w:pPr>
      <w:r w:rsidRPr="00AB5213">
        <w:t>14 employees (all full time) took one day of leave, all of these employees are recorded as full time employees; and</w:t>
      </w:r>
    </w:p>
    <w:p w14:paraId="270B6898" w14:textId="6AEB257D" w:rsidR="00590EBB" w:rsidRPr="00AB5213" w:rsidRDefault="00590EBB" w:rsidP="00911C83">
      <w:pPr>
        <w:pStyle w:val="ListBullet"/>
      </w:pPr>
      <w:r w:rsidRPr="00AB5213">
        <w:t>95 employees (90 full time, five part time) took no leave on any of the three days.</w:t>
      </w:r>
      <w:r w:rsidR="00C87E84" w:rsidRPr="00AB5213">
        <w:t xml:space="preserve"> This represents 19.5% of the Agency’s non-casual employees.</w:t>
      </w:r>
    </w:p>
    <w:p w14:paraId="5A0A250B" w14:textId="71136FC9" w:rsidR="00EE104D" w:rsidRPr="00AB5213" w:rsidRDefault="00EE104D" w:rsidP="00EE104D">
      <w:pPr>
        <w:pStyle w:val="ListBullet"/>
        <w:numPr>
          <w:ilvl w:val="0"/>
          <w:numId w:val="0"/>
        </w:numPr>
        <w:ind w:left="360" w:hanging="360"/>
      </w:pPr>
    </w:p>
    <w:p w14:paraId="21CC9AA5" w14:textId="00ECC5B3" w:rsidR="003D4FA7" w:rsidRPr="00AB5213" w:rsidRDefault="00FD1498" w:rsidP="00EE104D">
      <w:pPr>
        <w:pStyle w:val="Heading1-continued"/>
        <w:ind w:left="0"/>
      </w:pPr>
      <w:r>
        <w:t>Selected Entities – Close-down leave cont…</w:t>
      </w:r>
    </w:p>
    <w:p w14:paraId="186AA6DD" w14:textId="77777777" w:rsidR="00EE104D" w:rsidRPr="00AB5213" w:rsidRDefault="00EE104D" w:rsidP="00EE104D">
      <w:pPr>
        <w:pStyle w:val="Heading4"/>
      </w:pPr>
      <w:r w:rsidRPr="00AB5213">
        <w:t>Department of Environment, Parks and Water Security</w:t>
      </w:r>
    </w:p>
    <w:p w14:paraId="4E90357D" w14:textId="77777777" w:rsidR="00EE104D" w:rsidRPr="00AB5213" w:rsidRDefault="00EE104D" w:rsidP="00EE104D">
      <w:r w:rsidRPr="00AB5213">
        <w:t>During the period under review, the Agency had 570 non-casual employees.</w:t>
      </w:r>
    </w:p>
    <w:p w14:paraId="0D60E803" w14:textId="28582211" w:rsidR="00EE104D" w:rsidRPr="00AB5213" w:rsidRDefault="00EE104D" w:rsidP="00EE104D">
      <w:r w:rsidRPr="00AB5213">
        <w:t>430 (394 full time, 36 part time) of the 570 employees (i.e. 75%) took leave for all three days.</w:t>
      </w:r>
    </w:p>
    <w:p w14:paraId="59B16845" w14:textId="77777777" w:rsidR="00EE104D" w:rsidRPr="00AB5213" w:rsidRDefault="00EE104D" w:rsidP="00EE104D">
      <w:r w:rsidRPr="00AB5213">
        <w:t>For the remaining 140 employees:</w:t>
      </w:r>
    </w:p>
    <w:p w14:paraId="05FA0D37" w14:textId="77777777" w:rsidR="00EE104D" w:rsidRPr="00AB5213" w:rsidRDefault="00EE104D" w:rsidP="00EE104D">
      <w:pPr>
        <w:pStyle w:val="ListBullet"/>
      </w:pPr>
      <w:r w:rsidRPr="00AB5213">
        <w:t>21 employees (16 full time, five part time) took two days leave;</w:t>
      </w:r>
    </w:p>
    <w:p w14:paraId="64D9AAE7" w14:textId="77777777" w:rsidR="00EE104D" w:rsidRPr="00AB5213" w:rsidRDefault="00EE104D" w:rsidP="00EE104D">
      <w:pPr>
        <w:pStyle w:val="ListBullet"/>
      </w:pPr>
      <w:r w:rsidRPr="00AB5213">
        <w:t>nine employees (all full time) took one day of leave; and</w:t>
      </w:r>
    </w:p>
    <w:p w14:paraId="0D7E5B67" w14:textId="77777777" w:rsidR="00EE104D" w:rsidRPr="00AB5213" w:rsidRDefault="00EE104D" w:rsidP="00EE104D">
      <w:pPr>
        <w:pStyle w:val="ListBullet"/>
      </w:pPr>
      <w:r w:rsidRPr="00AB5213">
        <w:t>110 employees (107 full time, three part time) took no leave on any of the three days. This represents 19.3% of the Agency’s non-casual employees.</w:t>
      </w:r>
    </w:p>
    <w:p w14:paraId="18CA6739" w14:textId="77777777" w:rsidR="00590EBB" w:rsidRPr="00AB5213" w:rsidRDefault="00590EBB" w:rsidP="00590EBB">
      <w:pPr>
        <w:pStyle w:val="Heading4"/>
      </w:pPr>
      <w:r w:rsidRPr="00AB5213">
        <w:t>Department of Infrastructure, Planning and Logistics</w:t>
      </w:r>
    </w:p>
    <w:p w14:paraId="27E6C223" w14:textId="77777777" w:rsidR="00590EBB" w:rsidRPr="00AB5213" w:rsidRDefault="00590EBB" w:rsidP="00590EBB">
      <w:r w:rsidRPr="00AB5213">
        <w:t>During the period under review, the Agency had 846 non-casual employees.</w:t>
      </w:r>
    </w:p>
    <w:p w14:paraId="5AB276AE" w14:textId="18B03ECC" w:rsidR="00590EBB" w:rsidRPr="00AB5213" w:rsidRDefault="00590EBB" w:rsidP="00590EBB">
      <w:r w:rsidRPr="00AB5213">
        <w:t xml:space="preserve">757 (724 full time, 33 part time) of the </w:t>
      </w:r>
      <w:r w:rsidR="00C87E84" w:rsidRPr="00AB5213">
        <w:t>846</w:t>
      </w:r>
      <w:r w:rsidRPr="00AB5213">
        <w:t xml:space="preserve"> employees (i.e. 89%) took leave for all three days.</w:t>
      </w:r>
    </w:p>
    <w:p w14:paraId="0B7FD35F" w14:textId="77777777" w:rsidR="00590EBB" w:rsidRPr="00AB5213" w:rsidRDefault="00590EBB" w:rsidP="00590EBB">
      <w:r w:rsidRPr="00AB5213">
        <w:t>For the remaining 89 employees:</w:t>
      </w:r>
    </w:p>
    <w:p w14:paraId="348B9B2C" w14:textId="77777777" w:rsidR="0065188A" w:rsidRPr="00AB5213" w:rsidRDefault="0065188A" w:rsidP="00590EBB">
      <w:pPr>
        <w:pStyle w:val="ListBullet"/>
      </w:pPr>
      <w:r w:rsidRPr="00AB5213">
        <w:t>nine employees (six full time, three part time) took two days leave;</w:t>
      </w:r>
    </w:p>
    <w:p w14:paraId="4F06213F" w14:textId="12D593E0" w:rsidR="0065188A" w:rsidRPr="00AB5213" w:rsidRDefault="0065188A" w:rsidP="00590EBB">
      <w:pPr>
        <w:pStyle w:val="ListBullet"/>
      </w:pPr>
      <w:r w:rsidRPr="00AB5213">
        <w:t xml:space="preserve">seven employees (all full time) took one day of leave; and </w:t>
      </w:r>
    </w:p>
    <w:p w14:paraId="41DC950A" w14:textId="58009231" w:rsidR="0065188A" w:rsidRPr="00AB5213" w:rsidRDefault="00590EBB" w:rsidP="0065188A">
      <w:pPr>
        <w:pStyle w:val="ListBullet"/>
      </w:pPr>
      <w:r w:rsidRPr="00AB5213">
        <w:t>73 employees (71 full time, two part time) took no leave on any of the three days</w:t>
      </w:r>
      <w:r w:rsidR="0065188A" w:rsidRPr="00AB5213">
        <w:t>.</w:t>
      </w:r>
      <w:r w:rsidR="00C87E84" w:rsidRPr="00AB5213">
        <w:t xml:space="preserve"> This represents 8.6% of the Agency’s non-casual employees.</w:t>
      </w:r>
    </w:p>
    <w:p w14:paraId="441ED93D" w14:textId="77777777" w:rsidR="00590EBB" w:rsidRPr="00AB5213" w:rsidRDefault="00590EBB" w:rsidP="00590EBB">
      <w:pPr>
        <w:pStyle w:val="Heading4"/>
      </w:pPr>
      <w:r w:rsidRPr="00AB5213">
        <w:t>Department of Industry, Tourism and Trade</w:t>
      </w:r>
    </w:p>
    <w:p w14:paraId="6E80D65E" w14:textId="77777777" w:rsidR="00590EBB" w:rsidRPr="00AB5213" w:rsidRDefault="00590EBB" w:rsidP="00590EBB">
      <w:r w:rsidRPr="00AB5213">
        <w:t xml:space="preserve">During the period under review, the Agency had 845 non-casual employees. </w:t>
      </w:r>
    </w:p>
    <w:p w14:paraId="5FACD2DA" w14:textId="354ED5C9" w:rsidR="00590EBB" w:rsidRPr="00AB5213" w:rsidRDefault="00590EBB" w:rsidP="00590EBB">
      <w:r w:rsidRPr="00AB5213">
        <w:t>788 (743 full time, 45 part time) of the 845 employees (i.e. 93%) took leave for all three days.</w:t>
      </w:r>
    </w:p>
    <w:p w14:paraId="0421D508" w14:textId="77777777" w:rsidR="00590EBB" w:rsidRPr="00AB5213" w:rsidRDefault="00590EBB" w:rsidP="00590EBB">
      <w:r w:rsidRPr="00AB5213">
        <w:t>For the remaining 57 employees:</w:t>
      </w:r>
    </w:p>
    <w:p w14:paraId="5DDD789D" w14:textId="62BEF64C" w:rsidR="0065188A" w:rsidRPr="00AB5213" w:rsidRDefault="0065188A" w:rsidP="00590EBB">
      <w:pPr>
        <w:pStyle w:val="ListBullet"/>
      </w:pPr>
      <w:r w:rsidRPr="00AB5213">
        <w:t>12 employees (five full time, seven part time) took two days leave;</w:t>
      </w:r>
    </w:p>
    <w:p w14:paraId="52FB9C46" w14:textId="3D36DA64" w:rsidR="0065188A" w:rsidRPr="00AB5213" w:rsidRDefault="0065188A" w:rsidP="00590EBB">
      <w:pPr>
        <w:pStyle w:val="ListBullet"/>
      </w:pPr>
      <w:r w:rsidRPr="00AB5213">
        <w:t>eight employees (five full time, three part time) took one day of leave; and</w:t>
      </w:r>
    </w:p>
    <w:p w14:paraId="0FD1745B" w14:textId="3AB69168" w:rsidR="00590EBB" w:rsidRPr="00AB5213" w:rsidRDefault="00590EBB" w:rsidP="00EE104D">
      <w:pPr>
        <w:pStyle w:val="ListBullet"/>
      </w:pPr>
      <w:r w:rsidRPr="00AB5213">
        <w:t>37 employees (36 full time, one part time) took no leave on any of the three days</w:t>
      </w:r>
      <w:r w:rsidR="0065188A" w:rsidRPr="00AB5213">
        <w:t>.</w:t>
      </w:r>
      <w:r w:rsidR="00C87E84" w:rsidRPr="00AB5213">
        <w:t xml:space="preserve"> This represents 4.4% of the Agency’s non-casual employees.</w:t>
      </w:r>
    </w:p>
    <w:p w14:paraId="6BBFB2E2" w14:textId="415D57C5" w:rsidR="008C5BEA" w:rsidRPr="00AB5213" w:rsidRDefault="008C5BEA" w:rsidP="005E4510">
      <w:pPr>
        <w:pStyle w:val="Heading4"/>
      </w:pPr>
      <w:r w:rsidRPr="00AB5213">
        <w:t>Aboriginal Areas Protection Authority</w:t>
      </w:r>
    </w:p>
    <w:p w14:paraId="0FC09E1A" w14:textId="45CB5061" w:rsidR="008C5BEA" w:rsidRPr="00AB5213" w:rsidRDefault="008C5BEA" w:rsidP="008C5BEA">
      <w:r w:rsidRPr="00AB5213">
        <w:t>During the period under review, the Authorit</w:t>
      </w:r>
      <w:r w:rsidR="00A715EB" w:rsidRPr="00AB5213">
        <w:t>y had 35 non-casual employees.</w:t>
      </w:r>
    </w:p>
    <w:p w14:paraId="5E30384E" w14:textId="122D3C85" w:rsidR="008C5BEA" w:rsidRPr="00AB5213" w:rsidRDefault="008C5BEA" w:rsidP="008C5BEA">
      <w:r w:rsidRPr="00AB5213">
        <w:t xml:space="preserve">33 (28 full time, five part time) of the 35 employees (i.e. 94%) took leave for all three days. </w:t>
      </w:r>
    </w:p>
    <w:p w14:paraId="7164F3B3" w14:textId="77777777" w:rsidR="008C5BEA" w:rsidRPr="00AB5213" w:rsidRDefault="008C5BEA" w:rsidP="008C5BEA">
      <w:r w:rsidRPr="00AB5213">
        <w:t>For the remaining two employees:</w:t>
      </w:r>
    </w:p>
    <w:p w14:paraId="3DD12375" w14:textId="44E9F23E" w:rsidR="008C5BEA" w:rsidRPr="00AB5213" w:rsidRDefault="008C5BEA" w:rsidP="008C5BEA">
      <w:pPr>
        <w:pStyle w:val="ListBullet"/>
      </w:pPr>
      <w:r w:rsidRPr="00AB5213">
        <w:t>One employee took two days leave bei</w:t>
      </w:r>
      <w:r w:rsidR="00A715EB" w:rsidRPr="00AB5213">
        <w:t xml:space="preserve">ng 29 and part of 30 December. </w:t>
      </w:r>
      <w:r w:rsidRPr="00AB5213">
        <w:t>Specifically this employee took leave from 07:30 hours 21 December to 12:30 hours 30 December, no leave is recorded for 31 December.</w:t>
      </w:r>
    </w:p>
    <w:p w14:paraId="5DFF1075" w14:textId="5B8E9C78" w:rsidR="006022FE" w:rsidRPr="00AB5213" w:rsidRDefault="006022FE" w:rsidP="008C5BEA">
      <w:pPr>
        <w:pStyle w:val="ListBullet"/>
      </w:pPr>
      <w:r w:rsidRPr="00AB5213">
        <w:t>One employee (full time) took no leave on any of the three days.</w:t>
      </w:r>
      <w:r w:rsidR="00C87E84" w:rsidRPr="00AB5213">
        <w:t xml:space="preserve"> This represents 2.9% of the Agency’s non-casual employees.</w:t>
      </w:r>
    </w:p>
    <w:p w14:paraId="338065CD" w14:textId="1B48F8A7" w:rsidR="003D4FA7" w:rsidRPr="00AB5213" w:rsidRDefault="00FD1498" w:rsidP="003D4FA7">
      <w:pPr>
        <w:pStyle w:val="Heading1-continued"/>
      </w:pPr>
      <w:r>
        <w:t>Selected Entities – Close-down leave cont…</w:t>
      </w:r>
    </w:p>
    <w:p w14:paraId="790B1DFE" w14:textId="77777777" w:rsidR="00EE104D" w:rsidRPr="00AB5213" w:rsidRDefault="00EE104D" w:rsidP="00EE104D">
      <w:pPr>
        <w:pStyle w:val="Heading4"/>
      </w:pPr>
      <w:r w:rsidRPr="00AB5213">
        <w:t>Department of Treasury and Finance</w:t>
      </w:r>
    </w:p>
    <w:p w14:paraId="3A8A8971" w14:textId="77777777" w:rsidR="00EE104D" w:rsidRPr="00AB5213" w:rsidRDefault="00EE104D" w:rsidP="00EE104D">
      <w:r w:rsidRPr="00AB5213">
        <w:t>During the period under review, the Agency had 124 non-casual employees.</w:t>
      </w:r>
    </w:p>
    <w:p w14:paraId="6FC78ABD" w14:textId="41CE17D7" w:rsidR="00EE104D" w:rsidRPr="00AB5213" w:rsidRDefault="00EE104D" w:rsidP="00EE104D">
      <w:r w:rsidRPr="00AB5213">
        <w:t>117 (109 full time, eight part time) of the 124 employees (i.e. 94%) took leave for all three days.</w:t>
      </w:r>
    </w:p>
    <w:p w14:paraId="55227AEE" w14:textId="77777777" w:rsidR="00EE104D" w:rsidRPr="00AB5213" w:rsidRDefault="00EE104D" w:rsidP="00EE104D">
      <w:r w:rsidRPr="00AB5213">
        <w:t>For the remaining seven employees:</w:t>
      </w:r>
    </w:p>
    <w:p w14:paraId="26D2E97C" w14:textId="77777777" w:rsidR="00EE104D" w:rsidRPr="00AB5213" w:rsidRDefault="00EE104D" w:rsidP="00EE104D">
      <w:pPr>
        <w:pStyle w:val="ListBullet"/>
      </w:pPr>
      <w:r w:rsidRPr="00AB5213">
        <w:t>four employees (one full time, three part time) took two days leave;</w:t>
      </w:r>
    </w:p>
    <w:p w14:paraId="0453F88B" w14:textId="77777777" w:rsidR="00EE104D" w:rsidRPr="00AB5213" w:rsidRDefault="00EE104D" w:rsidP="00EE104D">
      <w:pPr>
        <w:pStyle w:val="ListBullet"/>
      </w:pPr>
      <w:r w:rsidRPr="00AB5213">
        <w:t>one employee took one day of leave; and</w:t>
      </w:r>
    </w:p>
    <w:p w14:paraId="24728C58" w14:textId="77777777" w:rsidR="00EE104D" w:rsidRPr="00AB5213" w:rsidRDefault="00EE104D" w:rsidP="00EE104D">
      <w:pPr>
        <w:pStyle w:val="ListBullet"/>
      </w:pPr>
      <w:r w:rsidRPr="00AB5213">
        <w:t>two employees took no leave on any of the three days. This represents 1.6% of the Agency’s non-casual employees.</w:t>
      </w:r>
    </w:p>
    <w:p w14:paraId="39D0B693" w14:textId="77777777" w:rsidR="00590EBB" w:rsidRPr="00AB5213" w:rsidRDefault="00590EBB" w:rsidP="00590EBB">
      <w:pPr>
        <w:pStyle w:val="Heading4"/>
      </w:pPr>
      <w:r w:rsidRPr="00AB5213">
        <w:t>Department of Education</w:t>
      </w:r>
    </w:p>
    <w:p w14:paraId="16F8EDA3" w14:textId="77777777" w:rsidR="00590EBB" w:rsidRPr="00AB5213" w:rsidRDefault="00590EBB" w:rsidP="00590EBB">
      <w:pPr>
        <w:keepNext/>
      </w:pPr>
      <w:r w:rsidRPr="00AB5213">
        <w:t>During the period under review, the Agency had 4,956 non-casual employees.</w:t>
      </w:r>
    </w:p>
    <w:p w14:paraId="66C13D96" w14:textId="4E6A8253" w:rsidR="00590EBB" w:rsidRPr="00AB5213" w:rsidRDefault="00590EBB" w:rsidP="00590EBB">
      <w:r w:rsidRPr="00AB5213">
        <w:t>4,858 (4,3</w:t>
      </w:r>
      <w:r w:rsidR="000F75AE">
        <w:t>0</w:t>
      </w:r>
      <w:r w:rsidRPr="00AB5213">
        <w:t>7 full time, 5</w:t>
      </w:r>
      <w:r w:rsidR="000F75AE">
        <w:t>51</w:t>
      </w:r>
      <w:r w:rsidRPr="00AB5213">
        <w:t xml:space="preserve"> part time) of the 4,956 employees (i.e. 98%) took leave for all three days.</w:t>
      </w:r>
    </w:p>
    <w:p w14:paraId="1E648640" w14:textId="3CBA6EB0" w:rsidR="00590EBB" w:rsidRPr="00AB5213" w:rsidRDefault="005028CA" w:rsidP="00590EBB">
      <w:r>
        <w:t>For the remaining 98</w:t>
      </w:r>
      <w:r w:rsidR="00590EBB" w:rsidRPr="00AB5213">
        <w:t xml:space="preserve"> employees:</w:t>
      </w:r>
    </w:p>
    <w:p w14:paraId="3328C90B" w14:textId="4F2208B6" w:rsidR="00590EBB" w:rsidRPr="00AB5213" w:rsidRDefault="005028CA" w:rsidP="00590EBB">
      <w:pPr>
        <w:pStyle w:val="ListBullet"/>
      </w:pPr>
      <w:r>
        <w:t>16</w:t>
      </w:r>
      <w:r w:rsidR="00590EBB" w:rsidRPr="00AB5213">
        <w:t xml:space="preserve"> employees (ten full time, six part time) took two days leave;</w:t>
      </w:r>
    </w:p>
    <w:p w14:paraId="37F3DED8" w14:textId="4C2CB3B4" w:rsidR="00590EBB" w:rsidRPr="00AB5213" w:rsidRDefault="00590EBB" w:rsidP="00590EBB">
      <w:pPr>
        <w:pStyle w:val="ListBullet"/>
      </w:pPr>
      <w:r w:rsidRPr="00AB5213">
        <w:t>five employees (three full time, two part time) took one day of leave; and</w:t>
      </w:r>
    </w:p>
    <w:p w14:paraId="117F082A" w14:textId="701859EC" w:rsidR="00590EBB" w:rsidRPr="00AB5213" w:rsidRDefault="00590EBB" w:rsidP="00590EBB">
      <w:pPr>
        <w:pStyle w:val="ListBullet"/>
      </w:pPr>
      <w:r w:rsidRPr="00AB5213">
        <w:t>77 employees (</w:t>
      </w:r>
      <w:r w:rsidR="005028CA">
        <w:t>6</w:t>
      </w:r>
      <w:r w:rsidRPr="00AB5213">
        <w:t>7 full time, ten part time) took no leave on any of the three days.</w:t>
      </w:r>
      <w:r w:rsidR="00B345D2" w:rsidRPr="00AB5213">
        <w:t xml:space="preserve"> This represents 1.5% of the Agency’s non-casual employees.</w:t>
      </w:r>
    </w:p>
    <w:p w14:paraId="48E32369" w14:textId="6941E251" w:rsidR="00EC6F37" w:rsidRDefault="003D4FA7" w:rsidP="00EC6F37">
      <w:pPr>
        <w:pStyle w:val="Heading3"/>
      </w:pPr>
      <w:r>
        <w:t>Confirmations</w:t>
      </w:r>
      <w:r w:rsidR="00EC6F37">
        <w:t xml:space="preserve"> requested</w:t>
      </w:r>
    </w:p>
    <w:p w14:paraId="655DEA69" w14:textId="77777777" w:rsidR="006022FE" w:rsidRDefault="00EC6F37" w:rsidP="00EC6F37">
      <w:r>
        <w:t xml:space="preserve">As outlined in my previous reports to the Legislative </w:t>
      </w:r>
      <w:r w:rsidR="00B465D8">
        <w:t>Assembly</w:t>
      </w:r>
      <w:r>
        <w:t xml:space="preserve"> relating to excessive leave entitlements one of the risks identified in relation to employee entitlements is that </w:t>
      </w:r>
      <w:r w:rsidRPr="00EC6F37">
        <w:rPr>
          <w:i/>
        </w:rPr>
        <w:t>“leave may have been taken by an employee but the leave application forms were not submitted and/or approved correctly</w:t>
      </w:r>
      <w:r>
        <w:t xml:space="preserve">”. </w:t>
      </w:r>
      <w:r w:rsidR="006022FE">
        <w:t xml:space="preserve">This data analysis was undertaken to identify and bring to the attention of Accountable Officers, an overview of leave taken to assist them in identifying instances where the above risk may have materialised. </w:t>
      </w:r>
    </w:p>
    <w:p w14:paraId="4CD255AD" w14:textId="2FBA3943" w:rsidR="00EC6F37" w:rsidRDefault="006022FE" w:rsidP="00EC6F37">
      <w:r>
        <w:t xml:space="preserve">The results of the analysis were provided to </w:t>
      </w:r>
      <w:r w:rsidR="00694CFF">
        <w:t>entity</w:t>
      </w:r>
      <w:r>
        <w:t xml:space="preserve"> Accountable Officers and assurance was sought that, where leave was not recorded for an employee, the employ</w:t>
      </w:r>
      <w:r w:rsidR="00694CFF">
        <w:t>ee was working during the close</w:t>
      </w:r>
      <w:r w:rsidR="00694CFF">
        <w:noBreakHyphen/>
      </w:r>
      <w:r>
        <w:t xml:space="preserve">down period. The following confirmation was sought: </w:t>
      </w:r>
    </w:p>
    <w:p w14:paraId="3DB5060D" w14:textId="3510CC58" w:rsidR="00EC6F37" w:rsidRDefault="00EC6F37" w:rsidP="006022FE">
      <w:pPr>
        <w:pStyle w:val="ListBullet"/>
      </w:pPr>
      <w:r>
        <w:t xml:space="preserve">For full time employees </w:t>
      </w:r>
      <w:r w:rsidR="006022FE">
        <w:t xml:space="preserve">– </w:t>
      </w:r>
      <w:r>
        <w:t>I</w:t>
      </w:r>
      <w:r w:rsidR="006022FE">
        <w:t xml:space="preserve"> </w:t>
      </w:r>
      <w:r>
        <w:t xml:space="preserve">requested </w:t>
      </w:r>
      <w:r w:rsidR="00623860">
        <w:t>A</w:t>
      </w:r>
      <w:r>
        <w:t>ccountable Office</w:t>
      </w:r>
      <w:r w:rsidR="00623860">
        <w:t>rs</w:t>
      </w:r>
      <w:r>
        <w:t xml:space="preserve"> to confirm in writing that the employees that did not have an approved leave application for one or more of the three days in question were present at the work place and not on any form of leave on the day/s when there was no approved leave application.</w:t>
      </w:r>
    </w:p>
    <w:p w14:paraId="2B74D52C" w14:textId="232427A1" w:rsidR="00EC6F37" w:rsidRDefault="00EC6F37" w:rsidP="006022FE">
      <w:pPr>
        <w:pStyle w:val="ListBullet"/>
      </w:pPr>
      <w:r>
        <w:t>For part time employees</w:t>
      </w:r>
      <w:r w:rsidR="006022FE">
        <w:t xml:space="preserve"> – </w:t>
      </w:r>
      <w:r>
        <w:t>I</w:t>
      </w:r>
      <w:r w:rsidR="006022FE">
        <w:t xml:space="preserve"> </w:t>
      </w:r>
      <w:r>
        <w:t xml:space="preserve">requested </w:t>
      </w:r>
      <w:r w:rsidR="00623860">
        <w:t>Accountable Officers</w:t>
      </w:r>
      <w:r>
        <w:t xml:space="preserve"> to confirm in writing that the part time employees that did not have an approved leave application for one or more of the three days (29, 30 and 31 December 202</w:t>
      </w:r>
      <w:r w:rsidR="005C1A2B">
        <w:t>0</w:t>
      </w:r>
      <w:r>
        <w:t>) were either present at the work place or not expected to work on those day/s due to being part time employees.</w:t>
      </w:r>
    </w:p>
    <w:p w14:paraId="7008F565" w14:textId="5EF89549" w:rsidR="00980515" w:rsidRPr="000D515D" w:rsidRDefault="00FD1498" w:rsidP="00980515">
      <w:pPr>
        <w:pStyle w:val="Heading1-continued"/>
      </w:pPr>
      <w:r>
        <w:t>Selected Entities – Close-down leave cont…</w:t>
      </w:r>
    </w:p>
    <w:p w14:paraId="025E1D78" w14:textId="60167DF7" w:rsidR="00EC6F37" w:rsidRDefault="00EC6F37" w:rsidP="00EC6F37">
      <w:pPr>
        <w:pStyle w:val="Heading3"/>
      </w:pPr>
      <w:r>
        <w:t>Confirmation</w:t>
      </w:r>
      <w:r w:rsidR="00387CFC">
        <w:t>s</w:t>
      </w:r>
      <w:r>
        <w:t xml:space="preserve"> received</w:t>
      </w:r>
    </w:p>
    <w:p w14:paraId="5D7665BD" w14:textId="42E1EF2A" w:rsidR="00EC6F37" w:rsidRDefault="00EC6F37" w:rsidP="00EC6F37">
      <w:r>
        <w:t>A</w:t>
      </w:r>
      <w:r w:rsidR="009C3C54">
        <w:t xml:space="preserve">s at </w:t>
      </w:r>
      <w:r w:rsidR="003A392E">
        <w:t>30</w:t>
      </w:r>
      <w:r w:rsidR="009C3C54">
        <w:t xml:space="preserve"> July 2021</w:t>
      </w:r>
      <w:r w:rsidR="00DE19AA">
        <w:t>,</w:t>
      </w:r>
      <w:r>
        <w:t xml:space="preserve"> confirmations</w:t>
      </w:r>
      <w:r w:rsidR="002272F4">
        <w:t xml:space="preserve"> have been received</w:t>
      </w:r>
      <w:r>
        <w:t xml:space="preserve"> from the Accountable Off</w:t>
      </w:r>
      <w:r w:rsidR="00623860">
        <w:t>icers of the following entities</w:t>
      </w:r>
      <w:r w:rsidR="00DE19AA">
        <w:t>:</w:t>
      </w:r>
    </w:p>
    <w:p w14:paraId="51053DC2" w14:textId="77777777" w:rsidR="00573CB2" w:rsidRPr="00C43B4B" w:rsidRDefault="00573CB2" w:rsidP="001F6E5C">
      <w:pPr>
        <w:pStyle w:val="ListBullet"/>
      </w:pPr>
      <w:r w:rsidRPr="00DE19AA">
        <w:t xml:space="preserve">Aboriginal </w:t>
      </w:r>
      <w:r w:rsidRPr="00C43B4B">
        <w:t xml:space="preserve">Areas Protection Authority </w:t>
      </w:r>
    </w:p>
    <w:p w14:paraId="7E44E0A1" w14:textId="418CC8EF" w:rsidR="001F6E5C" w:rsidRPr="00C43B4B" w:rsidRDefault="001F6E5C" w:rsidP="001F6E5C">
      <w:pPr>
        <w:pStyle w:val="ListBullet"/>
      </w:pPr>
      <w:r w:rsidRPr="00C43B4B">
        <w:t>Department of Industry, Tourism and Trade;</w:t>
      </w:r>
    </w:p>
    <w:p w14:paraId="0EC33CE0" w14:textId="424E7942" w:rsidR="002272F4" w:rsidRPr="00C43B4B" w:rsidRDefault="002272F4" w:rsidP="002272F4">
      <w:pPr>
        <w:pStyle w:val="ListBullet"/>
      </w:pPr>
      <w:r w:rsidRPr="00C43B4B">
        <w:t>Department of Treasury and Finance</w:t>
      </w:r>
      <w:r w:rsidR="001F6E5C" w:rsidRPr="00C43B4B">
        <w:t>;</w:t>
      </w:r>
    </w:p>
    <w:p w14:paraId="578EC3C0" w14:textId="2AE85854" w:rsidR="00A80E78" w:rsidRPr="00C43B4B" w:rsidRDefault="00A80E78" w:rsidP="002272F4">
      <w:pPr>
        <w:pStyle w:val="ListBullet"/>
      </w:pPr>
      <w:r w:rsidRPr="00C43B4B">
        <w:t>Department of the Legislative Assembly</w:t>
      </w:r>
      <w:r w:rsidR="00C43B4B" w:rsidRPr="00C43B4B">
        <w:t>;</w:t>
      </w:r>
    </w:p>
    <w:p w14:paraId="2E914C08" w14:textId="4A260816" w:rsidR="00C43B4B" w:rsidRPr="00C43B4B" w:rsidRDefault="00C43B4B" w:rsidP="002272F4">
      <w:pPr>
        <w:pStyle w:val="ListBullet"/>
      </w:pPr>
      <w:r w:rsidRPr="00C43B4B">
        <w:t>Department of the Chief Minister and Cabinet; and</w:t>
      </w:r>
    </w:p>
    <w:p w14:paraId="60B4EF7B" w14:textId="4BCEEE75" w:rsidR="002272F4" w:rsidRDefault="002272F4" w:rsidP="002272F4">
      <w:pPr>
        <w:pStyle w:val="ListBullet"/>
      </w:pPr>
      <w:r w:rsidRPr="00C43B4B">
        <w:t>Office of the Independent Co</w:t>
      </w:r>
      <w:r>
        <w:t>mmissioner Against Corruption</w:t>
      </w:r>
      <w:r w:rsidR="001F6E5C">
        <w:t>; and</w:t>
      </w:r>
    </w:p>
    <w:p w14:paraId="2D540A3A" w14:textId="459120D5" w:rsidR="002272F4" w:rsidRDefault="002272F4" w:rsidP="002272F4">
      <w:pPr>
        <w:pStyle w:val="ListBullet"/>
      </w:pPr>
      <w:r>
        <w:t>Ombudsman’s Office</w:t>
      </w:r>
      <w:r w:rsidR="001F6E5C">
        <w:t>.</w:t>
      </w:r>
    </w:p>
    <w:p w14:paraId="19CD0B1E" w14:textId="77777777" w:rsidR="005C03FE" w:rsidRDefault="005C03FE" w:rsidP="005C03FE">
      <w:pPr>
        <w:keepNext/>
      </w:pPr>
      <w:r>
        <w:t>Confirmations received identified:</w:t>
      </w:r>
    </w:p>
    <w:p w14:paraId="6A304F45" w14:textId="235CC50D" w:rsidR="005C03FE" w:rsidRPr="00206AF5" w:rsidRDefault="00206AF5" w:rsidP="005C03FE">
      <w:pPr>
        <w:pStyle w:val="ListBullet"/>
        <w:keepNext/>
      </w:pPr>
      <w:r w:rsidRPr="00206AF5">
        <w:t>As a result of this analysis, at least 40</w:t>
      </w:r>
      <w:r w:rsidR="005C03FE" w:rsidRPr="00206AF5">
        <w:t xml:space="preserve"> employees have been identified as not having submitted a leave application despite needing to do so.</w:t>
      </w:r>
    </w:p>
    <w:p w14:paraId="5A5DFC50" w14:textId="77777777" w:rsidR="005C03FE" w:rsidRPr="00206AF5" w:rsidRDefault="005C03FE" w:rsidP="005C03FE">
      <w:pPr>
        <w:pStyle w:val="ListBullet"/>
        <w:keepNext/>
      </w:pPr>
      <w:r w:rsidRPr="00206AF5">
        <w:t>In the majority of instances, those employees who had not submitted an application for leave during one or more days of the close-down period were confirmed as present at the work place and not on any form of leave on the day/s when there was no approved leave application.</w:t>
      </w:r>
    </w:p>
    <w:p w14:paraId="62A56AD8" w14:textId="3CE834C0" w:rsidR="005C03FE" w:rsidRPr="00206AF5" w:rsidRDefault="005C03FE" w:rsidP="005C03FE">
      <w:pPr>
        <w:pStyle w:val="ListBullet"/>
        <w:keepNext/>
      </w:pPr>
      <w:r w:rsidRPr="00206AF5">
        <w:t>Employees who took leave but had no leave application recorded</w:t>
      </w:r>
      <w:r w:rsidR="000E3E1D">
        <w:t xml:space="preserve"> and</w:t>
      </w:r>
      <w:r w:rsidRPr="00206AF5">
        <w:t xml:space="preserve"> have since ceased employment with the Northern Territory Government</w:t>
      </w:r>
      <w:r w:rsidR="000E3E1D">
        <w:t>. D</w:t>
      </w:r>
      <w:r w:rsidRPr="00206AF5">
        <w:t>ebt recovery</w:t>
      </w:r>
      <w:r w:rsidR="000E3E1D">
        <w:t xml:space="preserve"> is</w:t>
      </w:r>
      <w:r w:rsidRPr="00206AF5">
        <w:t xml:space="preserve"> being initiated in one instance</w:t>
      </w:r>
      <w:r w:rsidR="000E3E1D">
        <w:t xml:space="preserve"> </w:t>
      </w:r>
      <w:r w:rsidR="000E3E1D" w:rsidRPr="005C03FE">
        <w:t>however the extent to which those employees should have submitted leave applications has not been investigated</w:t>
      </w:r>
      <w:r w:rsidR="000E3E1D">
        <w:t xml:space="preserve"> in all instances</w:t>
      </w:r>
      <w:r w:rsidRPr="00206AF5">
        <w:t>.</w:t>
      </w:r>
    </w:p>
    <w:p w14:paraId="7F00BBE1" w14:textId="77777777" w:rsidR="005C03FE" w:rsidRPr="00206AF5" w:rsidRDefault="005C03FE" w:rsidP="005C03FE">
      <w:pPr>
        <w:pStyle w:val="ListBullet"/>
      </w:pPr>
      <w:r w:rsidRPr="00206AF5">
        <w:t>Employees who have submitted leave, time off in lieu or flextime applications since my analysis was provided to the Accountable Officer on 2 July 2021.</w:t>
      </w:r>
    </w:p>
    <w:p w14:paraId="5A3497A7" w14:textId="77777777" w:rsidR="005C03FE" w:rsidRPr="00206AF5" w:rsidRDefault="005C03FE" w:rsidP="005C03FE">
      <w:pPr>
        <w:pStyle w:val="ListBullet"/>
      </w:pPr>
      <w:r w:rsidRPr="00206AF5">
        <w:t>Employees who were not subject to compulsory agency shutdown.</w:t>
      </w:r>
    </w:p>
    <w:p w14:paraId="2EAAD7AE" w14:textId="58D39DE4" w:rsidR="005C03FE" w:rsidRPr="005C03FE" w:rsidRDefault="005C03FE" w:rsidP="005C03FE">
      <w:pPr>
        <w:pStyle w:val="ListBullet"/>
      </w:pPr>
      <w:r>
        <w:t>Employees who utilised flextime during the office closure. The flextime</w:t>
      </w:r>
      <w:r w:rsidRPr="00DD4720">
        <w:t xml:space="preserve"> </w:t>
      </w:r>
      <w:r>
        <w:t>was recorded by the use of time s</w:t>
      </w:r>
      <w:r w:rsidRPr="005C03FE">
        <w:t>heets and has not been recorded in myHR. Employees were allowed to accrue flextime beyond the standard limit and take flextime during the Christmas break.</w:t>
      </w:r>
    </w:p>
    <w:p w14:paraId="6B210B45" w14:textId="77777777" w:rsidR="005C03FE" w:rsidRPr="005C03FE" w:rsidRDefault="005C03FE" w:rsidP="005C03FE">
      <w:pPr>
        <w:pStyle w:val="ListBullet"/>
      </w:pPr>
      <w:r w:rsidRPr="005C03FE">
        <w:t>Employees who were part time, on leave without pay or on maternity leave and therefore leave was not required.</w:t>
      </w:r>
    </w:p>
    <w:p w14:paraId="6BA5757A" w14:textId="7C635E59" w:rsidR="00C43B4B" w:rsidRPr="005C03FE" w:rsidRDefault="005C03FE" w:rsidP="005C03FE">
      <w:pPr>
        <w:pStyle w:val="ListBullet"/>
      </w:pPr>
      <w:r w:rsidRPr="005C03FE">
        <w:t xml:space="preserve">Individuals classified as ‘employees’ who were actually employees at electorate offices and not public sector employees of an </w:t>
      </w:r>
      <w:r w:rsidRPr="005A59EC">
        <w:t>agency</w:t>
      </w:r>
      <w:r w:rsidRPr="005C03FE">
        <w:t xml:space="preserve"> therefore the responsibility for monitoring and management of the leave entitlements is not </w:t>
      </w:r>
      <w:r w:rsidR="002D4FDE">
        <w:t xml:space="preserve">within </w:t>
      </w:r>
      <w:r w:rsidRPr="005C03FE">
        <w:t>the remit of the agency.</w:t>
      </w:r>
    </w:p>
    <w:p w14:paraId="5614C58E" w14:textId="77777777" w:rsidR="005C03FE" w:rsidRPr="005C03FE" w:rsidRDefault="005C03FE" w:rsidP="005C03FE">
      <w:pPr>
        <w:pStyle w:val="ListBullet"/>
      </w:pPr>
      <w:r w:rsidRPr="005C03FE">
        <w:t>Staff will be reminded of the need to ensure that leave forms are submitted prior to the Christmas/New year leave period this year and assurance will be sought from supervisors that all leave applications are appropriately submitted prior to the shutdown period.</w:t>
      </w:r>
    </w:p>
    <w:p w14:paraId="30F05AFF" w14:textId="4F76F3BE" w:rsidR="00206AF5" w:rsidRPr="000D515D" w:rsidRDefault="00FD1498" w:rsidP="000E3E1D">
      <w:pPr>
        <w:pStyle w:val="Heading1-continued"/>
        <w:ind w:left="0"/>
      </w:pPr>
      <w:r>
        <w:t>Selected Entities – Close-down leave cont…</w:t>
      </w:r>
    </w:p>
    <w:p w14:paraId="389FFADC" w14:textId="6B0C8FD6" w:rsidR="00C43B4B" w:rsidRDefault="00C43B4B" w:rsidP="00C43B4B">
      <w:pPr>
        <w:pStyle w:val="Heading3"/>
      </w:pPr>
      <w:r>
        <w:t>Confirmations not received</w:t>
      </w:r>
    </w:p>
    <w:p w14:paraId="731EA01C" w14:textId="07F884FD" w:rsidR="00C43B4B" w:rsidRPr="00C43B4B" w:rsidRDefault="00C43B4B" w:rsidP="00C43B4B">
      <w:r w:rsidRPr="00C43B4B">
        <w:t>As at 30 July 2021, confirmations ha</w:t>
      </w:r>
      <w:r w:rsidR="007C022F">
        <w:t>d</w:t>
      </w:r>
      <w:r w:rsidRPr="00C43B4B">
        <w:t xml:space="preserve"> not been received from the Accountable Officers of the following entities:</w:t>
      </w:r>
    </w:p>
    <w:p w14:paraId="78F144BC" w14:textId="77777777" w:rsidR="00C43B4B" w:rsidRPr="00C43B4B" w:rsidRDefault="00C43B4B" w:rsidP="00C43B4B">
      <w:pPr>
        <w:pStyle w:val="ListBullet"/>
      </w:pPr>
      <w:r w:rsidRPr="00C43B4B">
        <w:t>Department of Corporate and Digital Development;</w:t>
      </w:r>
    </w:p>
    <w:p w14:paraId="5AE6D628" w14:textId="77777777" w:rsidR="00C43B4B" w:rsidRPr="00C43B4B" w:rsidRDefault="00C43B4B" w:rsidP="00C43B4B">
      <w:pPr>
        <w:pStyle w:val="ListBullet"/>
      </w:pPr>
      <w:r w:rsidRPr="00C43B4B">
        <w:t>Department of Education;</w:t>
      </w:r>
    </w:p>
    <w:p w14:paraId="64B2B218" w14:textId="77777777" w:rsidR="00C43B4B" w:rsidRPr="00C43B4B" w:rsidRDefault="00C43B4B" w:rsidP="00C43B4B">
      <w:pPr>
        <w:pStyle w:val="ListBullet"/>
      </w:pPr>
      <w:r w:rsidRPr="00C43B4B">
        <w:t>Department of Environment, Parks and Water Security;</w:t>
      </w:r>
    </w:p>
    <w:p w14:paraId="36671C55" w14:textId="77777777" w:rsidR="00C43B4B" w:rsidRPr="00C43B4B" w:rsidRDefault="00C43B4B" w:rsidP="00C43B4B">
      <w:pPr>
        <w:pStyle w:val="ListBullet"/>
      </w:pPr>
      <w:r w:rsidRPr="00C43B4B">
        <w:t>Department of Infrastructure, Planning and Logistics;</w:t>
      </w:r>
    </w:p>
    <w:p w14:paraId="2CB6CC03" w14:textId="11AC3EEB" w:rsidR="00C43B4B" w:rsidRPr="00C43B4B" w:rsidRDefault="00C43B4B" w:rsidP="00206AF5">
      <w:pPr>
        <w:pStyle w:val="ListBullet"/>
      </w:pPr>
      <w:r w:rsidRPr="00C43B4B">
        <w:t>Department of Territory Fam</w:t>
      </w:r>
      <w:r w:rsidR="002507C3">
        <w:t>ilies, Housing and Communities</w:t>
      </w:r>
      <w:r w:rsidR="00206AF5">
        <w:t xml:space="preserve">; </w:t>
      </w:r>
      <w:r w:rsidRPr="00C43B4B">
        <w:t>and</w:t>
      </w:r>
    </w:p>
    <w:p w14:paraId="7BBD4E7A" w14:textId="77777777" w:rsidR="00C43B4B" w:rsidRPr="00C43B4B" w:rsidRDefault="00C43B4B" w:rsidP="00C43B4B">
      <w:pPr>
        <w:pStyle w:val="ListBullet"/>
      </w:pPr>
      <w:r w:rsidRPr="00C43B4B">
        <w:t>Northern Territory Legal Aid Commission.</w:t>
      </w:r>
    </w:p>
    <w:p w14:paraId="14B04B81" w14:textId="3CC123A2" w:rsidR="00EE104D" w:rsidRPr="0038496E" w:rsidRDefault="00C43B4B" w:rsidP="005C03FE">
      <w:r w:rsidRPr="00206AF5">
        <w:t xml:space="preserve">Of these </w:t>
      </w:r>
      <w:r w:rsidR="00694CFF" w:rsidRPr="00C43B4B">
        <w:t>entities</w:t>
      </w:r>
      <w:r w:rsidRPr="00206AF5">
        <w:t>, I am aware that a number have commenced undertaking a detailed review of the leave data for the three days in order to accurately inform their response to my request for confirmation.</w:t>
      </w:r>
    </w:p>
    <w:p w14:paraId="0AD068A6" w14:textId="1BBB31D6" w:rsidR="00EE104D" w:rsidRPr="0038496E" w:rsidRDefault="00EE104D" w:rsidP="00C43B4B">
      <w:pPr>
        <w:pStyle w:val="ListBullet"/>
        <w:numPr>
          <w:ilvl w:val="0"/>
          <w:numId w:val="0"/>
        </w:numPr>
        <w:ind w:left="360"/>
      </w:pPr>
    </w:p>
    <w:p w14:paraId="6E28C12B" w14:textId="6FDAD78D" w:rsidR="005E4510" w:rsidRDefault="00FD1498" w:rsidP="005E4510">
      <w:pPr>
        <w:pStyle w:val="Heading1-continued"/>
      </w:pPr>
      <w:r>
        <w:t>Selected Entities – Close-down leave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Department of Corporate and Digital Development response"/>
      </w:tblPr>
      <w:tblGrid>
        <w:gridCol w:w="8448"/>
      </w:tblGrid>
      <w:tr w:rsidR="009F38E9" w14:paraId="3BB94A9C" w14:textId="77777777" w:rsidTr="00D805FE">
        <w:trPr>
          <w:tblHeader/>
        </w:trPr>
        <w:tc>
          <w:tcPr>
            <w:tcW w:w="8448" w:type="dxa"/>
          </w:tcPr>
          <w:p w14:paraId="240A5706" w14:textId="77777777" w:rsidR="009F38E9" w:rsidRPr="00270B09" w:rsidRDefault="009F38E9" w:rsidP="00D805FE">
            <w:pPr>
              <w:rPr>
                <w:b/>
              </w:rPr>
            </w:pPr>
            <w:bookmarkStart w:id="43" w:name="_Ref69911135"/>
            <w:bookmarkStart w:id="44" w:name="_Ref78888339"/>
            <w:r>
              <w:rPr>
                <w:b/>
              </w:rPr>
              <w:t xml:space="preserve">The </w:t>
            </w:r>
            <w:r w:rsidRPr="009F38E9">
              <w:rPr>
                <w:b/>
              </w:rPr>
              <w:t>Department of Corporate and Digital Development</w:t>
            </w:r>
            <w:r>
              <w:rPr>
                <w:b/>
              </w:rPr>
              <w:t xml:space="preserve"> has commented:</w:t>
            </w:r>
          </w:p>
        </w:tc>
      </w:tr>
      <w:tr w:rsidR="009F38E9" w14:paraId="79B7A81F" w14:textId="77777777" w:rsidTr="00D805FE">
        <w:tc>
          <w:tcPr>
            <w:tcW w:w="8448" w:type="dxa"/>
          </w:tcPr>
          <w:p w14:paraId="25CE62F9" w14:textId="15B0E6AF" w:rsidR="009F38E9" w:rsidRDefault="00D56CDE" w:rsidP="00D56CDE">
            <w:r w:rsidRPr="00D56CDE">
              <w:t>The department has considered the data provided and is reminding staff and managers of their responsibilities regarding leave applications</w:t>
            </w:r>
            <w:r>
              <w:t>.</w:t>
            </w:r>
          </w:p>
        </w:tc>
      </w:tr>
    </w:tbl>
    <w:p w14:paraId="6FBDE748" w14:textId="77777777" w:rsidR="009F38E9" w:rsidRDefault="009F38E9" w:rsidP="009F38E9"/>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Department of Infrastructure, Planning and Logistics response"/>
      </w:tblPr>
      <w:tblGrid>
        <w:gridCol w:w="8448"/>
      </w:tblGrid>
      <w:tr w:rsidR="009F38E9" w14:paraId="40C29A60" w14:textId="77777777" w:rsidTr="00D805FE">
        <w:trPr>
          <w:tblHeader/>
        </w:trPr>
        <w:tc>
          <w:tcPr>
            <w:tcW w:w="8448" w:type="dxa"/>
          </w:tcPr>
          <w:p w14:paraId="635EA3E6" w14:textId="77777777" w:rsidR="009F38E9" w:rsidRPr="00270B09" w:rsidRDefault="009F38E9" w:rsidP="00D805FE">
            <w:pPr>
              <w:rPr>
                <w:b/>
              </w:rPr>
            </w:pPr>
            <w:r>
              <w:rPr>
                <w:b/>
              </w:rPr>
              <w:t xml:space="preserve">The Department of </w:t>
            </w:r>
            <w:r w:rsidRPr="007E490A">
              <w:rPr>
                <w:b/>
              </w:rPr>
              <w:t>Infrast</w:t>
            </w:r>
            <w:r>
              <w:rPr>
                <w:b/>
              </w:rPr>
              <w:t>ructure, Planning and Logistics has commented:</w:t>
            </w:r>
          </w:p>
        </w:tc>
      </w:tr>
      <w:tr w:rsidR="009F38E9" w14:paraId="6723200D" w14:textId="77777777" w:rsidTr="00D805FE">
        <w:tc>
          <w:tcPr>
            <w:tcW w:w="8448" w:type="dxa"/>
          </w:tcPr>
          <w:p w14:paraId="31F034B7" w14:textId="7B813016" w:rsidR="009F38E9" w:rsidRDefault="009C0762" w:rsidP="009C0762">
            <w:r w:rsidRPr="009C0762">
              <w:t>The Department of Infrastructure, Planning and Logistics (DIPL) implemented a close down for the majority of the department with approved exemptions for operational areas. The department’s management monitors all employees leave. The vast majority of leave not entered was for approved operational areas that were required to continue to work during this time</w:t>
            </w:r>
            <w:r>
              <w:t>.</w:t>
            </w:r>
          </w:p>
        </w:tc>
      </w:tr>
    </w:tbl>
    <w:p w14:paraId="57A8FCC9" w14:textId="17F89685" w:rsidR="009F38E9" w:rsidRDefault="009F38E9" w:rsidP="009F38E9"/>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Department of Treasury and Finance response"/>
      </w:tblPr>
      <w:tblGrid>
        <w:gridCol w:w="8448"/>
      </w:tblGrid>
      <w:tr w:rsidR="009F38E9" w14:paraId="3023D6DB" w14:textId="77777777" w:rsidTr="00D805FE">
        <w:trPr>
          <w:tblHeader/>
        </w:trPr>
        <w:tc>
          <w:tcPr>
            <w:tcW w:w="8448" w:type="dxa"/>
          </w:tcPr>
          <w:p w14:paraId="7A587F98" w14:textId="77777777" w:rsidR="009F38E9" w:rsidRPr="00270B09" w:rsidRDefault="009F38E9" w:rsidP="00D805FE">
            <w:pPr>
              <w:rPr>
                <w:b/>
              </w:rPr>
            </w:pPr>
            <w:r>
              <w:rPr>
                <w:b/>
              </w:rPr>
              <w:t xml:space="preserve">The Department of </w:t>
            </w:r>
            <w:r w:rsidRPr="007E490A">
              <w:rPr>
                <w:b/>
              </w:rPr>
              <w:t xml:space="preserve">Treasury and Finance </w:t>
            </w:r>
            <w:r>
              <w:rPr>
                <w:b/>
              </w:rPr>
              <w:t>has commented:</w:t>
            </w:r>
          </w:p>
        </w:tc>
      </w:tr>
      <w:tr w:rsidR="009F38E9" w14:paraId="01A1AA06" w14:textId="77777777" w:rsidTr="00D805FE">
        <w:tc>
          <w:tcPr>
            <w:tcW w:w="8448" w:type="dxa"/>
          </w:tcPr>
          <w:p w14:paraId="770478F8" w14:textId="635CCDC6" w:rsidR="009F38E9" w:rsidRDefault="00A84310" w:rsidP="00A84310">
            <w:r w:rsidRPr="00A84310">
              <w:t>Close down leave – four staff were part time and not due to work on the days showing as absent. Three staff have since entered (pre-approved) leave correctly into the payroll system. One person was overpaid, and that debt is now being recovered. In addition, further education has been undertaken in the agency on correct recording of flextime and time off in lieu, and this will be reiterated as part of our communications in the lead up to the Christmas office closure, and at other regular intervals to ensure all staff understand their obligations.</w:t>
            </w:r>
          </w:p>
        </w:tc>
      </w:tr>
    </w:tbl>
    <w:p w14:paraId="73740BB1" w14:textId="7525632D" w:rsidR="009F38E9" w:rsidRDefault="009F38E9" w:rsidP="009F38E9"/>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Northern Territory Legal Aid Commission response"/>
      </w:tblPr>
      <w:tblGrid>
        <w:gridCol w:w="8448"/>
      </w:tblGrid>
      <w:tr w:rsidR="0094008A" w14:paraId="4EFAF102" w14:textId="77777777" w:rsidTr="00A84310">
        <w:trPr>
          <w:tblHeader/>
        </w:trPr>
        <w:tc>
          <w:tcPr>
            <w:tcW w:w="8448" w:type="dxa"/>
          </w:tcPr>
          <w:p w14:paraId="674EA41E" w14:textId="7FD67A12" w:rsidR="0094008A" w:rsidRPr="00270B09" w:rsidRDefault="0094008A" w:rsidP="0094008A">
            <w:pPr>
              <w:rPr>
                <w:b/>
              </w:rPr>
            </w:pPr>
            <w:r>
              <w:rPr>
                <w:b/>
              </w:rPr>
              <w:t>The Northern Territory Legal Aid Commission</w:t>
            </w:r>
            <w:r w:rsidRPr="007E490A">
              <w:rPr>
                <w:b/>
              </w:rPr>
              <w:t xml:space="preserve"> </w:t>
            </w:r>
            <w:r>
              <w:rPr>
                <w:b/>
              </w:rPr>
              <w:t>has commented:</w:t>
            </w:r>
          </w:p>
        </w:tc>
      </w:tr>
      <w:tr w:rsidR="0094008A" w14:paraId="45C1B184" w14:textId="77777777" w:rsidTr="00A84310">
        <w:tc>
          <w:tcPr>
            <w:tcW w:w="8448" w:type="dxa"/>
          </w:tcPr>
          <w:p w14:paraId="3F47F80F" w14:textId="77777777" w:rsidR="0094008A" w:rsidRDefault="0094008A" w:rsidP="0094008A">
            <w:pPr>
              <w:keepNext/>
            </w:pPr>
            <w:r>
              <w:t>On the information available to date, I believe that:</w:t>
            </w:r>
          </w:p>
          <w:p w14:paraId="05B8C302" w14:textId="088CAF51" w:rsidR="0094008A" w:rsidRDefault="0094008A" w:rsidP="0094008A">
            <w:pPr>
              <w:pStyle w:val="ListBullet"/>
              <w:keepNext/>
            </w:pPr>
            <w:r>
              <w:t>Full time employees who did not have an approved leave application for one or more of the three days were either present at the work place or not expected to work, however due to a communication error, those staff who were not expected to work were not requested to apply for leave on that day.</w:t>
            </w:r>
          </w:p>
          <w:p w14:paraId="40C16CF5" w14:textId="6272C4F0" w:rsidR="0094008A" w:rsidRDefault="0094008A" w:rsidP="0094008A">
            <w:pPr>
              <w:pStyle w:val="ListBullet"/>
              <w:keepNext/>
            </w:pPr>
            <w:r>
              <w:t>Part time employees who did not have approved leave for one or more of the three days were either present at the work place or not expected to work on those days due to being part time employees.</w:t>
            </w:r>
          </w:p>
          <w:p w14:paraId="385F941B" w14:textId="036B5560" w:rsidR="0094008A" w:rsidRDefault="0094008A" w:rsidP="0094008A">
            <w:pPr>
              <w:keepNext/>
            </w:pPr>
            <w:r>
              <w:t>When we have completed a full review of our records, we will retrospectively amend the leave entered for the period in question. We also have reviewed and strengthened our procedures in relation to communicating leave needs during this period and believe that these measures will be sufficient to address the issues raised in the future.</w:t>
            </w:r>
          </w:p>
        </w:tc>
      </w:tr>
    </w:tbl>
    <w:p w14:paraId="365ABBB2" w14:textId="7D65AC74" w:rsidR="0094008A" w:rsidRDefault="0094008A" w:rsidP="009F38E9"/>
    <w:p w14:paraId="4BDD65A7" w14:textId="77777777" w:rsidR="00E00AA4" w:rsidRDefault="00E00AA4" w:rsidP="00E00AA4">
      <w:pPr>
        <w:pStyle w:val="Heading1-continued"/>
      </w:pPr>
      <w:r>
        <w:t>Selected Entities – Close-down leave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Office of the Independent Commissioner Against Corruption response"/>
      </w:tblPr>
      <w:tblGrid>
        <w:gridCol w:w="8448"/>
      </w:tblGrid>
      <w:tr w:rsidR="009F38E9" w14:paraId="5B53F1C9" w14:textId="77777777" w:rsidTr="009F38E9">
        <w:trPr>
          <w:cantSplit/>
          <w:tblHeader/>
        </w:trPr>
        <w:tc>
          <w:tcPr>
            <w:tcW w:w="8448" w:type="dxa"/>
          </w:tcPr>
          <w:p w14:paraId="45F1764B" w14:textId="77777777" w:rsidR="009F38E9" w:rsidRPr="00270B09" w:rsidRDefault="009F38E9" w:rsidP="00D805FE">
            <w:pPr>
              <w:rPr>
                <w:b/>
              </w:rPr>
            </w:pPr>
            <w:r>
              <w:rPr>
                <w:b/>
              </w:rPr>
              <w:t xml:space="preserve">The </w:t>
            </w:r>
            <w:r w:rsidRPr="007E490A">
              <w:rPr>
                <w:b/>
              </w:rPr>
              <w:t>Office of the Independent Commissioner Against Corruption</w:t>
            </w:r>
            <w:r>
              <w:rPr>
                <w:b/>
              </w:rPr>
              <w:t xml:space="preserve"> commented:</w:t>
            </w:r>
          </w:p>
        </w:tc>
      </w:tr>
      <w:tr w:rsidR="009F38E9" w14:paraId="4B72827D" w14:textId="77777777" w:rsidTr="009F38E9">
        <w:trPr>
          <w:cantSplit/>
        </w:trPr>
        <w:tc>
          <w:tcPr>
            <w:tcW w:w="8448" w:type="dxa"/>
          </w:tcPr>
          <w:p w14:paraId="11963B6D" w14:textId="3F97D523" w:rsidR="009F38E9" w:rsidRDefault="00A41DDB" w:rsidP="00A41DDB">
            <w:r w:rsidRPr="00A41DDB">
              <w:t>The OICAC responded to the findings raised regarding the examination of leave taken by its staff during the close-down period. The OICAC acknowledges the importance of managing excess leave and is conscious of the risks associated with excessive leave entitlements. Staff members who did not take leave were present at work and performing their duties as the OICAC did not close over the relevant period. To provide continuity in its operations, the OICAC will continue this practice on an ongoing basis</w:t>
            </w:r>
            <w:r>
              <w:t>.</w:t>
            </w:r>
          </w:p>
        </w:tc>
      </w:tr>
    </w:tbl>
    <w:p w14:paraId="0304D09A" w14:textId="77777777" w:rsidR="009F38E9" w:rsidRDefault="009F38E9" w:rsidP="009F38E9"/>
    <w:p w14:paraId="2B411D7A" w14:textId="77777777" w:rsidR="00FD1498" w:rsidRPr="000D515D" w:rsidRDefault="00FD1498" w:rsidP="00FD1498">
      <w:pPr>
        <w:pStyle w:val="Heading1"/>
      </w:pPr>
      <w:bookmarkStart w:id="45" w:name="_Ref79990791"/>
      <w:r>
        <w:t>Selected Entities</w:t>
      </w:r>
      <w:bookmarkEnd w:id="43"/>
      <w:r>
        <w:t xml:space="preserve"> – </w:t>
      </w:r>
      <w:bookmarkStart w:id="46" w:name="Fuel_card"/>
      <w:r>
        <w:t>Fuel Card Purchases</w:t>
      </w:r>
      <w:bookmarkEnd w:id="44"/>
      <w:bookmarkEnd w:id="46"/>
      <w:bookmarkEnd w:id="45"/>
    </w:p>
    <w:p w14:paraId="7C149C8C" w14:textId="77777777" w:rsidR="00FD1498" w:rsidRDefault="00FD1498" w:rsidP="00FD1498">
      <w:pPr>
        <w:pStyle w:val="Heading3"/>
      </w:pPr>
      <w:r>
        <w:t>Background</w:t>
      </w:r>
    </w:p>
    <w:p w14:paraId="3DC68EC9" w14:textId="77777777" w:rsidR="00FD1498" w:rsidRPr="00723F1C" w:rsidRDefault="00FD1498" w:rsidP="00FD1498">
      <w:r w:rsidRPr="00723F1C">
        <w:t xml:space="preserve">The objective of this analysis was to examine transactions using fuel cards for fuel purchases that were undertaken by the </w:t>
      </w:r>
      <w:r>
        <w:t xml:space="preserve">selected entities </w:t>
      </w:r>
      <w:r w:rsidRPr="00723F1C">
        <w:t>between 1 July 20</w:t>
      </w:r>
      <w:r>
        <w:t>20</w:t>
      </w:r>
      <w:r w:rsidRPr="00723F1C">
        <w:t xml:space="preserve"> and 28 February </w:t>
      </w:r>
      <w:r>
        <w:t>2021. This analysis is undertaken</w:t>
      </w:r>
      <w:r w:rsidRPr="00723F1C">
        <w:t xml:space="preserve"> to identify any transactions that displayed unusual characteristics or characteristics that might suggest the existence of fraud, and to provide information a</w:t>
      </w:r>
      <w:r>
        <w:t>bout those transactions to the a</w:t>
      </w:r>
      <w:r w:rsidRPr="00723F1C">
        <w:t xml:space="preserve">gencies’ management for review and follow-up. Fuel cards issued to officers of the </w:t>
      </w:r>
      <w:r>
        <w:t>a</w:t>
      </w:r>
      <w:r w:rsidRPr="00723F1C">
        <w:t>gencies and pool vehicles were included in the analysis.</w:t>
      </w:r>
    </w:p>
    <w:p w14:paraId="05608C77" w14:textId="77777777" w:rsidR="00FD1498" w:rsidRDefault="00FD1498" w:rsidP="00FD1498">
      <w:pPr>
        <w:pStyle w:val="Heading3"/>
      </w:pPr>
      <w:r>
        <w:t>Scope and Objectives</w:t>
      </w:r>
    </w:p>
    <w:p w14:paraId="63F963BB" w14:textId="77777777" w:rsidR="00FD1498" w:rsidRPr="00B750E5" w:rsidRDefault="00FD1498" w:rsidP="00FD1498">
      <w:r w:rsidRPr="00723F1C">
        <w:t xml:space="preserve">The objective of this analysis was to examine transactions using fuel cards for fuel purchases that were undertaken by the </w:t>
      </w:r>
      <w:r>
        <w:t xml:space="preserve">selected entities </w:t>
      </w:r>
      <w:r w:rsidRPr="00723F1C">
        <w:t>between 1 July 20</w:t>
      </w:r>
      <w:r>
        <w:t>20</w:t>
      </w:r>
      <w:r w:rsidRPr="00723F1C">
        <w:t xml:space="preserve"> and 28 February </w:t>
      </w:r>
      <w:r>
        <w:t>2021.</w:t>
      </w:r>
    </w:p>
    <w:p w14:paraId="7173E71B" w14:textId="06CF6FBC" w:rsidR="00FD1498" w:rsidRDefault="00FD1498" w:rsidP="00FD1498">
      <w:r>
        <w:t>The analysis was perfo</w:t>
      </w:r>
      <w:r w:rsidR="008F62CD">
        <w:t>rmed for each of the following a</w:t>
      </w:r>
      <w:r>
        <w:t>gencies during the six months covered by this report:</w:t>
      </w:r>
    </w:p>
    <w:p w14:paraId="0675DF6A" w14:textId="77777777" w:rsidR="00FD1498" w:rsidRDefault="00FD1498" w:rsidP="00FD1498">
      <w:pPr>
        <w:pStyle w:val="ListBullet"/>
      </w:pPr>
      <w:r>
        <w:t>Department of Environment, Parks and Water Security;</w:t>
      </w:r>
    </w:p>
    <w:p w14:paraId="7308887F" w14:textId="77777777" w:rsidR="00FD1498" w:rsidRDefault="00FD1498" w:rsidP="00FD1498">
      <w:pPr>
        <w:pStyle w:val="ListBullet"/>
      </w:pPr>
      <w:r>
        <w:t>Former Northern Territory Government entity;</w:t>
      </w:r>
    </w:p>
    <w:p w14:paraId="296969AC" w14:textId="77777777" w:rsidR="00FD1498" w:rsidRDefault="00FD1498" w:rsidP="00FD1498">
      <w:pPr>
        <w:pStyle w:val="ListBullet"/>
      </w:pPr>
      <w:r>
        <w:t>Northern Territory Legal Aid Commission;</w:t>
      </w:r>
    </w:p>
    <w:p w14:paraId="4C07B6F0" w14:textId="77777777" w:rsidR="00FD1498" w:rsidRDefault="00FD1498" w:rsidP="00FD1498">
      <w:pPr>
        <w:pStyle w:val="ListBullet"/>
      </w:pPr>
      <w:r>
        <w:t>Power Generation Corporation; and</w:t>
      </w:r>
    </w:p>
    <w:p w14:paraId="5F01EBA7" w14:textId="77777777" w:rsidR="00FD1498" w:rsidRDefault="00FD1498" w:rsidP="00FD1498">
      <w:pPr>
        <w:pStyle w:val="ListBullet"/>
      </w:pPr>
      <w:r>
        <w:t>Territory Wildlife Parks.</w:t>
      </w:r>
    </w:p>
    <w:p w14:paraId="67BA5708" w14:textId="77777777" w:rsidR="00FD1498" w:rsidRDefault="00FD1498" w:rsidP="00FD1498">
      <w:r>
        <w:t>NT Fleet states that, when using a fuel card, the driver will:</w:t>
      </w:r>
    </w:p>
    <w:p w14:paraId="72A9C74A" w14:textId="77777777" w:rsidR="00FD1498" w:rsidRDefault="00FD1498" w:rsidP="00FD1498">
      <w:pPr>
        <w:pStyle w:val="ListBullet"/>
      </w:pPr>
      <w:r>
        <w:t>fill up using the fuel type shown on the card;</w:t>
      </w:r>
    </w:p>
    <w:p w14:paraId="764F459C" w14:textId="77777777" w:rsidR="00FD1498" w:rsidRDefault="00FD1498" w:rsidP="00FD1498">
      <w:pPr>
        <w:pStyle w:val="ListBullet"/>
      </w:pPr>
      <w:r>
        <w:t>provide the odometer reading when paying; and</w:t>
      </w:r>
    </w:p>
    <w:p w14:paraId="5A2E68E2" w14:textId="77777777" w:rsidR="00FD1498" w:rsidRDefault="00FD1498" w:rsidP="00FD1498">
      <w:pPr>
        <w:pStyle w:val="ListBullet"/>
      </w:pPr>
      <w:r>
        <w:t>use the PIN provided with the card.</w:t>
      </w:r>
    </w:p>
    <w:p w14:paraId="417A7FA4" w14:textId="77777777" w:rsidR="00FD1498" w:rsidRDefault="00FD1498" w:rsidP="00FD1498">
      <w:r>
        <w:t>A driver must not use a government fuel card to buy fuel for:</w:t>
      </w:r>
    </w:p>
    <w:p w14:paraId="137F92BE" w14:textId="77777777" w:rsidR="00FD1498" w:rsidRDefault="00FD1498" w:rsidP="00FD1498">
      <w:pPr>
        <w:pStyle w:val="ListBullet"/>
      </w:pPr>
      <w:r>
        <w:t>unauthorised vehicles;</w:t>
      </w:r>
    </w:p>
    <w:p w14:paraId="202D4689" w14:textId="77777777" w:rsidR="00FD1498" w:rsidRDefault="00FD1498" w:rsidP="00FD1498">
      <w:pPr>
        <w:pStyle w:val="ListBullet"/>
      </w:pPr>
      <w:r>
        <w:t>use in equipment (such as lawn mowers, concrete mixers and chainsaws) other than the specific vehicle to which the fuel card was assigned; or</w:t>
      </w:r>
    </w:p>
    <w:p w14:paraId="03F7C280" w14:textId="77777777" w:rsidR="00FD1498" w:rsidRDefault="00FD1498" w:rsidP="00FD1498">
      <w:pPr>
        <w:pStyle w:val="ListBullet"/>
      </w:pPr>
      <w:r>
        <w:t>premium fuel, unless the fuel card says you can.</w:t>
      </w:r>
    </w:p>
    <w:p w14:paraId="52ED5BFA" w14:textId="77777777" w:rsidR="00FD1498" w:rsidRDefault="00FD1498" w:rsidP="00FD1498">
      <w:r>
        <w:t>The NT Fleet Driver Handbook (page 12) states:</w:t>
      </w:r>
    </w:p>
    <w:p w14:paraId="76EE577D" w14:textId="77777777" w:rsidR="00FD1498" w:rsidRDefault="00FD1498" w:rsidP="00FD1498">
      <w:pPr>
        <w:pStyle w:val="Quote"/>
      </w:pPr>
      <w:r>
        <w:t xml:space="preserve">“The correct odometer reading, to the nearest kilometre, must be provided to the service station attendant. Accurate odometer readings must also be recorded on manual Fuel Card Dockets, Vehicle Maintenance Orders and all other fuel records.” </w:t>
      </w:r>
    </w:p>
    <w:p w14:paraId="309F562A" w14:textId="77777777" w:rsidR="00FD1498" w:rsidRDefault="00FD1498" w:rsidP="00FD1498">
      <w:pPr>
        <w:pStyle w:val="Quote"/>
      </w:pPr>
      <w:r>
        <w:t>“Fuel for use in ancillary equipment such as lawn mowers, concrete mixers and chainsaws, etc., is not to be purchased using a fuel card specifically issued to a registered vehicle”.</w:t>
      </w:r>
    </w:p>
    <w:p w14:paraId="6BB9578E" w14:textId="65AA1271" w:rsidR="00FD1498" w:rsidRPr="000D515D" w:rsidRDefault="007336DE" w:rsidP="00FD1498">
      <w:pPr>
        <w:pStyle w:val="Heading1-continued"/>
      </w:pPr>
      <w:r>
        <w:t xml:space="preserve">Selected Entities – Fuel Card Purchases </w:t>
      </w:r>
      <w:r w:rsidR="00FD1498">
        <w:t>cont…</w:t>
      </w:r>
    </w:p>
    <w:p w14:paraId="4060DBAC" w14:textId="77777777" w:rsidR="00FD1498" w:rsidRDefault="00FD1498" w:rsidP="00FD1498">
      <w:pPr>
        <w:pStyle w:val="Heading3"/>
      </w:pPr>
      <w:r>
        <w:t>Overall Assessment</w:t>
      </w:r>
    </w:p>
    <w:p w14:paraId="5ED81D57" w14:textId="77777777" w:rsidR="00FD1498" w:rsidRDefault="00FD1498" w:rsidP="00FD1498">
      <w:r>
        <w:t>This analysis did not constitute an audit.</w:t>
      </w:r>
    </w:p>
    <w:p w14:paraId="23EA73DD" w14:textId="77777777" w:rsidR="00FD1498" w:rsidRDefault="00FD1498" w:rsidP="00FD1498">
      <w:r>
        <w:t>My review of the data related to fuel card purchases highlights the necessity for management to be vigilant at all times. Simply reviewing the data may not necessarily identify fraudulent or incorrect transactions. There are legitimate reasons for a driver to undertake two successive purchases of fuel within a few minutes, however, opportunities do exist for inappropriate purchases to be made and charged to the fuel cards.</w:t>
      </w:r>
    </w:p>
    <w:p w14:paraId="746BB648" w14:textId="77777777" w:rsidR="00FD1498" w:rsidRPr="00041582" w:rsidRDefault="00FD1498" w:rsidP="00FD1498">
      <w:pPr>
        <w:pStyle w:val="Heading3"/>
      </w:pPr>
      <w:r>
        <w:t>Observations</w:t>
      </w:r>
    </w:p>
    <w:p w14:paraId="633CCF8E" w14:textId="77777777" w:rsidR="00FD1498" w:rsidRPr="00041582" w:rsidRDefault="00FD1498" w:rsidP="00FD1498">
      <w:r w:rsidRPr="00041582">
        <w:t xml:space="preserve">The following table outlines the </w:t>
      </w:r>
      <w:r>
        <w:t>number of fuel cards</w:t>
      </w:r>
      <w:r w:rsidRPr="00041582">
        <w:t xml:space="preserve"> identified as being in use at some time during the period </w:t>
      </w:r>
      <w:r>
        <w:t>1 July 2020</w:t>
      </w:r>
      <w:r w:rsidRPr="00041582">
        <w:t xml:space="preserve"> and </w:t>
      </w:r>
      <w:r>
        <w:t>28 February</w:t>
      </w:r>
      <w:r w:rsidRPr="00041582">
        <w:t xml:space="preserve"> </w:t>
      </w:r>
      <w:r>
        <w:t>2021</w:t>
      </w:r>
      <w:r w:rsidRPr="00041582">
        <w:t>.</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uel cards by agency"/>
        <w:tblDescription w:val="Entity Fuel Cards&#10;Department of Environment, Parks and Water Security 315&#10;Former Northern Territory Government entity 1&#10;Northern Territory Legal Aid Commission 13&#10;Power Generation Corporation 75&#10;Territory Wildlife Parks 29&#10;&#10;"/>
      </w:tblPr>
      <w:tblGrid>
        <w:gridCol w:w="6237"/>
        <w:gridCol w:w="2410"/>
      </w:tblGrid>
      <w:tr w:rsidR="00FD1498" w:rsidRPr="00723F1C" w14:paraId="6C0DF247" w14:textId="77777777" w:rsidTr="000675F7">
        <w:trPr>
          <w:tblHeader/>
        </w:trPr>
        <w:tc>
          <w:tcPr>
            <w:tcW w:w="6237" w:type="dxa"/>
            <w:tcBorders>
              <w:top w:val="single" w:sz="4" w:space="0" w:color="auto"/>
              <w:bottom w:val="single" w:sz="4" w:space="0" w:color="auto"/>
            </w:tcBorders>
            <w:shd w:val="clear" w:color="auto" w:fill="E6E6E6"/>
          </w:tcPr>
          <w:p w14:paraId="2EF36DE7" w14:textId="77777777" w:rsidR="00FD1498" w:rsidRPr="00723F1C" w:rsidRDefault="00FD1498" w:rsidP="000675F7">
            <w:pPr>
              <w:jc w:val="center"/>
              <w:rPr>
                <w:b/>
              </w:rPr>
            </w:pPr>
            <w:r w:rsidRPr="00723F1C">
              <w:rPr>
                <w:b/>
              </w:rPr>
              <w:t>Entity</w:t>
            </w:r>
          </w:p>
        </w:tc>
        <w:tc>
          <w:tcPr>
            <w:tcW w:w="2410" w:type="dxa"/>
            <w:tcBorders>
              <w:top w:val="single" w:sz="4" w:space="0" w:color="auto"/>
              <w:bottom w:val="single" w:sz="4" w:space="0" w:color="auto"/>
            </w:tcBorders>
            <w:shd w:val="clear" w:color="auto" w:fill="E6E6E6"/>
          </w:tcPr>
          <w:p w14:paraId="4BCBFF4C" w14:textId="77777777" w:rsidR="00FD1498" w:rsidRPr="00723F1C" w:rsidRDefault="00FD1498" w:rsidP="000675F7">
            <w:pPr>
              <w:jc w:val="center"/>
              <w:rPr>
                <w:b/>
              </w:rPr>
            </w:pPr>
            <w:r w:rsidRPr="00723F1C">
              <w:rPr>
                <w:b/>
              </w:rPr>
              <w:t>Fuel Cards</w:t>
            </w:r>
          </w:p>
        </w:tc>
      </w:tr>
      <w:tr w:rsidR="00FD1498" w:rsidRPr="00041582" w14:paraId="3D88062E" w14:textId="77777777" w:rsidTr="000675F7">
        <w:tc>
          <w:tcPr>
            <w:tcW w:w="6237" w:type="dxa"/>
            <w:tcBorders>
              <w:top w:val="single" w:sz="4" w:space="0" w:color="auto"/>
            </w:tcBorders>
          </w:tcPr>
          <w:p w14:paraId="6E148EAB" w14:textId="77777777" w:rsidR="00FD1498" w:rsidRPr="00041582" w:rsidRDefault="00FD1498" w:rsidP="000675F7">
            <w:r w:rsidRPr="00507BD2">
              <w:t>Department of Environment, Parks and Water Security</w:t>
            </w:r>
          </w:p>
        </w:tc>
        <w:tc>
          <w:tcPr>
            <w:tcW w:w="2410" w:type="dxa"/>
            <w:tcBorders>
              <w:top w:val="single" w:sz="4" w:space="0" w:color="auto"/>
            </w:tcBorders>
          </w:tcPr>
          <w:p w14:paraId="25B22026" w14:textId="77777777" w:rsidR="00FD1498" w:rsidRPr="00723F1C" w:rsidRDefault="00FD1498" w:rsidP="000675F7">
            <w:pPr>
              <w:jc w:val="center"/>
            </w:pPr>
            <w:r>
              <w:t>315</w:t>
            </w:r>
          </w:p>
        </w:tc>
      </w:tr>
      <w:tr w:rsidR="00FD1498" w:rsidRPr="00041582" w14:paraId="2FE15871" w14:textId="77777777" w:rsidTr="000675F7">
        <w:tc>
          <w:tcPr>
            <w:tcW w:w="6237" w:type="dxa"/>
          </w:tcPr>
          <w:p w14:paraId="2661EB47" w14:textId="77777777" w:rsidR="00FD1498" w:rsidRPr="00507BD2" w:rsidRDefault="00FD1498" w:rsidP="000675F7">
            <w:r>
              <w:t>Former Northern Territory Government entity</w:t>
            </w:r>
          </w:p>
        </w:tc>
        <w:tc>
          <w:tcPr>
            <w:tcW w:w="2410" w:type="dxa"/>
          </w:tcPr>
          <w:p w14:paraId="158BD119" w14:textId="77777777" w:rsidR="00FD1498" w:rsidRPr="00723F1C" w:rsidRDefault="00FD1498" w:rsidP="000675F7">
            <w:pPr>
              <w:jc w:val="center"/>
            </w:pPr>
            <w:r>
              <w:t>1</w:t>
            </w:r>
          </w:p>
        </w:tc>
      </w:tr>
      <w:tr w:rsidR="00FD1498" w:rsidRPr="00041582" w14:paraId="15C70E48" w14:textId="77777777" w:rsidTr="000675F7">
        <w:tc>
          <w:tcPr>
            <w:tcW w:w="6237" w:type="dxa"/>
          </w:tcPr>
          <w:p w14:paraId="730AAEE7" w14:textId="77777777" w:rsidR="00FD1498" w:rsidRPr="00041582" w:rsidRDefault="00FD1498" w:rsidP="000675F7">
            <w:r w:rsidRPr="00507BD2">
              <w:t>Northern Territory Legal Aid Commission</w:t>
            </w:r>
          </w:p>
        </w:tc>
        <w:tc>
          <w:tcPr>
            <w:tcW w:w="2410" w:type="dxa"/>
          </w:tcPr>
          <w:p w14:paraId="7BE4DB89" w14:textId="77777777" w:rsidR="00FD1498" w:rsidRPr="00723F1C" w:rsidRDefault="00FD1498" w:rsidP="000675F7">
            <w:pPr>
              <w:jc w:val="center"/>
            </w:pPr>
            <w:r>
              <w:t>13</w:t>
            </w:r>
          </w:p>
        </w:tc>
      </w:tr>
      <w:tr w:rsidR="00FD1498" w:rsidRPr="00041582" w14:paraId="57F048D5" w14:textId="77777777" w:rsidTr="000675F7">
        <w:tc>
          <w:tcPr>
            <w:tcW w:w="6237" w:type="dxa"/>
          </w:tcPr>
          <w:p w14:paraId="107BAF35" w14:textId="77777777" w:rsidR="00FD1498" w:rsidRPr="00041582" w:rsidRDefault="00FD1498" w:rsidP="000675F7">
            <w:r w:rsidRPr="00507BD2">
              <w:t>Power Generation Corporation</w:t>
            </w:r>
          </w:p>
        </w:tc>
        <w:tc>
          <w:tcPr>
            <w:tcW w:w="2410" w:type="dxa"/>
          </w:tcPr>
          <w:p w14:paraId="73FD4FEE" w14:textId="77777777" w:rsidR="00FD1498" w:rsidRPr="00723F1C" w:rsidRDefault="00FD1498" w:rsidP="000675F7">
            <w:pPr>
              <w:jc w:val="center"/>
            </w:pPr>
            <w:r>
              <w:t>75</w:t>
            </w:r>
          </w:p>
        </w:tc>
      </w:tr>
      <w:tr w:rsidR="00FD1498" w:rsidRPr="00041582" w14:paraId="5B913171" w14:textId="77777777" w:rsidTr="000675F7">
        <w:tc>
          <w:tcPr>
            <w:tcW w:w="6237" w:type="dxa"/>
            <w:tcBorders>
              <w:bottom w:val="single" w:sz="4" w:space="0" w:color="auto"/>
            </w:tcBorders>
          </w:tcPr>
          <w:p w14:paraId="3826F875" w14:textId="77777777" w:rsidR="00FD1498" w:rsidRPr="00041582" w:rsidRDefault="00FD1498" w:rsidP="000675F7">
            <w:r w:rsidRPr="00507BD2">
              <w:t>Territory Wildlife Parks</w:t>
            </w:r>
          </w:p>
        </w:tc>
        <w:tc>
          <w:tcPr>
            <w:tcW w:w="2410" w:type="dxa"/>
            <w:tcBorders>
              <w:bottom w:val="single" w:sz="4" w:space="0" w:color="auto"/>
            </w:tcBorders>
          </w:tcPr>
          <w:p w14:paraId="4A167B9E" w14:textId="77777777" w:rsidR="00FD1498" w:rsidRPr="00723F1C" w:rsidRDefault="00FD1498" w:rsidP="000675F7">
            <w:pPr>
              <w:jc w:val="center"/>
            </w:pPr>
            <w:r>
              <w:t>29</w:t>
            </w:r>
          </w:p>
        </w:tc>
      </w:tr>
    </w:tbl>
    <w:p w14:paraId="6C229C1B" w14:textId="77777777" w:rsidR="00FD1498" w:rsidRPr="00F31984" w:rsidRDefault="00FD1498" w:rsidP="00FD1498">
      <w:pPr>
        <w:pStyle w:val="Heading4"/>
      </w:pPr>
      <w:r w:rsidRPr="00F31984">
        <w:t xml:space="preserve">Acceptable error rate </w:t>
      </w:r>
    </w:p>
    <w:p w14:paraId="06CBB2C5" w14:textId="77777777" w:rsidR="00FD1498" w:rsidRDefault="00FD1498" w:rsidP="00FD1498">
      <w:r w:rsidRPr="00F31984">
        <w:t>In analysing the transaction errors</w:t>
      </w:r>
      <w:r>
        <w:t>,</w:t>
      </w:r>
      <w:r w:rsidRPr="00F31984">
        <w:t xml:space="preserve"> I consider an error rate of less than 5 per cent to be reasonable. I also consider an error rate between 6 per cent and 25 per cent to be reasonable when taking into account the probability of some console operator error occurring, however</w:t>
      </w:r>
      <w:r>
        <w:t>, where identified,</w:t>
      </w:r>
      <w:r w:rsidRPr="00F31984">
        <w:t xml:space="preserve"> I recommend</w:t>
      </w:r>
      <w:r>
        <w:t>ed</w:t>
      </w:r>
      <w:r w:rsidRPr="00F31984">
        <w:t xml:space="preserve"> that the users of the fuel cards for these vehicles be reminded of the need to provide accurate odometer readings to the fuel supplier.</w:t>
      </w:r>
    </w:p>
    <w:p w14:paraId="4F95E5E4" w14:textId="53A6BBDD" w:rsidR="00FD1498" w:rsidRPr="00F31984" w:rsidRDefault="00FD1498" w:rsidP="00FD1498">
      <w:r w:rsidRPr="00F31984">
        <w:t xml:space="preserve">There were a significant number of anomalous transactions recorded by the </w:t>
      </w:r>
      <w:r w:rsidR="008F62CD">
        <w:t>a</w:t>
      </w:r>
      <w:r w:rsidRPr="00F31984">
        <w:t>gencies as outlined below:</w:t>
      </w:r>
    </w:p>
    <w:tbl>
      <w:tblPr>
        <w:tblStyle w:val="TableGrid"/>
        <w:tblW w:w="8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nomalous transactions by agency"/>
        <w:tblDescription w:val="Agency Anomalous Transactions Population % of errors &#10;Department of Environment, Parks and Water Security 400 2,692 15%&#10;Northern Territory Legal Aid Commission 42 196 21%&#10;Power Generation Corporation 138 753 18%&#10;Territory Wildlife Parks 78 211 37%&#10;"/>
      </w:tblPr>
      <w:tblGrid>
        <w:gridCol w:w="4644"/>
        <w:gridCol w:w="1452"/>
        <w:gridCol w:w="1311"/>
        <w:gridCol w:w="1311"/>
      </w:tblGrid>
      <w:tr w:rsidR="00FD1498" w:rsidRPr="00F31984" w14:paraId="7988E85F" w14:textId="77777777" w:rsidTr="000675F7">
        <w:trPr>
          <w:tblHeader/>
        </w:trPr>
        <w:tc>
          <w:tcPr>
            <w:tcW w:w="4644" w:type="dxa"/>
            <w:tcBorders>
              <w:top w:val="single" w:sz="4" w:space="0" w:color="auto"/>
            </w:tcBorders>
            <w:shd w:val="clear" w:color="auto" w:fill="E6E6E6"/>
            <w:vAlign w:val="bottom"/>
          </w:tcPr>
          <w:p w14:paraId="44A129C1" w14:textId="77777777" w:rsidR="00FD1498" w:rsidRPr="00057E65" w:rsidRDefault="00FD1498" w:rsidP="000675F7">
            <w:pPr>
              <w:jc w:val="center"/>
              <w:rPr>
                <w:b/>
              </w:rPr>
            </w:pPr>
            <w:r w:rsidRPr="00057E65">
              <w:rPr>
                <w:b/>
              </w:rPr>
              <w:t>Agency</w:t>
            </w:r>
          </w:p>
        </w:tc>
        <w:tc>
          <w:tcPr>
            <w:tcW w:w="1452" w:type="dxa"/>
            <w:tcBorders>
              <w:top w:val="single" w:sz="4" w:space="0" w:color="auto"/>
            </w:tcBorders>
            <w:shd w:val="clear" w:color="auto" w:fill="E6E6E6"/>
            <w:vAlign w:val="bottom"/>
          </w:tcPr>
          <w:p w14:paraId="75CBA75A" w14:textId="77777777" w:rsidR="00FD1498" w:rsidRPr="00057E65" w:rsidRDefault="00FD1498" w:rsidP="000675F7">
            <w:pPr>
              <w:jc w:val="center"/>
              <w:rPr>
                <w:b/>
              </w:rPr>
            </w:pPr>
            <w:r>
              <w:rPr>
                <w:b/>
              </w:rPr>
              <w:t xml:space="preserve">Anomalous </w:t>
            </w:r>
            <w:r w:rsidRPr="00057E65">
              <w:rPr>
                <w:b/>
              </w:rPr>
              <w:t>Transaction</w:t>
            </w:r>
            <w:r>
              <w:rPr>
                <w:b/>
              </w:rPr>
              <w:t>s</w:t>
            </w:r>
          </w:p>
        </w:tc>
        <w:tc>
          <w:tcPr>
            <w:tcW w:w="1311" w:type="dxa"/>
            <w:tcBorders>
              <w:top w:val="single" w:sz="4" w:space="0" w:color="auto"/>
            </w:tcBorders>
            <w:shd w:val="clear" w:color="auto" w:fill="E6E6E6"/>
            <w:vAlign w:val="bottom"/>
          </w:tcPr>
          <w:p w14:paraId="20E02A86" w14:textId="77777777" w:rsidR="00FD1498" w:rsidRPr="00057E65" w:rsidRDefault="00FD1498" w:rsidP="000675F7">
            <w:pPr>
              <w:jc w:val="center"/>
              <w:rPr>
                <w:b/>
              </w:rPr>
            </w:pPr>
            <w:r w:rsidRPr="00057E65">
              <w:rPr>
                <w:b/>
              </w:rPr>
              <w:t>Population</w:t>
            </w:r>
          </w:p>
        </w:tc>
        <w:tc>
          <w:tcPr>
            <w:tcW w:w="1311" w:type="dxa"/>
            <w:tcBorders>
              <w:top w:val="single" w:sz="4" w:space="0" w:color="auto"/>
            </w:tcBorders>
            <w:shd w:val="clear" w:color="auto" w:fill="E6E6E6"/>
            <w:vAlign w:val="bottom"/>
          </w:tcPr>
          <w:p w14:paraId="52CC0FD9" w14:textId="77777777" w:rsidR="00FD1498" w:rsidRPr="00057E65" w:rsidRDefault="00FD1498" w:rsidP="000675F7">
            <w:pPr>
              <w:jc w:val="center"/>
              <w:rPr>
                <w:b/>
              </w:rPr>
            </w:pPr>
            <w:r w:rsidRPr="00057E65">
              <w:rPr>
                <w:b/>
              </w:rPr>
              <w:t xml:space="preserve">% of errors </w:t>
            </w:r>
          </w:p>
        </w:tc>
      </w:tr>
      <w:tr w:rsidR="00FD1498" w:rsidRPr="00F31984" w14:paraId="3E3DE218" w14:textId="77777777" w:rsidTr="000675F7">
        <w:tc>
          <w:tcPr>
            <w:tcW w:w="4644" w:type="dxa"/>
          </w:tcPr>
          <w:p w14:paraId="14477DF9" w14:textId="77777777" w:rsidR="00FD1498" w:rsidRPr="00041582" w:rsidRDefault="00FD1498" w:rsidP="000675F7">
            <w:r w:rsidRPr="00507BD2">
              <w:t>Department of Environment, Parks and Water Security</w:t>
            </w:r>
          </w:p>
        </w:tc>
        <w:tc>
          <w:tcPr>
            <w:tcW w:w="1452" w:type="dxa"/>
            <w:vAlign w:val="bottom"/>
          </w:tcPr>
          <w:p w14:paraId="15B87DDF" w14:textId="77777777" w:rsidR="00FD1498" w:rsidRPr="00F31984" w:rsidRDefault="00FD1498" w:rsidP="000675F7">
            <w:pPr>
              <w:tabs>
                <w:tab w:val="clear" w:pos="1378"/>
                <w:tab w:val="decimal" w:pos="840"/>
              </w:tabs>
            </w:pPr>
            <w:r>
              <w:t>400</w:t>
            </w:r>
          </w:p>
        </w:tc>
        <w:tc>
          <w:tcPr>
            <w:tcW w:w="1311" w:type="dxa"/>
            <w:vAlign w:val="bottom"/>
          </w:tcPr>
          <w:p w14:paraId="61C18144" w14:textId="77777777" w:rsidR="00FD1498" w:rsidRPr="00F31984" w:rsidRDefault="00FD1498" w:rsidP="000675F7">
            <w:pPr>
              <w:tabs>
                <w:tab w:val="clear" w:pos="1378"/>
                <w:tab w:val="decimal" w:pos="840"/>
              </w:tabs>
            </w:pPr>
            <w:r>
              <w:t>2,692</w:t>
            </w:r>
          </w:p>
        </w:tc>
        <w:tc>
          <w:tcPr>
            <w:tcW w:w="1311" w:type="dxa"/>
            <w:vAlign w:val="bottom"/>
          </w:tcPr>
          <w:p w14:paraId="578902D1" w14:textId="77777777" w:rsidR="00FD1498" w:rsidRPr="00F31984" w:rsidRDefault="00FD1498" w:rsidP="000675F7">
            <w:pPr>
              <w:tabs>
                <w:tab w:val="clear" w:pos="1378"/>
                <w:tab w:val="decimal" w:pos="840"/>
              </w:tabs>
            </w:pPr>
            <w:r>
              <w:t>15%</w:t>
            </w:r>
          </w:p>
        </w:tc>
      </w:tr>
      <w:tr w:rsidR="00FD1498" w:rsidRPr="00F31984" w14:paraId="050ACD0C" w14:textId="77777777" w:rsidTr="000675F7">
        <w:tc>
          <w:tcPr>
            <w:tcW w:w="4644" w:type="dxa"/>
          </w:tcPr>
          <w:p w14:paraId="67178836" w14:textId="77777777" w:rsidR="00FD1498" w:rsidRPr="00041582" w:rsidRDefault="00FD1498" w:rsidP="000675F7">
            <w:r w:rsidRPr="00507BD2">
              <w:t>Northern Territory Legal Aid Commission</w:t>
            </w:r>
          </w:p>
        </w:tc>
        <w:tc>
          <w:tcPr>
            <w:tcW w:w="1452" w:type="dxa"/>
            <w:vAlign w:val="bottom"/>
          </w:tcPr>
          <w:p w14:paraId="0CD16320" w14:textId="77777777" w:rsidR="00FD1498" w:rsidRPr="00F31984" w:rsidRDefault="00FD1498" w:rsidP="000675F7">
            <w:pPr>
              <w:tabs>
                <w:tab w:val="clear" w:pos="1378"/>
                <w:tab w:val="decimal" w:pos="840"/>
              </w:tabs>
            </w:pPr>
            <w:r>
              <w:t>42</w:t>
            </w:r>
          </w:p>
        </w:tc>
        <w:tc>
          <w:tcPr>
            <w:tcW w:w="1311" w:type="dxa"/>
            <w:vAlign w:val="bottom"/>
          </w:tcPr>
          <w:p w14:paraId="57D47E7E" w14:textId="77777777" w:rsidR="00FD1498" w:rsidRPr="00F31984" w:rsidRDefault="00FD1498" w:rsidP="000675F7">
            <w:pPr>
              <w:tabs>
                <w:tab w:val="clear" w:pos="1378"/>
                <w:tab w:val="decimal" w:pos="840"/>
              </w:tabs>
            </w:pPr>
            <w:r>
              <w:t>196</w:t>
            </w:r>
          </w:p>
        </w:tc>
        <w:tc>
          <w:tcPr>
            <w:tcW w:w="1311" w:type="dxa"/>
            <w:vAlign w:val="bottom"/>
          </w:tcPr>
          <w:p w14:paraId="0E0586A3" w14:textId="77777777" w:rsidR="00FD1498" w:rsidRPr="00F31984" w:rsidRDefault="00FD1498" w:rsidP="000675F7">
            <w:pPr>
              <w:tabs>
                <w:tab w:val="clear" w:pos="1378"/>
                <w:tab w:val="decimal" w:pos="840"/>
              </w:tabs>
            </w:pPr>
            <w:r>
              <w:t>21%</w:t>
            </w:r>
          </w:p>
        </w:tc>
      </w:tr>
      <w:tr w:rsidR="00FD1498" w:rsidRPr="00F31984" w14:paraId="2CB14AAB" w14:textId="77777777" w:rsidTr="000675F7">
        <w:tc>
          <w:tcPr>
            <w:tcW w:w="4644" w:type="dxa"/>
          </w:tcPr>
          <w:p w14:paraId="0A68F0D2" w14:textId="77777777" w:rsidR="00FD1498" w:rsidRPr="00041582" w:rsidRDefault="00FD1498" w:rsidP="000675F7">
            <w:r w:rsidRPr="00507BD2">
              <w:t>Power Generation Corporation</w:t>
            </w:r>
          </w:p>
        </w:tc>
        <w:tc>
          <w:tcPr>
            <w:tcW w:w="1452" w:type="dxa"/>
            <w:vAlign w:val="bottom"/>
          </w:tcPr>
          <w:p w14:paraId="76EB6940" w14:textId="77777777" w:rsidR="00FD1498" w:rsidRPr="00F31984" w:rsidRDefault="00FD1498" w:rsidP="000675F7">
            <w:pPr>
              <w:tabs>
                <w:tab w:val="clear" w:pos="1378"/>
                <w:tab w:val="decimal" w:pos="840"/>
              </w:tabs>
            </w:pPr>
            <w:r>
              <w:t>138</w:t>
            </w:r>
          </w:p>
        </w:tc>
        <w:tc>
          <w:tcPr>
            <w:tcW w:w="1311" w:type="dxa"/>
            <w:vAlign w:val="bottom"/>
          </w:tcPr>
          <w:p w14:paraId="4031A899" w14:textId="77777777" w:rsidR="00FD1498" w:rsidRPr="00F31984" w:rsidRDefault="00FD1498" w:rsidP="000675F7">
            <w:pPr>
              <w:tabs>
                <w:tab w:val="clear" w:pos="1378"/>
                <w:tab w:val="decimal" w:pos="840"/>
              </w:tabs>
            </w:pPr>
            <w:r>
              <w:t>753</w:t>
            </w:r>
          </w:p>
        </w:tc>
        <w:tc>
          <w:tcPr>
            <w:tcW w:w="1311" w:type="dxa"/>
            <w:vAlign w:val="bottom"/>
          </w:tcPr>
          <w:p w14:paraId="4C1DC23C" w14:textId="77777777" w:rsidR="00FD1498" w:rsidRPr="00F31984" w:rsidRDefault="00FD1498" w:rsidP="000675F7">
            <w:pPr>
              <w:tabs>
                <w:tab w:val="clear" w:pos="1378"/>
                <w:tab w:val="decimal" w:pos="840"/>
              </w:tabs>
            </w:pPr>
            <w:r>
              <w:t>18%</w:t>
            </w:r>
          </w:p>
        </w:tc>
      </w:tr>
      <w:tr w:rsidR="00FD1498" w:rsidRPr="00F31984" w14:paraId="081BEEC3" w14:textId="77777777" w:rsidTr="000675F7">
        <w:tc>
          <w:tcPr>
            <w:tcW w:w="4644" w:type="dxa"/>
            <w:tcBorders>
              <w:bottom w:val="single" w:sz="4" w:space="0" w:color="auto"/>
            </w:tcBorders>
          </w:tcPr>
          <w:p w14:paraId="288A57EA" w14:textId="77777777" w:rsidR="00FD1498" w:rsidRPr="00507BD2" w:rsidRDefault="00FD1498" w:rsidP="000675F7">
            <w:r w:rsidRPr="00507BD2">
              <w:t>Territory Wildlife Parks</w:t>
            </w:r>
          </w:p>
        </w:tc>
        <w:tc>
          <w:tcPr>
            <w:tcW w:w="1452" w:type="dxa"/>
            <w:tcBorders>
              <w:bottom w:val="single" w:sz="4" w:space="0" w:color="auto"/>
            </w:tcBorders>
            <w:vAlign w:val="bottom"/>
          </w:tcPr>
          <w:p w14:paraId="5E5B8505" w14:textId="77777777" w:rsidR="00FD1498" w:rsidRPr="00F31984" w:rsidRDefault="00FD1498" w:rsidP="000675F7">
            <w:pPr>
              <w:tabs>
                <w:tab w:val="clear" w:pos="1378"/>
                <w:tab w:val="decimal" w:pos="840"/>
              </w:tabs>
            </w:pPr>
            <w:r>
              <w:t>78</w:t>
            </w:r>
          </w:p>
        </w:tc>
        <w:tc>
          <w:tcPr>
            <w:tcW w:w="1311" w:type="dxa"/>
            <w:tcBorders>
              <w:bottom w:val="single" w:sz="4" w:space="0" w:color="auto"/>
            </w:tcBorders>
            <w:vAlign w:val="bottom"/>
          </w:tcPr>
          <w:p w14:paraId="780B08EC" w14:textId="77777777" w:rsidR="00FD1498" w:rsidRPr="00F31984" w:rsidRDefault="00FD1498" w:rsidP="000675F7">
            <w:pPr>
              <w:tabs>
                <w:tab w:val="clear" w:pos="1378"/>
                <w:tab w:val="decimal" w:pos="840"/>
              </w:tabs>
            </w:pPr>
            <w:r>
              <w:t>211</w:t>
            </w:r>
          </w:p>
        </w:tc>
        <w:tc>
          <w:tcPr>
            <w:tcW w:w="1311" w:type="dxa"/>
            <w:tcBorders>
              <w:bottom w:val="single" w:sz="4" w:space="0" w:color="auto"/>
            </w:tcBorders>
            <w:vAlign w:val="bottom"/>
          </w:tcPr>
          <w:p w14:paraId="5A624C74" w14:textId="77777777" w:rsidR="00FD1498" w:rsidRPr="00F31984" w:rsidRDefault="00FD1498" w:rsidP="000675F7">
            <w:pPr>
              <w:tabs>
                <w:tab w:val="clear" w:pos="1378"/>
                <w:tab w:val="decimal" w:pos="840"/>
              </w:tabs>
            </w:pPr>
            <w:r>
              <w:t>37%</w:t>
            </w:r>
          </w:p>
        </w:tc>
      </w:tr>
    </w:tbl>
    <w:p w14:paraId="32A3628B" w14:textId="40CB50EC" w:rsidR="00FD1498" w:rsidRPr="000D515D" w:rsidRDefault="007336DE" w:rsidP="00FD1498">
      <w:pPr>
        <w:pStyle w:val="Heading1-continued"/>
      </w:pPr>
      <w:r w:rsidRPr="007336DE">
        <w:t>Selected Entities – Fuel Card Purchases cont…</w:t>
      </w:r>
    </w:p>
    <w:p w14:paraId="41082EB6" w14:textId="77777777" w:rsidR="00FD1498" w:rsidRPr="00F31984" w:rsidRDefault="00FD1498" w:rsidP="00FD1498">
      <w:pPr>
        <w:pStyle w:val="ListBullet"/>
      </w:pPr>
      <w:r w:rsidRPr="00F31984">
        <w:t>Anomalous information included:</w:t>
      </w:r>
    </w:p>
    <w:p w14:paraId="71F4C924" w14:textId="77777777" w:rsidR="00FD1498" w:rsidRDefault="00FD1498" w:rsidP="00FD1498">
      <w:pPr>
        <w:pStyle w:val="ListBullet2"/>
      </w:pPr>
      <w:r>
        <w:t>the driver failing to provide an odometer reading;</w:t>
      </w:r>
    </w:p>
    <w:p w14:paraId="56D55FCA" w14:textId="77777777" w:rsidR="00FD1498" w:rsidRDefault="00FD1498" w:rsidP="00FD1498">
      <w:pPr>
        <w:pStyle w:val="ListBullet2"/>
      </w:pPr>
      <w:r>
        <w:t xml:space="preserve">the console operator not recording the odometer reading provided; </w:t>
      </w:r>
    </w:p>
    <w:p w14:paraId="52C8B002" w14:textId="77777777" w:rsidR="00FD1498" w:rsidRDefault="00FD1498" w:rsidP="00FD1498">
      <w:pPr>
        <w:pStyle w:val="ListBullet2"/>
      </w:pPr>
      <w:r>
        <w:t>the accounts department of the fuel supplier not providing the odometer reading on the invoice; and</w:t>
      </w:r>
    </w:p>
    <w:p w14:paraId="78151E94" w14:textId="77777777" w:rsidR="00FD1498" w:rsidRPr="00F31984" w:rsidRDefault="00FD1498" w:rsidP="00FD1498">
      <w:pPr>
        <w:pStyle w:val="ListBullet2"/>
      </w:pPr>
      <w:r>
        <w:t>the fuel card not allowing the odometer reading to be recorded.</w:t>
      </w:r>
    </w:p>
    <w:p w14:paraId="5D431C82" w14:textId="77777777" w:rsidR="00FD1498" w:rsidRPr="00F31984" w:rsidRDefault="00FD1498" w:rsidP="00FD1498">
      <w:pPr>
        <w:pStyle w:val="ListBullet"/>
      </w:pPr>
      <w:r w:rsidRPr="00F31984">
        <w:t>Incorrect odometer readings, such as a reading lower than the previous reading or an apparently incorrect reading. Possible reasons for this include:</w:t>
      </w:r>
    </w:p>
    <w:p w14:paraId="72A99418" w14:textId="77777777" w:rsidR="00FD1498" w:rsidRPr="00F31984" w:rsidRDefault="00FD1498" w:rsidP="00FD1498">
      <w:pPr>
        <w:pStyle w:val="ListBullet2"/>
      </w:pPr>
      <w:r>
        <w:t>t</w:t>
      </w:r>
      <w:r w:rsidRPr="00F31984">
        <w:t>he driver misreading the odometer;</w:t>
      </w:r>
    </w:p>
    <w:p w14:paraId="6EA359FF" w14:textId="77777777" w:rsidR="00FD1498" w:rsidRPr="00F31984" w:rsidRDefault="00FD1498" w:rsidP="00FD1498">
      <w:pPr>
        <w:pStyle w:val="ListBullet2"/>
      </w:pPr>
      <w:r w:rsidRPr="00F31984">
        <w:t xml:space="preserve">the driver guessing the reading; </w:t>
      </w:r>
    </w:p>
    <w:p w14:paraId="0BC08074" w14:textId="77777777" w:rsidR="00FD1498" w:rsidRPr="00F31984" w:rsidRDefault="00FD1498" w:rsidP="00FD1498">
      <w:pPr>
        <w:pStyle w:val="ListBullet2"/>
      </w:pPr>
      <w:r w:rsidRPr="00F31984">
        <w:t>the console operator mishearing the reading; or</w:t>
      </w:r>
    </w:p>
    <w:p w14:paraId="730C9C82" w14:textId="77777777" w:rsidR="00FD1498" w:rsidRDefault="00FD1498" w:rsidP="00FD1498">
      <w:pPr>
        <w:pStyle w:val="ListBullet2"/>
      </w:pPr>
      <w:r w:rsidRPr="00F31984">
        <w:t>the console operator mistyping the reading.</w:t>
      </w:r>
    </w:p>
    <w:p w14:paraId="45DD142C" w14:textId="77777777" w:rsidR="00FD1498" w:rsidRDefault="00FD1498" w:rsidP="00FD1498">
      <w:pPr>
        <w:pStyle w:val="Heading4"/>
      </w:pPr>
      <w:r w:rsidRPr="00507BD2">
        <w:t>Department of Environment, Parks and Water Security</w:t>
      </w:r>
    </w:p>
    <w:p w14:paraId="4D5BBA05" w14:textId="77777777" w:rsidR="00FD1498" w:rsidRDefault="00FD1498" w:rsidP="00FD1498">
      <w:pPr>
        <w:pStyle w:val="Heading5"/>
      </w:pPr>
      <w:r>
        <w:t>Vehicles Unable to be Analysed</w:t>
      </w:r>
    </w:p>
    <w:p w14:paraId="52FC2A15" w14:textId="77777777" w:rsidR="00FD1498" w:rsidRDefault="00FD1498" w:rsidP="00FD1498">
      <w:r>
        <w:t>Of the 315 fuel cards,</w:t>
      </w:r>
      <w:r w:rsidRPr="00D624EA">
        <w:t xml:space="preserve"> </w:t>
      </w:r>
      <w:r>
        <w:t xml:space="preserve">46 cards appeared to be inactive as they had no transactions recorded. </w:t>
      </w:r>
      <w:r w:rsidRPr="00366879">
        <w:rPr>
          <w:color w:val="000000"/>
        </w:rPr>
        <w:t>30</w:t>
      </w:r>
      <w:r>
        <w:rPr>
          <w:color w:val="000000"/>
        </w:rPr>
        <w:t> </w:t>
      </w:r>
      <w:r w:rsidRPr="00366879">
        <w:rPr>
          <w:color w:val="000000"/>
        </w:rPr>
        <w:t>fuel cards had incurred only one fuel purchase throu</w:t>
      </w:r>
      <w:r>
        <w:rPr>
          <w:color w:val="000000"/>
        </w:rPr>
        <w:t>ghout the period under analysis with n</w:t>
      </w:r>
      <w:r w:rsidRPr="00366879">
        <w:rPr>
          <w:color w:val="000000"/>
        </w:rPr>
        <w:t xml:space="preserve">ine of these cards </w:t>
      </w:r>
      <w:r>
        <w:rPr>
          <w:color w:val="000000"/>
        </w:rPr>
        <w:t>having</w:t>
      </w:r>
      <w:r w:rsidRPr="00366879">
        <w:rPr>
          <w:color w:val="000000"/>
        </w:rPr>
        <w:t xml:space="preserve"> no odometer </w:t>
      </w:r>
      <w:r>
        <w:rPr>
          <w:color w:val="000000"/>
        </w:rPr>
        <w:t xml:space="preserve">readings </w:t>
      </w:r>
      <w:r w:rsidRPr="00366879">
        <w:rPr>
          <w:color w:val="000000"/>
        </w:rPr>
        <w:t>recorded</w:t>
      </w:r>
      <w:r>
        <w:t>. There were 14 fuel cards allocated for multi</w:t>
      </w:r>
      <w:r>
        <w:noBreakHyphen/>
        <w:t>vehicle use, one fuel card for a boat and one for a generator, and 16 other fuel cards where there was insufficient data to permit a reasonable analysis to be performed because sufficient correct odometer readings were not provided.</w:t>
      </w:r>
    </w:p>
    <w:p w14:paraId="2EE7406C" w14:textId="77777777" w:rsidR="00FD1498" w:rsidRDefault="00FD1498" w:rsidP="00FD1498">
      <w:r w:rsidRPr="0045734F">
        <w:rPr>
          <w:color w:val="000000"/>
        </w:rPr>
        <w:t xml:space="preserve">Excluding </w:t>
      </w:r>
      <w:r>
        <w:rPr>
          <w:color w:val="000000"/>
        </w:rPr>
        <w:t>multi-use</w:t>
      </w:r>
      <w:r w:rsidRPr="0045734F">
        <w:rPr>
          <w:color w:val="000000"/>
        </w:rPr>
        <w:t xml:space="preserve"> and auxiliary cards</w:t>
      </w:r>
      <w:r>
        <w:rPr>
          <w:color w:val="000000"/>
        </w:rPr>
        <w:t>,</w:t>
      </w:r>
      <w:r w:rsidRPr="0045734F">
        <w:rPr>
          <w:color w:val="000000"/>
        </w:rPr>
        <w:t xml:space="preserve"> there were 15 fuel cards that were allocated to vehicles which were not recorded on the NT Fleet allocation report thus an assessment </w:t>
      </w:r>
      <w:r>
        <w:rPr>
          <w:color w:val="000000"/>
        </w:rPr>
        <w:t xml:space="preserve">of purchases in comparison to </w:t>
      </w:r>
      <w:r w:rsidRPr="0045734F">
        <w:rPr>
          <w:color w:val="000000"/>
        </w:rPr>
        <w:t>fuel capacity was unable to be performed</w:t>
      </w:r>
      <w:r>
        <w:rPr>
          <w:color w:val="000000"/>
        </w:rPr>
        <w:t>.</w:t>
      </w:r>
    </w:p>
    <w:p w14:paraId="789F2C13" w14:textId="77777777" w:rsidR="00FD1498" w:rsidRDefault="00FD1498" w:rsidP="00FD1498">
      <w:pPr>
        <w:pStyle w:val="Heading5"/>
      </w:pPr>
      <w:r w:rsidRPr="008B6E63">
        <w:t>Analysis and error rate</w:t>
      </w:r>
    </w:p>
    <w:p w14:paraId="0D6AC1A0" w14:textId="77777777" w:rsidR="00FD1498" w:rsidRDefault="00FD1498" w:rsidP="00FD1498">
      <w:r>
        <w:t>102 fuel cards had what appeared to be correct odometer readings for more than 95 per cent of the transactions. I consider an error rate of less than 5 per cent to be reasonable.</w:t>
      </w:r>
    </w:p>
    <w:p w14:paraId="5392E02E" w14:textId="77777777" w:rsidR="00FD1498" w:rsidRDefault="00FD1498" w:rsidP="00FD1498">
      <w:r>
        <w:t>93 fuel cards had missing or incorrect odometer readings for between 5 and 25 per cent of the transactions. I consider this to be reasonable (taking into account the probability of some console operator error occurring), however I recommended that the users of the fuel card for these vehicles be reminded of the need to provide accurate odometer readings to the fuel supplier.</w:t>
      </w:r>
    </w:p>
    <w:p w14:paraId="44AF225F" w14:textId="77777777" w:rsidR="00FD1498" w:rsidRPr="00870A06" w:rsidRDefault="00FD1498" w:rsidP="00FD1498">
      <w:r>
        <w:t>For the 50 remaining fuel cards, errors were identified on more than 25 per cent of the transactions. Even taking into account the probability of some console operator or supplier error, I find this to be an unacceptable error rate. Of these 50 fuel cards, 28 had an error rate of 100 per cent.</w:t>
      </w:r>
    </w:p>
    <w:p w14:paraId="0DC6724D" w14:textId="53332492" w:rsidR="00FD1498" w:rsidRPr="000D515D" w:rsidRDefault="007336DE" w:rsidP="00FD1498">
      <w:pPr>
        <w:pStyle w:val="Heading1-continued"/>
      </w:pPr>
      <w:r w:rsidRPr="007336DE">
        <w:t>Selected Entities – Fuel Card Purchases cont…</w:t>
      </w:r>
    </w:p>
    <w:p w14:paraId="111BBB02" w14:textId="77777777" w:rsidR="00FD1498" w:rsidRPr="00057E65" w:rsidRDefault="00FD1498" w:rsidP="00FD1498">
      <w:pPr>
        <w:pStyle w:val="Heading5"/>
      </w:pPr>
      <w:r w:rsidRPr="00057E65">
        <w:t>Other findings</w:t>
      </w:r>
    </w:p>
    <w:p w14:paraId="6FE1F6B1" w14:textId="77777777" w:rsidR="00FD1498" w:rsidRDefault="00FD1498" w:rsidP="00FD1498">
      <w:r>
        <w:t>The analysis of data pertaining to the fuel cards identified:</w:t>
      </w:r>
    </w:p>
    <w:p w14:paraId="4AC1E2A1" w14:textId="77777777" w:rsidR="00FD1498" w:rsidRDefault="00FD1498" w:rsidP="00FD1498">
      <w:pPr>
        <w:pStyle w:val="ListBullet"/>
      </w:pPr>
      <w:r>
        <w:t xml:space="preserve">There were 30 fuel cards allocated to vehicles where the NT Fleet allocation report does not provide details of the fuel capacity of the vehicle. Of the remaining fuel cards, there were 16 fuel cards that recorded purchases that were significantly higher than the reported fuel capacity of the vehicle. </w:t>
      </w:r>
    </w:p>
    <w:p w14:paraId="0B201DEC" w14:textId="77777777" w:rsidR="00FD1498" w:rsidRDefault="00FD1498" w:rsidP="00FD1498">
      <w:pPr>
        <w:pStyle w:val="ListBullet"/>
      </w:pPr>
      <w:r>
        <w:t xml:space="preserve">There were 22 fuel cards (excluding multi-use cards) recording a total of 108 mixed fuel purchases. </w:t>
      </w:r>
    </w:p>
    <w:p w14:paraId="6A289BA2" w14:textId="77777777" w:rsidR="00FD1498" w:rsidRDefault="00FD1498" w:rsidP="00FD1498">
      <w:pPr>
        <w:pStyle w:val="ListBullet"/>
      </w:pPr>
      <w:r>
        <w:t xml:space="preserve">There were 128 low quantity fuel purchases (less than 15 litres) recorded during the period analysed. Many of these purchases were for a fuel that is not the standard fuel for the vehicle allocated to the fuel card. Of particular note are two vehicles that recorded 18 and 12 low fuel purchases respectively. These low fuel purchases were all for a fuel type that was not standard for that vehicle and all purchases were on the same day and at the same location as a standard fuel purchase. </w:t>
      </w:r>
    </w:p>
    <w:p w14:paraId="32E778D5" w14:textId="77777777" w:rsidR="00FD1498" w:rsidRDefault="00FD1498" w:rsidP="00FD1498">
      <w:pPr>
        <w:pStyle w:val="ListBullet"/>
      </w:pPr>
      <w:r>
        <w:t>Two fuel cards appear to have been used to pay for purchases for vehicles other than the vehicle that the fuel card was allocated to.</w:t>
      </w:r>
    </w:p>
    <w:p w14:paraId="75135B31" w14:textId="77777777" w:rsidR="00FD1498" w:rsidRDefault="00FD1498" w:rsidP="00FD1498">
      <w:pPr>
        <w:pStyle w:val="ListBullet"/>
      </w:pPr>
      <w:r>
        <w:t>There were seven fuel transactions recorded from the fuel statements as “Other O.P.P” or “Regular Oil” instead of the usual Unleaded Petrol or Diesel. Four transactions were identified where it appears that a significant quantity of product was purchased.</w:t>
      </w:r>
    </w:p>
    <w:p w14:paraId="029E6283" w14:textId="77777777" w:rsidR="00FD1498" w:rsidRDefault="00FD1498" w:rsidP="00FD1498">
      <w:pPr>
        <w:pStyle w:val="ListBullet"/>
      </w:pPr>
      <w:r>
        <w:t>The drivers of two vehicles always round the odometer to the nearest 100 kilometres and not to the nearest kilometre as required by the NT Fleet Driver Handbook. The driver of one vehicle often rounds to the nearest 100 whilst the drivers of two other vehicles frequently round to the nearest 10 or 100.</w:t>
      </w:r>
    </w:p>
    <w:p w14:paraId="1135EADF" w14:textId="77777777" w:rsidR="00FD1498" w:rsidRDefault="00FD1498" w:rsidP="00FD1498">
      <w:pPr>
        <w:pStyle w:val="ListBullet"/>
      </w:pPr>
      <w:r>
        <w:t>There were 51 instances where a surcharge was applied due to the service station chosen when there is a supplier that offers a discount that is less than 1 kilometre away from the supplier used.</w:t>
      </w:r>
    </w:p>
    <w:p w14:paraId="5C803817" w14:textId="77777777" w:rsidR="00FD1498" w:rsidRDefault="00FD1498" w:rsidP="00FD1498">
      <w:pPr>
        <w:pStyle w:val="Heading4"/>
      </w:pPr>
      <w:r w:rsidRPr="00057E65">
        <w:t xml:space="preserve">Former Northern Territory Government Entity </w:t>
      </w:r>
    </w:p>
    <w:p w14:paraId="3DF4BB59" w14:textId="77777777" w:rsidR="00FD1498" w:rsidRDefault="00FD1498" w:rsidP="00FD1498">
      <w:r>
        <w:t xml:space="preserve">As previously reported in my letter to the then Acting Under Treasurer dated 13 February 2017, this former </w:t>
      </w:r>
      <w:r w:rsidRPr="00057E65">
        <w:t>Northern Territory Government Entity</w:t>
      </w:r>
      <w:r>
        <w:t xml:space="preserve"> was sold on 25 November 2015 and therefore ceased to be an </w:t>
      </w:r>
      <w:r w:rsidRPr="00220748">
        <w:t>N</w:t>
      </w:r>
      <w:r>
        <w:t xml:space="preserve">orthern Territory Government entity however fuel purchase transactions were still occurring until 31 January 2017, under the auspices of the </w:t>
      </w:r>
      <w:r w:rsidRPr="00220748">
        <w:t>N</w:t>
      </w:r>
      <w:r>
        <w:t xml:space="preserve">orthern Territory Government contract with Puma. This matter was reported in my March 2017 Legislative Assembly report (pages 120 to 122). </w:t>
      </w:r>
    </w:p>
    <w:p w14:paraId="70C41BDF" w14:textId="77777777" w:rsidR="00FD1498" w:rsidRDefault="00FD1498" w:rsidP="00FD1498">
      <w:r>
        <w:t>In response to that report, the Department of Treasury and Finance provided the following comment:</w:t>
      </w:r>
    </w:p>
    <w:p w14:paraId="2E6E3259" w14:textId="77777777" w:rsidR="00FD1498" w:rsidRDefault="00FD1498" w:rsidP="00FD1498">
      <w:pPr>
        <w:pStyle w:val="Quote"/>
      </w:pPr>
      <w:r>
        <w:t xml:space="preserve">“In November 2014 the previous Government approved Department of Corporate and Information Services (DCIS) continuing to provide corporate and information technology services to a former Northern Territory Government entity on a full cost recovery basis for a transitional period not exceeding five years. </w:t>
      </w:r>
    </w:p>
    <w:p w14:paraId="548E4F61" w14:textId="59A487C7" w:rsidR="00FD1498" w:rsidRPr="000D515D" w:rsidRDefault="007336DE" w:rsidP="00FD1498">
      <w:pPr>
        <w:pStyle w:val="Heading1-continued"/>
      </w:pPr>
      <w:r w:rsidRPr="007336DE">
        <w:t>Selected Entities – Fuel Card Purchases cont…</w:t>
      </w:r>
    </w:p>
    <w:p w14:paraId="72882E47" w14:textId="77777777" w:rsidR="00FD1498" w:rsidRDefault="00FD1498" w:rsidP="00FD1498">
      <w:pPr>
        <w:pStyle w:val="Quote"/>
      </w:pPr>
      <w:r>
        <w:t>The former Northern Territory Government entity is currently transitioning its commercial vehicle arrangements from NT Fleet to a private provider with a separate fuel card. Vehicles are progressively replaced as they reach end of lease period and are returned to NT Fleet for disposal.</w:t>
      </w:r>
    </w:p>
    <w:p w14:paraId="6D64452A" w14:textId="77777777" w:rsidR="00FD1498" w:rsidRDefault="00FD1498" w:rsidP="00FD1498">
      <w:pPr>
        <w:pStyle w:val="Quote"/>
      </w:pPr>
      <w:r>
        <w:t>To date over 50% of the former Northern Territory Government entity’s fleet has transitioned to the alternative supplier. This process will be completed prior to the expiry of the five year transitional period in 2019.</w:t>
      </w:r>
    </w:p>
    <w:p w14:paraId="3ABE4156" w14:textId="77777777" w:rsidR="00FD1498" w:rsidRDefault="00FD1498" w:rsidP="00FD1498">
      <w:pPr>
        <w:pStyle w:val="Quote"/>
      </w:pPr>
      <w:r>
        <w:t>All other DCIS services to the former Northern Territory Government entity have transitioned to alternative supplier arrangements.”</w:t>
      </w:r>
    </w:p>
    <w:p w14:paraId="2FDD5B6E" w14:textId="77777777" w:rsidR="00FD1498" w:rsidRDefault="00FD1498" w:rsidP="00FD1498">
      <w:r>
        <w:t>A</w:t>
      </w:r>
      <w:r w:rsidRPr="0030105F">
        <w:t xml:space="preserve"> review of </w:t>
      </w:r>
      <w:r>
        <w:t>fuel</w:t>
      </w:r>
      <w:r w:rsidRPr="0030105F">
        <w:t xml:space="preserve"> card transactions during the period 1 July 2020 to 31 January 2021 </w:t>
      </w:r>
      <w:r>
        <w:t xml:space="preserve">demonstrated that </w:t>
      </w:r>
      <w:r w:rsidRPr="0030105F">
        <w:t xml:space="preserve">$185.26 was recorded on the </w:t>
      </w:r>
      <w:r w:rsidRPr="00220748">
        <w:t>N</w:t>
      </w:r>
      <w:r>
        <w:t>orthern Territory Government’s</w:t>
      </w:r>
      <w:r w:rsidRPr="0030105F">
        <w:t xml:space="preserve"> account relating to </w:t>
      </w:r>
      <w:r>
        <w:t xml:space="preserve">the former </w:t>
      </w:r>
      <w:r w:rsidRPr="00057E65">
        <w:t>Northern Territory Government Entity</w:t>
      </w:r>
      <w:r w:rsidRPr="0030105F">
        <w:t>. These transactions occurred after the five year transitional period ending in 2019.</w:t>
      </w:r>
    </w:p>
    <w:p w14:paraId="5A0966F9" w14:textId="77777777" w:rsidR="00FD1498" w:rsidRDefault="00FD1498" w:rsidP="00FD1498">
      <w:pPr>
        <w:pStyle w:val="Heading4"/>
      </w:pPr>
      <w:r>
        <w:t>Northern Territory Legal Aid Commission</w:t>
      </w:r>
    </w:p>
    <w:p w14:paraId="35C03A65" w14:textId="77777777" w:rsidR="00FD1498" w:rsidRDefault="00FD1498" w:rsidP="00FD1498">
      <w:pPr>
        <w:pStyle w:val="Heading5"/>
      </w:pPr>
      <w:r>
        <w:t>Vehicles unable to be analysed</w:t>
      </w:r>
    </w:p>
    <w:p w14:paraId="2A8D09A9" w14:textId="77777777" w:rsidR="00FD1498" w:rsidRDefault="00FD1498" w:rsidP="00FD1498">
      <w:r>
        <w:t xml:space="preserve">Of the 13 fuel cards, </w:t>
      </w:r>
      <w:r>
        <w:rPr>
          <w:color w:val="000000"/>
        </w:rPr>
        <w:t>two</w:t>
      </w:r>
      <w:r w:rsidRPr="00366879">
        <w:rPr>
          <w:color w:val="000000"/>
        </w:rPr>
        <w:t xml:space="preserve"> fuel cards had incurred only one fuel purchase throughout the period under analysis</w:t>
      </w:r>
      <w:r>
        <w:rPr>
          <w:color w:val="000000"/>
        </w:rPr>
        <w:t xml:space="preserve"> with one </w:t>
      </w:r>
      <w:r w:rsidRPr="00366879">
        <w:rPr>
          <w:color w:val="000000"/>
        </w:rPr>
        <w:t xml:space="preserve">of these cards </w:t>
      </w:r>
      <w:r>
        <w:rPr>
          <w:color w:val="000000"/>
        </w:rPr>
        <w:t>not having an</w:t>
      </w:r>
      <w:r w:rsidRPr="00366879">
        <w:rPr>
          <w:color w:val="000000"/>
        </w:rPr>
        <w:t xml:space="preserve"> odometer </w:t>
      </w:r>
      <w:r>
        <w:rPr>
          <w:color w:val="000000"/>
        </w:rPr>
        <w:t xml:space="preserve">reading </w:t>
      </w:r>
      <w:r w:rsidRPr="00366879">
        <w:rPr>
          <w:color w:val="000000"/>
        </w:rPr>
        <w:t>recorded</w:t>
      </w:r>
      <w:r>
        <w:t>. There were two other fuel cards where there was insufficient data to permit a reasonable analysis to be performed because sufficient correct odometer readings were not provided. For one card, nine out of ten of the odometer readings were missing or obviously inaccurate. For the second card, all seventeen odometer readings were missing or obviously inaccurate.</w:t>
      </w:r>
    </w:p>
    <w:p w14:paraId="7FB8717B" w14:textId="77777777" w:rsidR="00FD1498" w:rsidRDefault="00FD1498" w:rsidP="00FD1498">
      <w:pPr>
        <w:pStyle w:val="Heading5"/>
      </w:pPr>
      <w:r w:rsidRPr="008B6E63">
        <w:t>Analysis and error rate</w:t>
      </w:r>
    </w:p>
    <w:p w14:paraId="61E67AC3" w14:textId="77777777" w:rsidR="00FD1498" w:rsidRDefault="00FD1498" w:rsidP="00FD1498">
      <w:r>
        <w:t>Seven fuel cards had missing or incorrect odometer readings for between 5 and 25 per cent of the transactions. I consider this to be reasonable (taking into account the probability of some console operator error occurring), however I recommended that the users of the fuel card for these vehicles be reminded of the need to provide accurate odometer readings to the fuel supplier.</w:t>
      </w:r>
    </w:p>
    <w:p w14:paraId="62006713" w14:textId="77777777" w:rsidR="00FD1498" w:rsidRPr="00870A06" w:rsidRDefault="00FD1498" w:rsidP="00FD1498">
      <w:r>
        <w:t xml:space="preserve">For the three remaining fuel cards, errors were identified on more than 25 per cent of the transactions. Even taking into account the probability of some console operator or supplier error, I find this to be an unacceptable error rate. Of these three fuel cards, two had an error rate of 100 per cent. One of these fuel cards had only one transaction in the period analysed. The other fuel card had 17 transactions. </w:t>
      </w:r>
    </w:p>
    <w:p w14:paraId="447F34BF" w14:textId="5BD1F2DC" w:rsidR="00FD1498" w:rsidRPr="000D515D" w:rsidRDefault="007336DE" w:rsidP="00FD1498">
      <w:pPr>
        <w:pStyle w:val="Heading1-continued"/>
      </w:pPr>
      <w:r w:rsidRPr="007336DE">
        <w:t>Selected Entities – Fuel Card Purchases cont…</w:t>
      </w:r>
    </w:p>
    <w:p w14:paraId="5F174BFE" w14:textId="77777777" w:rsidR="00FD1498" w:rsidRPr="00057E65" w:rsidRDefault="00FD1498" w:rsidP="00FD1498">
      <w:pPr>
        <w:pStyle w:val="Heading5"/>
      </w:pPr>
      <w:r w:rsidRPr="00057E65">
        <w:t>Other findings</w:t>
      </w:r>
    </w:p>
    <w:p w14:paraId="1BCB297D" w14:textId="77777777" w:rsidR="00FD1498" w:rsidRDefault="00FD1498" w:rsidP="00FD1498">
      <w:r>
        <w:t>The analysis of data pertaining to the fuel cards identified:</w:t>
      </w:r>
    </w:p>
    <w:p w14:paraId="5C036E8F" w14:textId="77777777" w:rsidR="00FD1498" w:rsidRDefault="00FD1498" w:rsidP="00FD1498">
      <w:pPr>
        <w:pStyle w:val="ListBullet"/>
      </w:pPr>
      <w:r>
        <w:t>There were no fuel purchases that appeared to be significantly higher than the reported fuel capacity of the vehicle.</w:t>
      </w:r>
    </w:p>
    <w:p w14:paraId="0AB54F1A" w14:textId="77777777" w:rsidR="00FD1498" w:rsidRDefault="00FD1498" w:rsidP="00FD1498">
      <w:pPr>
        <w:pStyle w:val="ListBullet"/>
      </w:pPr>
      <w:r>
        <w:t xml:space="preserve">There were two low quantity purchases (less than 15 litres) recorded during the period analysed: </w:t>
      </w:r>
    </w:p>
    <w:p w14:paraId="68A8422E" w14:textId="77777777" w:rsidR="00FD1498" w:rsidRDefault="00FD1498" w:rsidP="00FD1498">
      <w:pPr>
        <w:pStyle w:val="ListBullet"/>
        <w:ind w:left="720"/>
      </w:pPr>
      <w:r>
        <w:t>one purchase at Katherine was identified as “regular oil” with zero quantity and $28.42; and</w:t>
      </w:r>
    </w:p>
    <w:p w14:paraId="19FFBF39" w14:textId="77777777" w:rsidR="00FD1498" w:rsidRDefault="00FD1498" w:rsidP="00FD1498">
      <w:pPr>
        <w:pStyle w:val="ListBullet"/>
        <w:ind w:left="720"/>
      </w:pPr>
      <w:r>
        <w:t>one purchase at Berrimah for 13.41 litres that was immediately followed by a purchase of 33.61 litres.</w:t>
      </w:r>
    </w:p>
    <w:p w14:paraId="03579F63" w14:textId="77777777" w:rsidR="00FD1498" w:rsidRDefault="00FD1498" w:rsidP="00FD1498">
      <w:pPr>
        <w:pStyle w:val="ListBullet"/>
      </w:pPr>
      <w:r>
        <w:t xml:space="preserve">There was one instance where a surcharge was applied due to the service station chosen when there is a supplier that offers a discount that is less than 300 meters away from the supplier used. </w:t>
      </w:r>
    </w:p>
    <w:p w14:paraId="538A5CD9" w14:textId="77777777" w:rsidR="00FD1498" w:rsidRDefault="00FD1498" w:rsidP="00FD1498">
      <w:pPr>
        <w:pStyle w:val="ListBullet"/>
      </w:pPr>
      <w:r>
        <w:t>At 24 March 2021, one card had no PIN Status recorded.</w:t>
      </w:r>
    </w:p>
    <w:p w14:paraId="7E18E066" w14:textId="77777777" w:rsidR="00FD1498" w:rsidRDefault="00FD1498" w:rsidP="00FD1498">
      <w:pPr>
        <w:pStyle w:val="Heading4"/>
      </w:pPr>
      <w:r>
        <w:t>Power Generation Corporation</w:t>
      </w:r>
    </w:p>
    <w:p w14:paraId="1B6594A7" w14:textId="77777777" w:rsidR="00FD1498" w:rsidRDefault="00FD1498" w:rsidP="00FD1498">
      <w:pPr>
        <w:pStyle w:val="Heading5"/>
      </w:pPr>
      <w:r>
        <w:t>Vehicles unable to be analysed</w:t>
      </w:r>
    </w:p>
    <w:p w14:paraId="23049E37" w14:textId="77777777" w:rsidR="00FD1498" w:rsidRDefault="00FD1498" w:rsidP="00FD1498">
      <w:r>
        <w:t>Of the 75 fuel cards, 34 cards appeared to be inactive as they had no transactions recorded. T</w:t>
      </w:r>
      <w:r>
        <w:rPr>
          <w:color w:val="000000"/>
        </w:rPr>
        <w:t>hree</w:t>
      </w:r>
      <w:r w:rsidRPr="00366879">
        <w:rPr>
          <w:color w:val="000000"/>
        </w:rPr>
        <w:t xml:space="preserve"> fuel cards had incurred only one fuel purchase throughout the period under analysis</w:t>
      </w:r>
      <w:r>
        <w:t xml:space="preserve">. One fuel card is identified as “Katherine PS” that recorded one purchase of regular oil on 23 October 2020 at a cost of $369.10. I recommended that the Corporation ensure that this transaction is valid. </w:t>
      </w:r>
    </w:p>
    <w:p w14:paraId="03366BC4" w14:textId="77777777" w:rsidR="00FD1498" w:rsidRDefault="00FD1498" w:rsidP="00FD1498">
      <w:r>
        <w:t xml:space="preserve">Four fuel cards had insufficient data to permit a reasonable analysis to be performed because sufficient correct odometer readings were not provided. </w:t>
      </w:r>
      <w:r w:rsidRPr="00D624EA">
        <w:t>In one instance</w:t>
      </w:r>
      <w:r>
        <w:t>,</w:t>
      </w:r>
      <w:r w:rsidRPr="00D624EA">
        <w:t xml:space="preserve"> one odometer reading was missing. This reading was for a purchase in July 2020. The only other purchases were in September 2020 (85.49 litres) and 18 January 2021 (102.57 litres). Based on the two valid odometer readings this vehicle averages 5 km per day which appears to be unusually low.</w:t>
      </w:r>
    </w:p>
    <w:p w14:paraId="59D0F221" w14:textId="77777777" w:rsidR="00FD1498" w:rsidRDefault="00FD1498" w:rsidP="00FD1498">
      <w:pPr>
        <w:pStyle w:val="Heading5"/>
      </w:pPr>
      <w:r w:rsidRPr="008B6E63">
        <w:t>Analysis and error rate</w:t>
      </w:r>
    </w:p>
    <w:p w14:paraId="3FE5B11C" w14:textId="77777777" w:rsidR="00FD1498" w:rsidRDefault="00FD1498" w:rsidP="00FD1498">
      <w:r>
        <w:t>18 fuel cards had missing or incorrect odometer readings for between 5 and 25 per cent of the transactions. I consider this to be reasonable (taking into account the probability of some console operator error occurring), however I recommended that the users of the fuel card for these vehicles be reminded of the need to provide accurate odometer readings to the fuel supplier.</w:t>
      </w:r>
    </w:p>
    <w:p w14:paraId="69C856D6" w14:textId="77777777" w:rsidR="00FD1498" w:rsidRDefault="00FD1498" w:rsidP="00FD1498">
      <w:r>
        <w:t xml:space="preserve">For the eight remaining fuel cards, errors were identified on more than 25 per cent of the transactions. Even taking into account the probability of some console operator or supplier error, I find this to be an unacceptable error rate. </w:t>
      </w:r>
    </w:p>
    <w:p w14:paraId="45B83D83" w14:textId="77777777" w:rsidR="00FD1498" w:rsidRPr="00870A06" w:rsidRDefault="00FD1498" w:rsidP="00FD1498">
      <w:r>
        <w:t xml:space="preserve">Of these seven fuel cards, three had an error rate of 100 per cent. The driver of one vehicle provided 4,711 as the odometer reading for all purchases. The driver of another vehicle used no reading or entered “123”, “1111” or “999” for the readings. The driver of a further vehicle failed to provide any reading. </w:t>
      </w:r>
    </w:p>
    <w:p w14:paraId="481CA866" w14:textId="1DCA33B1" w:rsidR="00FD1498" w:rsidRPr="000D515D" w:rsidRDefault="007336DE" w:rsidP="00FD1498">
      <w:pPr>
        <w:pStyle w:val="Heading1-continued"/>
      </w:pPr>
      <w:r w:rsidRPr="007336DE">
        <w:t>Selected Entities – Fuel Card Purchases cont…</w:t>
      </w:r>
    </w:p>
    <w:p w14:paraId="0E753AC8" w14:textId="77777777" w:rsidR="00FD1498" w:rsidRPr="00057E65" w:rsidRDefault="00FD1498" w:rsidP="00FD1498">
      <w:pPr>
        <w:pStyle w:val="Heading5"/>
      </w:pPr>
      <w:r w:rsidRPr="00057E65">
        <w:t>Other findings</w:t>
      </w:r>
    </w:p>
    <w:p w14:paraId="425CC972" w14:textId="77777777" w:rsidR="00FD1498" w:rsidRDefault="00FD1498" w:rsidP="00FD1498">
      <w:r>
        <w:t>The analysis of data pertaining to the fuel cards identified:</w:t>
      </w:r>
    </w:p>
    <w:p w14:paraId="7CA8FC7E" w14:textId="77777777" w:rsidR="00FD1498" w:rsidRDefault="00FD1498" w:rsidP="00FD1498">
      <w:pPr>
        <w:pStyle w:val="ListBullet"/>
      </w:pPr>
      <w:r>
        <w:t xml:space="preserve">No fuel purchases appeared to be significantly higher than the reported fuel capacity of the vehicle. </w:t>
      </w:r>
    </w:p>
    <w:p w14:paraId="79EB650E" w14:textId="77777777" w:rsidR="00FD1498" w:rsidRDefault="00FD1498" w:rsidP="00FD1498">
      <w:pPr>
        <w:pStyle w:val="ListBullet"/>
      </w:pPr>
      <w:r>
        <w:t>The driver of one vehicle rounds the odometer to the nearest 10 or 100 kilometres and not to the nearest kilometre as required by the NT Fleet Driver Handbook.</w:t>
      </w:r>
    </w:p>
    <w:p w14:paraId="5690D0E2" w14:textId="77777777" w:rsidR="00FD1498" w:rsidRDefault="00FD1498" w:rsidP="00FD1498">
      <w:pPr>
        <w:pStyle w:val="ListBullet"/>
      </w:pPr>
      <w:r>
        <w:t>There was one fuel transaction of $1.03 recorded on the fuel statement as “Other (O.P.P.)” instead of the usual Unleaded Petrol or Diesel.</w:t>
      </w:r>
    </w:p>
    <w:p w14:paraId="0CAA3F41" w14:textId="77777777" w:rsidR="00FD1498" w:rsidRDefault="00FD1498" w:rsidP="00FD1498">
      <w:pPr>
        <w:pStyle w:val="ListBullet"/>
      </w:pPr>
      <w:r>
        <w:t>There were 11 low quantity fuel purchases (less than 15 litres) recorded during the period analysed. Of these:</w:t>
      </w:r>
    </w:p>
    <w:p w14:paraId="7A494939" w14:textId="77777777" w:rsidR="00FD1498" w:rsidRDefault="00FD1498" w:rsidP="00FD1498">
      <w:pPr>
        <w:pStyle w:val="ListBullet"/>
        <w:ind w:left="643"/>
      </w:pPr>
      <w:r>
        <w:t>one was for oil ($369.10) referred to previously;</w:t>
      </w:r>
    </w:p>
    <w:p w14:paraId="688AFAC7" w14:textId="77777777" w:rsidR="00FD1498" w:rsidRDefault="00FD1498" w:rsidP="00FD1498">
      <w:pPr>
        <w:pStyle w:val="ListBullet"/>
        <w:ind w:left="643"/>
      </w:pPr>
      <w:r>
        <w:t>nine were for purchases that appear to be a ‘top ups’ only;</w:t>
      </w:r>
    </w:p>
    <w:p w14:paraId="36C393DD" w14:textId="77777777" w:rsidR="00FD1498" w:rsidRDefault="00FD1498" w:rsidP="00FD1498">
      <w:pPr>
        <w:pStyle w:val="ListBullet"/>
        <w:ind w:left="643"/>
      </w:pPr>
      <w:r>
        <w:t>one was for the transaction of $1.03 for ‘Other (O.P.P.)’  as reported above;</w:t>
      </w:r>
    </w:p>
    <w:p w14:paraId="080C4A86" w14:textId="77777777" w:rsidR="00FD1498" w:rsidRDefault="00FD1498" w:rsidP="00FD1498">
      <w:pPr>
        <w:pStyle w:val="ListBullet"/>
      </w:pPr>
      <w:r>
        <w:t xml:space="preserve">There were 12 instances where a surcharge was applied due to the service station chosen when there is a supplier that offers a discount that is less than 1.5 kilometres away from the supplier used. </w:t>
      </w:r>
    </w:p>
    <w:p w14:paraId="5A93A3DC" w14:textId="77777777" w:rsidR="00FD1498" w:rsidRDefault="00FD1498" w:rsidP="00FD1498">
      <w:pPr>
        <w:pStyle w:val="ListBullet"/>
      </w:pPr>
      <w:r>
        <w:t>There were four cards that had no PIN Status recorded and 12 cards had ‘PIN Waiting Assignment’</w:t>
      </w:r>
    </w:p>
    <w:p w14:paraId="6D021D10" w14:textId="77777777" w:rsidR="00FD1498" w:rsidRDefault="00FD1498" w:rsidP="00FD1498">
      <w:pPr>
        <w:pStyle w:val="Heading4"/>
      </w:pPr>
      <w:r>
        <w:t>Territory Wildlife Parks</w:t>
      </w:r>
    </w:p>
    <w:p w14:paraId="0521EF78" w14:textId="77777777" w:rsidR="00FD1498" w:rsidRDefault="00FD1498" w:rsidP="00FD1498">
      <w:pPr>
        <w:pStyle w:val="Heading5"/>
      </w:pPr>
      <w:r>
        <w:t>Vehicles unable to be analysed</w:t>
      </w:r>
    </w:p>
    <w:p w14:paraId="01EC7D6E" w14:textId="76C5CB00" w:rsidR="00FD1498" w:rsidRDefault="00FD1498" w:rsidP="00FD1498">
      <w:r>
        <w:t>Of the 29 fuel cards, seven cards appeared to be inactive as they had no transactions recorded</w:t>
      </w:r>
      <w:r w:rsidR="002A6D08">
        <w:t>. T</w:t>
      </w:r>
      <w:r>
        <w:rPr>
          <w:color w:val="000000"/>
        </w:rPr>
        <w:t>hree</w:t>
      </w:r>
      <w:r w:rsidRPr="00366879">
        <w:rPr>
          <w:color w:val="000000"/>
        </w:rPr>
        <w:t xml:space="preserve"> fuel cards had incurred only one fuel purchase throughout the period under analysis</w:t>
      </w:r>
      <w:r>
        <w:t xml:space="preserve">. </w:t>
      </w:r>
    </w:p>
    <w:p w14:paraId="6894863A" w14:textId="77777777" w:rsidR="00FD1498" w:rsidRDefault="00FD1498" w:rsidP="00FD1498">
      <w:r>
        <w:t>Four fuel cards had insufficient data to permit a reasonable analysis to be performed because sufficient correct odometer readings were not provided. Two fuel cards were identified as generic cards (specifically ASDP Generic and TWP Generic Use)</w:t>
      </w:r>
      <w:r w:rsidRPr="00D624EA">
        <w:t>.</w:t>
      </w:r>
      <w:r>
        <w:t xml:space="preserve"> </w:t>
      </w:r>
      <w:r w:rsidRPr="00696AE1">
        <w:t>The generic fuel purchases include diesel, regular ULP, premium ULP and oil purchases. The use of generic cards increases the risk of fraudulent activity occurring and not being detected.</w:t>
      </w:r>
    </w:p>
    <w:p w14:paraId="24EE51CA" w14:textId="77777777" w:rsidR="00FD1498" w:rsidRDefault="00FD1498" w:rsidP="00FD1498">
      <w:pPr>
        <w:pStyle w:val="Heading5"/>
      </w:pPr>
      <w:r w:rsidRPr="008B6E63">
        <w:t>Analysis and error rate</w:t>
      </w:r>
    </w:p>
    <w:p w14:paraId="65C48062" w14:textId="77777777" w:rsidR="00FD1498" w:rsidRPr="007A27F4" w:rsidRDefault="00FD1498" w:rsidP="00FD1498">
      <w:r w:rsidRPr="007A27F4">
        <w:t>Seven fuel cards had what appeared to be correct odometer readings for more than 95 per cent of the transactions. I consider an error rate of less than 5 per cent to be reasonable.</w:t>
      </w:r>
    </w:p>
    <w:p w14:paraId="3E7E0CD0" w14:textId="77777777" w:rsidR="00FD1498" w:rsidRPr="007A27F4" w:rsidRDefault="00FD1498" w:rsidP="00FD1498">
      <w:r w:rsidRPr="007A27F4">
        <w:t xml:space="preserve">Seven fuel cards had missing or incorrect odometer readings for between </w:t>
      </w:r>
      <w:r>
        <w:t>5</w:t>
      </w:r>
      <w:r w:rsidRPr="007A27F4">
        <w:t xml:space="preserve"> and 25 per cent of the transactions. I consider this to be reasonable (taking into account the probability of some console operator error occurring), however I recommend</w:t>
      </w:r>
      <w:r>
        <w:t>ed</w:t>
      </w:r>
      <w:r w:rsidRPr="007A27F4">
        <w:t xml:space="preserve"> that the users of the fuel card for these vehicles be reminded of the need to provide accurate odometer readings to the fuel supplier.</w:t>
      </w:r>
    </w:p>
    <w:p w14:paraId="04BE5FE8" w14:textId="77777777" w:rsidR="00FD1498" w:rsidRPr="00870A06" w:rsidRDefault="00FD1498" w:rsidP="00FD1498">
      <w:r w:rsidRPr="007A27F4">
        <w:t>For the</w:t>
      </w:r>
      <w:r w:rsidRPr="007A27F4">
        <w:rPr>
          <w:color w:val="FF0000"/>
        </w:rPr>
        <w:t xml:space="preserve"> </w:t>
      </w:r>
      <w:r w:rsidRPr="007A27F4">
        <w:t>eight remaining fuel cards, errors were identified on more than 2</w:t>
      </w:r>
      <w:r>
        <w:t>5</w:t>
      </w:r>
      <w:r w:rsidRPr="007A27F4">
        <w:t xml:space="preserve"> per cent of the transactions. Even taking into account the probability of some console operator or supplier error, I find this to be an unacceptable error rate. Of these eight fuel cards, five had an error rate of 100 per cent.</w:t>
      </w:r>
      <w:r>
        <w:t xml:space="preserve"> </w:t>
      </w:r>
    </w:p>
    <w:p w14:paraId="167200AE" w14:textId="2F04DC63" w:rsidR="00FD1498" w:rsidRPr="000D515D" w:rsidRDefault="007336DE" w:rsidP="00FD1498">
      <w:pPr>
        <w:pStyle w:val="Heading1-continued"/>
      </w:pPr>
      <w:r w:rsidRPr="007336DE">
        <w:t>Selected Entities – Fuel Card Purchases cont…</w:t>
      </w:r>
    </w:p>
    <w:p w14:paraId="2E90CBEF" w14:textId="77777777" w:rsidR="00FD1498" w:rsidRPr="00057E65" w:rsidRDefault="00FD1498" w:rsidP="00FD1498">
      <w:pPr>
        <w:pStyle w:val="Heading5"/>
      </w:pPr>
      <w:r w:rsidRPr="00057E65">
        <w:t>Other findings</w:t>
      </w:r>
    </w:p>
    <w:p w14:paraId="03EC568F" w14:textId="77777777" w:rsidR="00FD1498" w:rsidRDefault="00FD1498" w:rsidP="00FD1498">
      <w:r>
        <w:t>The analysis of data pertaining to the fuel cards identified:</w:t>
      </w:r>
    </w:p>
    <w:p w14:paraId="1CC17169" w14:textId="77777777" w:rsidR="00FD1498" w:rsidRDefault="00FD1498" w:rsidP="00FD1498">
      <w:pPr>
        <w:pStyle w:val="ListBullet"/>
      </w:pPr>
      <w:r>
        <w:t>There were three fuel purchases that appeared to be significantly higher than the reported fuel capacity of the vehicle. Specifically:</w:t>
      </w:r>
    </w:p>
    <w:p w14:paraId="44288B3B" w14:textId="77777777" w:rsidR="00FD1498" w:rsidRDefault="00FD1498" w:rsidP="00FD1498">
      <w:pPr>
        <w:pStyle w:val="ListBullet2"/>
      </w:pPr>
      <w:r>
        <w:t xml:space="preserve">One vehicle was refuelled with over 110 litres on three occasions (111.24, 112.73, and 122.83 litres) when the tank capacity is recorded as 100 litres. </w:t>
      </w:r>
    </w:p>
    <w:p w14:paraId="62723837" w14:textId="77777777" w:rsidR="00FD1498" w:rsidRDefault="00FD1498" w:rsidP="00FD1498">
      <w:pPr>
        <w:pStyle w:val="ListBullet2"/>
      </w:pPr>
      <w:r>
        <w:t xml:space="preserve">One vehicle was refuelled on five occasions with over 80 litres (80.15, 82.69, 84.47, 89.09, and 92.60 litres) when the tank capacity is recorded as 70 litres. </w:t>
      </w:r>
    </w:p>
    <w:p w14:paraId="52E37164" w14:textId="74BF8507" w:rsidR="00FD1498" w:rsidRDefault="00FD1498" w:rsidP="00FD1498">
      <w:pPr>
        <w:pStyle w:val="ListBullet"/>
      </w:pPr>
      <w:r>
        <w:t>Excluding purchases of oil</w:t>
      </w:r>
      <w:r w:rsidR="002A6D08">
        <w:t>,</w:t>
      </w:r>
      <w:r>
        <w:t xml:space="preserve"> there was one low quantity fuel purchase (less than 15 litres) recorded during the period analysed. This was for 7.75 litres of diesel.</w:t>
      </w:r>
    </w:p>
    <w:p w14:paraId="7A81FA3E" w14:textId="77777777" w:rsidR="00FD1498" w:rsidRDefault="00FD1498" w:rsidP="00FD1498">
      <w:pPr>
        <w:pStyle w:val="ListBullet"/>
      </w:pPr>
      <w:r>
        <w:t>At 24 March 2021, five cards had either a “PIN Waiting Assignment” status or no PIN Status recorded.</w:t>
      </w:r>
    </w:p>
    <w:p w14:paraId="676A1275" w14:textId="6487BAF3" w:rsidR="00FD1498" w:rsidRDefault="007336DE" w:rsidP="00FD1498">
      <w:pPr>
        <w:pStyle w:val="Heading1-continued"/>
      </w:pPr>
      <w:r w:rsidRPr="007336DE">
        <w:t>Selected Entities – Fuel Card Purchases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Department of Treasury and Finance response"/>
      </w:tblPr>
      <w:tblGrid>
        <w:gridCol w:w="8448"/>
      </w:tblGrid>
      <w:tr w:rsidR="00D805FE" w14:paraId="45AB88AD" w14:textId="77777777" w:rsidTr="00D805FE">
        <w:trPr>
          <w:tblHeader/>
        </w:trPr>
        <w:tc>
          <w:tcPr>
            <w:tcW w:w="8448" w:type="dxa"/>
          </w:tcPr>
          <w:p w14:paraId="383789BA" w14:textId="090C9501" w:rsidR="00D805FE" w:rsidRPr="00270B09" w:rsidRDefault="00D805FE" w:rsidP="00D805FE">
            <w:pPr>
              <w:rPr>
                <w:b/>
              </w:rPr>
            </w:pPr>
            <w:r>
              <w:rPr>
                <w:b/>
              </w:rPr>
              <w:t>The Department of Treasury and Finance has commented:</w:t>
            </w:r>
          </w:p>
        </w:tc>
      </w:tr>
      <w:tr w:rsidR="00D805FE" w14:paraId="210CE665" w14:textId="77777777" w:rsidTr="00D805FE">
        <w:tc>
          <w:tcPr>
            <w:tcW w:w="8448" w:type="dxa"/>
          </w:tcPr>
          <w:p w14:paraId="66E602F9" w14:textId="1781CF80" w:rsidR="00D805FE" w:rsidRDefault="00B46C76" w:rsidP="00B46C76">
            <w:r>
              <w:t>Fuel card purchases</w:t>
            </w:r>
            <w:r w:rsidR="00A84310">
              <w:t xml:space="preserve"> </w:t>
            </w:r>
            <w:r>
              <w:t>–</w:t>
            </w:r>
            <w:r w:rsidR="00A84310">
              <w:t xml:space="preserve"> the former NTG entity was removed from the NTG fuel account on</w:t>
            </w:r>
            <w:r>
              <w:t xml:space="preserve"> 17 </w:t>
            </w:r>
            <w:r w:rsidR="00A84310">
              <w:t>February 2021. No costs were incurred by NTG as the entity met the cost of all fuel</w:t>
            </w:r>
            <w:r>
              <w:t xml:space="preserve"> </w:t>
            </w:r>
            <w:r w:rsidR="00A84310">
              <w:t>purchased on the card</w:t>
            </w:r>
            <w:r>
              <w:t>.</w:t>
            </w:r>
          </w:p>
        </w:tc>
      </w:tr>
    </w:tbl>
    <w:p w14:paraId="06EF85AA" w14:textId="77777777" w:rsidR="00D805FE" w:rsidRPr="00F30939" w:rsidRDefault="00D805FE" w:rsidP="00D805FE"/>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Northern Territory Legal Aid Commission response"/>
      </w:tblPr>
      <w:tblGrid>
        <w:gridCol w:w="8448"/>
      </w:tblGrid>
      <w:tr w:rsidR="00D805FE" w14:paraId="27FE9491" w14:textId="77777777" w:rsidTr="00D805FE">
        <w:trPr>
          <w:tblHeader/>
        </w:trPr>
        <w:tc>
          <w:tcPr>
            <w:tcW w:w="8448" w:type="dxa"/>
          </w:tcPr>
          <w:p w14:paraId="5485B1B0" w14:textId="1012B72F" w:rsidR="00D805FE" w:rsidRPr="00270B09" w:rsidRDefault="00D805FE" w:rsidP="00D805FE">
            <w:pPr>
              <w:rPr>
                <w:b/>
              </w:rPr>
            </w:pPr>
            <w:r>
              <w:rPr>
                <w:b/>
              </w:rPr>
              <w:t>The Northern Territory Legal Aid Commission has commented:</w:t>
            </w:r>
          </w:p>
        </w:tc>
      </w:tr>
      <w:tr w:rsidR="00D805FE" w14:paraId="69015FE9" w14:textId="77777777" w:rsidTr="00D805FE">
        <w:tc>
          <w:tcPr>
            <w:tcW w:w="8448" w:type="dxa"/>
          </w:tcPr>
          <w:p w14:paraId="5FFAC0B8" w14:textId="77777777" w:rsidR="0094008A" w:rsidRDefault="0094008A" w:rsidP="0094008A">
            <w:r>
              <w:t>We considered the information in the analysis and took the following steps:</w:t>
            </w:r>
          </w:p>
          <w:p w14:paraId="31C049E8" w14:textId="63639610" w:rsidR="0094008A" w:rsidRDefault="0094008A" w:rsidP="0094008A">
            <w:pPr>
              <w:pStyle w:val="ListBullet"/>
            </w:pPr>
            <w:r>
              <w:t>provided the report to key staff;</w:t>
            </w:r>
          </w:p>
          <w:p w14:paraId="38E014CF" w14:textId="4A0FDCE7" w:rsidR="0094008A" w:rsidRDefault="0094008A" w:rsidP="0094008A">
            <w:pPr>
              <w:pStyle w:val="ListBullet"/>
            </w:pPr>
            <w:r>
              <w:t>updated the Motor Vehicle Policy; and</w:t>
            </w:r>
          </w:p>
          <w:p w14:paraId="575813ED" w14:textId="2CBA3D57" w:rsidR="00D805FE" w:rsidRDefault="0094008A" w:rsidP="0094008A">
            <w:pPr>
              <w:pStyle w:val="ListBullet"/>
            </w:pPr>
            <w:r>
              <w:t xml:space="preserve">reviewed the fuel cards and updated the system where appropriate. </w:t>
            </w:r>
          </w:p>
        </w:tc>
      </w:tr>
    </w:tbl>
    <w:p w14:paraId="74C94E4D" w14:textId="77777777" w:rsidR="00D805FE" w:rsidRPr="00F30939" w:rsidRDefault="00D805FE" w:rsidP="00D805FE"/>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Power Generation Corporation response"/>
        <w:tblDescription w:val="&#10;"/>
      </w:tblPr>
      <w:tblGrid>
        <w:gridCol w:w="8448"/>
      </w:tblGrid>
      <w:tr w:rsidR="00D805FE" w14:paraId="42F9E0EB" w14:textId="77777777" w:rsidTr="00D805FE">
        <w:trPr>
          <w:tblHeader/>
        </w:trPr>
        <w:tc>
          <w:tcPr>
            <w:tcW w:w="8448" w:type="dxa"/>
          </w:tcPr>
          <w:p w14:paraId="48E637DC" w14:textId="26A986DB" w:rsidR="00D805FE" w:rsidRPr="00270B09" w:rsidRDefault="00D805FE" w:rsidP="00D805FE">
            <w:pPr>
              <w:rPr>
                <w:b/>
              </w:rPr>
            </w:pPr>
            <w:r>
              <w:rPr>
                <w:b/>
              </w:rPr>
              <w:t>Power Generation Corporation has commented:</w:t>
            </w:r>
          </w:p>
        </w:tc>
      </w:tr>
      <w:tr w:rsidR="00D805FE" w14:paraId="13FC075E" w14:textId="77777777" w:rsidTr="00D805FE">
        <w:tc>
          <w:tcPr>
            <w:tcW w:w="8448" w:type="dxa"/>
          </w:tcPr>
          <w:p w14:paraId="08893D29" w14:textId="7D322418" w:rsidR="00D805FE" w:rsidRDefault="00F3463A" w:rsidP="00F3463A">
            <w:r>
              <w:t>Territory Generation acknowledges the information provided in the report and has implemented process and procedures to ensure improvements are achieved.</w:t>
            </w:r>
          </w:p>
        </w:tc>
      </w:tr>
    </w:tbl>
    <w:p w14:paraId="3585D8A1" w14:textId="77777777" w:rsidR="007B4DAC" w:rsidRDefault="007B4DAC" w:rsidP="007B4DAC">
      <w:pPr>
        <w:keepLines w:val="0"/>
        <w:tabs>
          <w:tab w:val="clear" w:pos="1378"/>
        </w:tabs>
        <w:spacing w:after="200" w:line="276" w:lineRule="auto"/>
      </w:pPr>
      <w:r>
        <w:br w:type="page"/>
      </w:r>
    </w:p>
    <w:p w14:paraId="6AD45C99" w14:textId="77777777" w:rsidR="007B4DAC" w:rsidRPr="00F30939" w:rsidRDefault="007B4DAC" w:rsidP="007B4DAC">
      <w:r>
        <w:rPr>
          <w:noProof/>
          <w:lang w:val="en-GB" w:eastAsia="en-GB"/>
        </w:rPr>
        <mc:AlternateContent>
          <mc:Choice Requires="wps">
            <w:drawing>
              <wp:anchor distT="45720" distB="45720" distL="114300" distR="114300" simplePos="0" relativeHeight="251710464" behindDoc="0" locked="0" layoutInCell="1" allowOverlap="1" wp14:anchorId="13F2608A" wp14:editId="546E3C83">
                <wp:simplePos x="0" y="0"/>
                <wp:positionH relativeFrom="page">
                  <wp:posOffset>2667000</wp:posOffset>
                </wp:positionH>
                <wp:positionV relativeFrom="page">
                  <wp:posOffset>5166360</wp:posOffset>
                </wp:positionV>
                <wp:extent cx="2212340" cy="830580"/>
                <wp:effectExtent l="0" t="0" r="8255" b="7620"/>
                <wp:wrapSquare wrapText="bothSides"/>
                <wp:docPr id="3" name="Text Box 2" descr="Appendices" title="Appendi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830580"/>
                        </a:xfrm>
                        <a:prstGeom prst="rect">
                          <a:avLst/>
                        </a:prstGeom>
                        <a:solidFill>
                          <a:srgbClr val="FFFFFF"/>
                        </a:solidFill>
                        <a:ln w="9525">
                          <a:noFill/>
                          <a:miter lim="800000"/>
                          <a:headEnd/>
                          <a:tailEnd/>
                        </a:ln>
                      </wps:spPr>
                      <wps:txbx>
                        <w:txbxContent>
                          <w:p w14:paraId="5AA2E05B" w14:textId="77777777" w:rsidR="00BE415F" w:rsidRDefault="00BE415F" w:rsidP="007B4DAC">
                            <w:pPr>
                              <w:pStyle w:val="Heading1-center"/>
                            </w:pPr>
                            <w:r w:rsidRPr="00F30939">
                              <w:t>Appendices</w:t>
                            </w:r>
                          </w:p>
                        </w:txbxContent>
                      </wps:txbx>
                      <wps:bodyPr rot="0" vert="horz" wrap="square" lIns="91440" tIns="4680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13F2608A" id="_x0000_s1037" type="#_x0000_t202" alt="Title: Appendices - Description: Appendices" style="position:absolute;margin-left:210pt;margin-top:406.8pt;width:174.2pt;height:65.4pt;z-index:251710464;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" stroked="f">
                <v:textbox inset=",1.3mm">
                  <w:txbxContent>
                    <w:p w14:paraId="5AA2E05B" w14:textId="77777777" w:rsidR="00BE415F" w:rsidRDefault="00BE415F" w:rsidP="007B4DAC">
                      <w:pPr>
                        <w:pStyle w:val="Heading1-center"/>
                      </w:pPr>
                      <w:r w:rsidRPr="00F30939">
                        <w:t>Appendices</w:t>
                      </w:r>
                    </w:p>
                  </w:txbxContent>
                </v:textbox>
                <w10:wrap type="square" anchorx="page" anchory="page"/>
              </v:shape>
            </w:pict>
          </mc:Fallback>
        </mc:AlternateContent>
      </w:r>
    </w:p>
    <w:p w14:paraId="2746DE9E" w14:textId="1D03A142" w:rsidR="007B4DAC" w:rsidRDefault="007B4DAC" w:rsidP="007B4DAC">
      <w:r>
        <w:br w:type="page"/>
      </w:r>
    </w:p>
    <w:p w14:paraId="516C14DA" w14:textId="23DC124A" w:rsidR="00722AEC" w:rsidRPr="00F30939" w:rsidRDefault="00722AEC" w:rsidP="00722AEC">
      <w:pPr>
        <w:pStyle w:val="Heading1"/>
      </w:pPr>
      <w:bookmarkStart w:id="47" w:name="_Ref67057946"/>
      <w:bookmarkStart w:id="48" w:name="_Ref529450342"/>
      <w:bookmarkEnd w:id="31"/>
      <w:r w:rsidRPr="00F30939">
        <w:t xml:space="preserve">Appendix </w:t>
      </w:r>
      <w:r>
        <w:t>1</w:t>
      </w:r>
      <w:r w:rsidRPr="00F30939">
        <w:t xml:space="preserve">: The Role and Responsibilities of the </w:t>
      </w:r>
      <w:r>
        <w:t>Auditor</w:t>
      </w:r>
      <w:r>
        <w:noBreakHyphen/>
        <w:t>General</w:t>
      </w:r>
      <w:bookmarkEnd w:id="47"/>
    </w:p>
    <w:p w14:paraId="3A68DE77" w14:textId="77777777" w:rsidR="00722AEC" w:rsidRPr="00F30939" w:rsidRDefault="00722AEC" w:rsidP="00722AEC">
      <w:pPr>
        <w:pStyle w:val="Heading2"/>
      </w:pPr>
      <w:r w:rsidRPr="00F30939">
        <w:t xml:space="preserve">Responsibilities of the </w:t>
      </w:r>
      <w:r>
        <w:t>Auditor</w:t>
      </w:r>
      <w:r>
        <w:noBreakHyphen/>
        <w:t>General</w:t>
      </w:r>
    </w:p>
    <w:p w14:paraId="642B4AF4" w14:textId="13E3FAD9" w:rsidR="00722AEC" w:rsidRPr="00595EE4" w:rsidRDefault="00722AEC" w:rsidP="00722AEC">
      <w:r w:rsidRPr="00595EE4">
        <w:t>The Auditor</w:t>
      </w:r>
      <w:r w:rsidRPr="00595EE4">
        <w:noBreakHyphen/>
        <w:t xml:space="preserve">General’s powers and responsibilities are established in the </w:t>
      </w:r>
      <w:r w:rsidRPr="00595EE4">
        <w:rPr>
          <w:i/>
        </w:rPr>
        <w:t xml:space="preserve">Audit Act 1995 </w:t>
      </w:r>
      <w:r w:rsidRPr="00595EE4">
        <w:t>by the Northern Territory's Parliament, the Legislative Assembly. The Auditor</w:t>
      </w:r>
      <w:r w:rsidRPr="00595EE4">
        <w:noBreakHyphen/>
        <w:t>General is required to report to the Legislative Assembly at least once each year on any matters arising from the exercise of the auditing powers established in that Act. Each report may contain findings from financial statement audits, agency compliance audits, information technology audits, controls and compliance audits, performance management system audits and findings from</w:t>
      </w:r>
      <w:r w:rsidR="00A715EB" w:rsidRPr="00595EE4">
        <w:t xml:space="preserve"> any special reviews conducted.</w:t>
      </w:r>
      <w:r w:rsidRPr="00595EE4">
        <w:t xml:space="preserve"> Results of any reviews of referred information under the </w:t>
      </w:r>
      <w:r w:rsidRPr="00595EE4">
        <w:rPr>
          <w:i/>
        </w:rPr>
        <w:t xml:space="preserve">Public Information Act 2010 </w:t>
      </w:r>
      <w:r w:rsidRPr="00595EE4">
        <w:t>are included when the reviews are concluded.</w:t>
      </w:r>
    </w:p>
    <w:p w14:paraId="6BE756AB" w14:textId="77777777" w:rsidR="00722AEC" w:rsidRPr="00595EE4" w:rsidRDefault="00722AEC" w:rsidP="00722AEC">
      <w:r w:rsidRPr="00595EE4">
        <w:t>In reporting these results, the Auditor</w:t>
      </w:r>
      <w:r w:rsidRPr="00595EE4">
        <w:noBreakHyphen/>
        <w:t xml:space="preserve">General is providing information to the Parliament to assist its review of the performance of the Executive Government, particularly the Government’s responsibility for the actions of the public sector entities which administer its financial management and performance management directives. The Parliament has a responsibility to conduct this review as the representative of the people of the Northern Territory. </w:t>
      </w:r>
    </w:p>
    <w:p w14:paraId="24F4CAC5" w14:textId="77777777" w:rsidR="00722AEC" w:rsidRPr="00595EE4" w:rsidRDefault="00722AEC" w:rsidP="00722AEC">
      <w:r w:rsidRPr="00595EE4">
        <w:t>The Auditor</w:t>
      </w:r>
      <w:r w:rsidRPr="00595EE4">
        <w:noBreakHyphen/>
        <w:t>General is also able to report to management of public sector entities on matters arising from the conduct of audits.</w:t>
      </w:r>
    </w:p>
    <w:p w14:paraId="5E13A9BA" w14:textId="77777777" w:rsidR="00722AEC" w:rsidRPr="00595EE4" w:rsidRDefault="00722AEC" w:rsidP="00722AEC">
      <w:r w:rsidRPr="00595EE4">
        <w:t>Reports provided to Parliament and public sector managers should be recognised as a useful source of independent analysis of government information, and of the systems and controls underpinning the delivery of that information.</w:t>
      </w:r>
    </w:p>
    <w:p w14:paraId="33632D52" w14:textId="77777777" w:rsidR="00722AEC" w:rsidRPr="00595EE4" w:rsidRDefault="00722AEC" w:rsidP="00722AEC">
      <w:r w:rsidRPr="00595EE4">
        <w:t>The Auditor</w:t>
      </w:r>
      <w:r w:rsidRPr="00595EE4">
        <w:noBreakHyphen/>
        <w:t>General is assisted by personnel of the Northern Territory Auditor</w:t>
      </w:r>
      <w:r w:rsidRPr="00595EE4">
        <w:noBreakHyphen/>
        <w:t>General’s Office who plan audits and tasks conducted by private sector Authorised Auditors.</w:t>
      </w:r>
    </w:p>
    <w:p w14:paraId="7ECE7A14" w14:textId="77777777" w:rsidR="00722AEC" w:rsidRPr="00595EE4" w:rsidRDefault="00722AEC" w:rsidP="00722AEC">
      <w:r w:rsidRPr="00595EE4">
        <w:t xml:space="preserve">The requirements of the </w:t>
      </w:r>
      <w:r w:rsidRPr="00595EE4">
        <w:rPr>
          <w:i/>
        </w:rPr>
        <w:t xml:space="preserve">Audit Act 1995 </w:t>
      </w:r>
      <w:r w:rsidRPr="00595EE4">
        <w:t>in relation to auditing the Public Account and other accounts are found in:</w:t>
      </w:r>
    </w:p>
    <w:p w14:paraId="522E428E" w14:textId="77777777" w:rsidR="00722AEC" w:rsidRPr="00595EE4" w:rsidRDefault="00722AEC" w:rsidP="00722AEC">
      <w:pPr>
        <w:pStyle w:val="ListBullet"/>
        <w:ind w:left="357" w:hanging="357"/>
      </w:pPr>
      <w:r w:rsidRPr="00595EE4">
        <w:t>Section 13, which requires the Auditor</w:t>
      </w:r>
      <w:r w:rsidRPr="00595EE4">
        <w:noBreakHyphen/>
        <w:t>General to audit the Public Account and other accounts, with regard to:</w:t>
      </w:r>
    </w:p>
    <w:p w14:paraId="53BC3400" w14:textId="77777777" w:rsidR="00722AEC" w:rsidRPr="00595EE4" w:rsidRDefault="00722AEC" w:rsidP="00722AEC">
      <w:pPr>
        <w:pStyle w:val="ListBullet2"/>
      </w:pPr>
      <w:r w:rsidRPr="00595EE4">
        <w:t xml:space="preserve">the character and effectiveness of internal control; and </w:t>
      </w:r>
    </w:p>
    <w:p w14:paraId="7623CBD9" w14:textId="77777777" w:rsidR="00722AEC" w:rsidRPr="00595EE4" w:rsidRDefault="00722AEC" w:rsidP="00722AEC">
      <w:pPr>
        <w:pStyle w:val="ListBullet2"/>
      </w:pPr>
      <w:r w:rsidRPr="00595EE4">
        <w:t>professional standards and practices.</w:t>
      </w:r>
    </w:p>
    <w:p w14:paraId="56503A98" w14:textId="77777777" w:rsidR="00722AEC" w:rsidRPr="00595EE4" w:rsidRDefault="00722AEC" w:rsidP="00722AEC">
      <w:pPr>
        <w:pStyle w:val="ListBullet"/>
        <w:ind w:left="357" w:hanging="357"/>
      </w:pPr>
      <w:r w:rsidRPr="00595EE4">
        <w:t>Section 25, which requires the Auditor</w:t>
      </w:r>
      <w:r w:rsidRPr="00595EE4">
        <w:noBreakHyphen/>
        <w:t>General to issue a report to the Treasurer on the Treasurer’s Annual Financial Statement.</w:t>
      </w:r>
    </w:p>
    <w:p w14:paraId="5EE4AF4F" w14:textId="77777777" w:rsidR="00722AEC" w:rsidRPr="00F30939" w:rsidRDefault="00722AEC" w:rsidP="00722AEC">
      <w:pPr>
        <w:pStyle w:val="Heading1-continued"/>
      </w:pPr>
      <w:r w:rsidRPr="00F30939">
        <w:t xml:space="preserve">Appendix </w:t>
      </w:r>
      <w:r>
        <w:t>1</w:t>
      </w:r>
      <w:r w:rsidRPr="00F30939">
        <w:t xml:space="preserve">: The Role and Responsibilities of the </w:t>
      </w:r>
      <w:r>
        <w:t>Auditor</w:t>
      </w:r>
      <w:r>
        <w:noBreakHyphen/>
        <w:t>General</w:t>
      </w:r>
      <w:r w:rsidRPr="00F30939">
        <w:t xml:space="preserve"> cont…</w:t>
      </w:r>
    </w:p>
    <w:p w14:paraId="06265E97" w14:textId="77777777" w:rsidR="00722AEC" w:rsidRPr="00F30939" w:rsidRDefault="00722AEC" w:rsidP="00722AEC">
      <w:pPr>
        <w:pStyle w:val="Heading2"/>
      </w:pPr>
      <w:r w:rsidRPr="00F30939">
        <w:t>Audit of the Treasurer’s Annual Financial Statement</w:t>
      </w:r>
    </w:p>
    <w:p w14:paraId="0907881F" w14:textId="77777777" w:rsidR="00722AEC" w:rsidRPr="00595EE4" w:rsidRDefault="00722AEC" w:rsidP="00722AEC">
      <w:r w:rsidRPr="00595EE4">
        <w:t>Using information about the effectiveness of internal controls identified in the overall control environment review, Agency Compliance Audits including End of Year Reviews and the results of financial statement audits, an audit approach is designed and implemented to obtain assurance that the balances disclosed in the Treasurer’s Annual Financial Statement are in accordance with the disclosure requirements adopted by the Treasurer, and are within acceptable materiality standards.</w:t>
      </w:r>
    </w:p>
    <w:p w14:paraId="00FDC8C2" w14:textId="77777777" w:rsidR="00722AEC" w:rsidRPr="00595EE4" w:rsidRDefault="00722AEC" w:rsidP="00722AEC">
      <w:r w:rsidRPr="00595EE4">
        <w:t>The audit report on the Treasurer’s Annual Financial Statement is issued to the Treasurer. The Treasurer then tables the audited Treasurer’s Annual Financial Statement to the Parliament as a key component of the accountability of the Government to the Parliament.</w:t>
      </w:r>
    </w:p>
    <w:p w14:paraId="230B767F" w14:textId="47F3FD51" w:rsidR="00722AEC" w:rsidRPr="00595EE4" w:rsidRDefault="00722AEC" w:rsidP="00722AEC">
      <w:r w:rsidRPr="00595EE4">
        <w:t>Statutory bodies, Government Owned Corporations and Government Business Divisions are required by various Acts of Parliament to prepare annual financial statements and to submit those statements to the Auditor</w:t>
      </w:r>
      <w:r w:rsidRPr="00595EE4">
        <w:noBreakHyphen/>
        <w:t>General</w:t>
      </w:r>
      <w:r w:rsidR="00A715EB" w:rsidRPr="00595EE4">
        <w:t xml:space="preserve"> for audit.</w:t>
      </w:r>
      <w:r w:rsidRPr="00595EE4">
        <w:t xml:space="preserve"> Those statements are audited and aud</w:t>
      </w:r>
      <w:r w:rsidR="00A715EB" w:rsidRPr="00595EE4">
        <w:t>it opinions issued accordingly.</w:t>
      </w:r>
      <w:r w:rsidRPr="00595EE4">
        <w:t xml:space="preserve"> The opinions are included in the various entities’ annual reports that are table</w:t>
      </w:r>
      <w:r w:rsidR="00A715EB" w:rsidRPr="00595EE4">
        <w:t xml:space="preserve">d in the Legislative Assembly. </w:t>
      </w:r>
      <w:r w:rsidRPr="00595EE4">
        <w:t xml:space="preserve">If matters of concern were </w:t>
      </w:r>
      <w:r w:rsidR="00DC1838" w:rsidRPr="00595EE4">
        <w:t>observed</w:t>
      </w:r>
      <w:r w:rsidRPr="00595EE4">
        <w:t xml:space="preserve"> during the course of an audit, specific comment is included in my report to the Legislative Assembly.</w:t>
      </w:r>
    </w:p>
    <w:p w14:paraId="09CDAC93" w14:textId="19582E00" w:rsidR="00722AEC" w:rsidRPr="00595EE4" w:rsidRDefault="00722AEC" w:rsidP="00722AEC">
      <w:r w:rsidRPr="00595EE4">
        <w:t xml:space="preserve">In addition, the Northern Territory Government controls, either directly or indirectly, a small number of companies that have been incorporated pursuant to the Commonwealth </w:t>
      </w:r>
      <w:r w:rsidRPr="00595EE4">
        <w:rPr>
          <w:i/>
        </w:rPr>
        <w:t>Corporations Act 2001</w:t>
      </w:r>
      <w:r w:rsidRPr="00595EE4">
        <w:t xml:space="preserve">. </w:t>
      </w:r>
      <w:r w:rsidR="00595EE4" w:rsidRPr="00595EE4">
        <w:t>A</w:t>
      </w:r>
      <w:r w:rsidRPr="00595EE4">
        <w:t xml:space="preserve">udits </w:t>
      </w:r>
      <w:r w:rsidR="00595EE4" w:rsidRPr="00595EE4">
        <w:t xml:space="preserve">of these companies </w:t>
      </w:r>
      <w:r w:rsidRPr="00595EE4">
        <w:t>are performed subject to the provisions of the Commonwealth legislation, with the Auditor</w:t>
      </w:r>
      <w:r w:rsidRPr="00595EE4">
        <w:noBreakHyphen/>
        <w:t xml:space="preserve">General being deemed by the </w:t>
      </w:r>
      <w:r w:rsidRPr="00595EE4">
        <w:rPr>
          <w:i/>
        </w:rPr>
        <w:t>Corporations Act 2001</w:t>
      </w:r>
      <w:r w:rsidRPr="00595EE4">
        <w:t xml:space="preserve"> to b</w:t>
      </w:r>
      <w:r w:rsidR="00A715EB" w:rsidRPr="00595EE4">
        <w:t>e a Registered Company Auditor.</w:t>
      </w:r>
      <w:r w:rsidRPr="00595EE4">
        <w:t xml:space="preserve"> </w:t>
      </w:r>
    </w:p>
    <w:p w14:paraId="3262387D" w14:textId="04890071" w:rsidR="00722AEC" w:rsidRPr="00595EE4" w:rsidRDefault="00722AEC" w:rsidP="00722AEC">
      <w:r w:rsidRPr="00595EE4">
        <w:t xml:space="preserve">Audits by my Office are conducted in accordance with </w:t>
      </w:r>
      <w:r w:rsidR="00A715EB" w:rsidRPr="00595EE4">
        <w:t xml:space="preserve">Australian Auditing Standards. </w:t>
      </w:r>
      <w:r w:rsidRPr="00595EE4">
        <w:t xml:space="preserve">Those standards are issued by the Australian Auditing and Assurance Standards Board, a Commonwealth statutory body established under the </w:t>
      </w:r>
      <w:r w:rsidRPr="00595EE4">
        <w:rPr>
          <w:i/>
        </w:rPr>
        <w:t>Australian Securities and Investments Commission Act 2001</w:t>
      </w:r>
      <w:r w:rsidR="00A715EB" w:rsidRPr="00595EE4">
        <w:t>.</w:t>
      </w:r>
      <w:r w:rsidRPr="00595EE4">
        <w:t xml:space="preserve"> Auditing Standards issued by the Board have the force of law in respect of audits of corporations that fall within the ambit of the </w:t>
      </w:r>
      <w:r w:rsidRPr="00595EE4">
        <w:rPr>
          <w:i/>
        </w:rPr>
        <w:t>Corporations Act 2001</w:t>
      </w:r>
      <w:r w:rsidRPr="00595EE4">
        <w:t xml:space="preserve">, while the </w:t>
      </w:r>
      <w:r w:rsidRPr="00595EE4">
        <w:rPr>
          <w:i/>
        </w:rPr>
        <w:t xml:space="preserve">Audit Act 1995 </w:t>
      </w:r>
      <w:r w:rsidRPr="00595EE4">
        <w:t>also requires that the Auditor</w:t>
      </w:r>
      <w:r w:rsidRPr="00595EE4">
        <w:noBreakHyphen/>
        <w:t>General has regard to those standards.</w:t>
      </w:r>
    </w:p>
    <w:p w14:paraId="7D1DF4A0" w14:textId="77777777" w:rsidR="00722AEC" w:rsidRPr="00595EE4" w:rsidRDefault="00722AEC" w:rsidP="00722AEC">
      <w:pPr>
        <w:pStyle w:val="Heading2"/>
      </w:pPr>
      <w:r w:rsidRPr="00595EE4">
        <w:t>The Public Account</w:t>
      </w:r>
    </w:p>
    <w:p w14:paraId="013EA530" w14:textId="77777777" w:rsidR="00722AEC" w:rsidRPr="00595EE4" w:rsidRDefault="00722AEC" w:rsidP="00722AEC">
      <w:r w:rsidRPr="00595EE4">
        <w:t xml:space="preserve">The Public Account is defined in the </w:t>
      </w:r>
      <w:r w:rsidRPr="00595EE4">
        <w:rPr>
          <w:i/>
        </w:rPr>
        <w:t>Financial Management Act 1995</w:t>
      </w:r>
      <w:r w:rsidRPr="00595EE4">
        <w:t xml:space="preserve"> as:</w:t>
      </w:r>
    </w:p>
    <w:p w14:paraId="5B53D277" w14:textId="77777777" w:rsidR="00722AEC" w:rsidRPr="00595EE4" w:rsidRDefault="00722AEC" w:rsidP="00722AEC">
      <w:pPr>
        <w:pStyle w:val="ListBullet"/>
      </w:pPr>
      <w:r w:rsidRPr="00595EE4">
        <w:t>The Central Holding Authority; and</w:t>
      </w:r>
    </w:p>
    <w:p w14:paraId="39BE09A1" w14:textId="147B250B" w:rsidR="00722AEC" w:rsidRPr="00595EE4" w:rsidRDefault="008F62CD" w:rsidP="00722AEC">
      <w:pPr>
        <w:pStyle w:val="ListBullet"/>
      </w:pPr>
      <w:r>
        <w:t>Operating accounts of a</w:t>
      </w:r>
      <w:r w:rsidR="00722AEC" w:rsidRPr="00595EE4">
        <w:t>gencies and Government Business Divisions.</w:t>
      </w:r>
    </w:p>
    <w:p w14:paraId="4A844818" w14:textId="77777777" w:rsidR="00722AEC" w:rsidRPr="00F30939" w:rsidRDefault="00722AEC" w:rsidP="00722AEC">
      <w:pPr>
        <w:pStyle w:val="Heading1-continued"/>
      </w:pPr>
      <w:r w:rsidRPr="00F30939">
        <w:t xml:space="preserve">Appendix </w:t>
      </w:r>
      <w:r>
        <w:t>1</w:t>
      </w:r>
      <w:r w:rsidRPr="00F30939">
        <w:t xml:space="preserve">: The Role and Responsibilities of the </w:t>
      </w:r>
      <w:r>
        <w:t>Auditor</w:t>
      </w:r>
      <w:r>
        <w:noBreakHyphen/>
        <w:t>General</w:t>
      </w:r>
      <w:r w:rsidRPr="00F30939">
        <w:t xml:space="preserve"> cont…</w:t>
      </w:r>
    </w:p>
    <w:p w14:paraId="4FCE9C0E" w14:textId="77777777" w:rsidR="00722AEC" w:rsidRPr="00F30939" w:rsidRDefault="00722AEC" w:rsidP="00722AEC">
      <w:pPr>
        <w:pStyle w:val="Heading2"/>
      </w:pPr>
      <w:r w:rsidRPr="00F30939">
        <w:t>Audits of Performance Management Systems</w:t>
      </w:r>
    </w:p>
    <w:p w14:paraId="4445AF09" w14:textId="77777777" w:rsidR="00722AEC" w:rsidRPr="00F30939" w:rsidRDefault="00722AEC" w:rsidP="00722AEC">
      <w:pPr>
        <w:pStyle w:val="Heading3"/>
      </w:pPr>
      <w:r w:rsidRPr="00F30939">
        <w:t>Legislative Framework</w:t>
      </w:r>
    </w:p>
    <w:p w14:paraId="4058BFF7" w14:textId="42CF6697" w:rsidR="00722AEC" w:rsidRPr="00FE1F5E" w:rsidRDefault="00722AEC" w:rsidP="00722AEC">
      <w:r w:rsidRPr="00FE1F5E">
        <w:t xml:space="preserve">A Chief Executive Officer, as an Accountable Officer, is responsible to the appropriate Minister under section 23 of the </w:t>
      </w:r>
      <w:r w:rsidRPr="00FE1F5E">
        <w:rPr>
          <w:i/>
        </w:rPr>
        <w:t>Public Sector Employment and Management Act 1993</w:t>
      </w:r>
      <w:r w:rsidRPr="00FE1F5E">
        <w:t xml:space="preserve"> for the proper, efficient and economic admini</w:t>
      </w:r>
      <w:r w:rsidR="00A715EB" w:rsidRPr="00FE1F5E">
        <w:t xml:space="preserve">stration of his or her agency. </w:t>
      </w:r>
      <w:r w:rsidRPr="00FE1F5E">
        <w:t xml:space="preserve">Under section 13 (2)(b) of the </w:t>
      </w:r>
      <w:r w:rsidRPr="00FE1F5E">
        <w:rPr>
          <w:i/>
        </w:rPr>
        <w:t>Financial Management Act 1995</w:t>
      </w:r>
      <w:r w:rsidRPr="00FE1F5E">
        <w:t>, an Accountable Officer shall ensure that procedures “</w:t>
      </w:r>
      <w:r w:rsidRPr="00FE1F5E">
        <w:rPr>
          <w:i/>
        </w:rPr>
        <w:t>in the agency are such as will at all times afford a proper internal control</w:t>
      </w:r>
      <w:r w:rsidR="00A715EB" w:rsidRPr="00FE1F5E">
        <w:t xml:space="preserve">”. </w:t>
      </w:r>
      <w:r w:rsidRPr="00FE1F5E">
        <w:t xml:space="preserve">Internal control is defined in section 3 of the </w:t>
      </w:r>
      <w:r w:rsidRPr="00FE1F5E">
        <w:rPr>
          <w:i/>
        </w:rPr>
        <w:t>Financial Management Act 1995</w:t>
      </w:r>
      <w:r w:rsidRPr="00FE1F5E">
        <w:t xml:space="preserve"> to include “</w:t>
      </w:r>
      <w:r w:rsidRPr="00FE1F5E">
        <w:rPr>
          <w:i/>
        </w:rPr>
        <w:t>the methods and procedures adopted within an agency to promote operational efficiency, effectiveness and economy</w:t>
      </w:r>
      <w:r w:rsidRPr="00FE1F5E">
        <w:t>”.</w:t>
      </w:r>
    </w:p>
    <w:p w14:paraId="27C93C73" w14:textId="77777777" w:rsidR="00722AEC" w:rsidRPr="00FE1F5E" w:rsidRDefault="00722AEC" w:rsidP="00722AEC">
      <w:r w:rsidRPr="00FE1F5E">
        <w:t xml:space="preserve">Section 15 of the </w:t>
      </w:r>
      <w:r w:rsidRPr="00FE1F5E">
        <w:rPr>
          <w:i/>
        </w:rPr>
        <w:t>Audit Act 1995</w:t>
      </w:r>
      <w:r w:rsidRPr="00FE1F5E">
        <w:t xml:space="preserve"> complements the legislative requirements imposed on Chief Executive Officers by providing the Auditor</w:t>
      </w:r>
      <w:r w:rsidRPr="00FE1F5E">
        <w:noBreakHyphen/>
        <w:t>General with the power to audit performance management systems of any agency or other organisation in respect of the accounts of which the Auditor</w:t>
      </w:r>
      <w:r w:rsidRPr="00FE1F5E">
        <w:noBreakHyphen/>
        <w:t>General is required or permitted by a law of the Territory to conduct an audit.</w:t>
      </w:r>
    </w:p>
    <w:p w14:paraId="6E20D9D2" w14:textId="77777777" w:rsidR="00722AEC" w:rsidRPr="00FE1F5E" w:rsidRDefault="00722AEC" w:rsidP="00722AEC">
      <w:r w:rsidRPr="00FE1F5E">
        <w:t>A performance management system is not defined in the legislation, but section 15 of the</w:t>
      </w:r>
      <w:r w:rsidRPr="00FE1F5E">
        <w:rPr>
          <w:i/>
        </w:rPr>
        <w:t xml:space="preserve"> Audit Act 1995 </w:t>
      </w:r>
      <w:r w:rsidRPr="00FE1F5E">
        <w:t>identifies that: “</w:t>
      </w:r>
      <w:r w:rsidRPr="00FE1F5E">
        <w:rPr>
          <w:i/>
        </w:rPr>
        <w:t>the object of an audit conducted under this section includes determining whether the performance management systems of an agency or organisation in respect of which the audit is being conducted enable the Agency or organisation to assess whether its objectives are being achieved economically, efficiently and effectively.</w:t>
      </w:r>
      <w:r w:rsidRPr="00FE1F5E">
        <w:t>”  Performance management system audits can be conducted at a corporate level, a program level, or at a category of cost level, such as capital expenditure.</w:t>
      </w:r>
    </w:p>
    <w:p w14:paraId="7D514984" w14:textId="77777777" w:rsidR="00722AEC" w:rsidRPr="00FE1F5E" w:rsidRDefault="00722AEC" w:rsidP="00722AEC">
      <w:pPr>
        <w:pStyle w:val="Heading3"/>
      </w:pPr>
      <w:r w:rsidRPr="00FE1F5E">
        <w:t>Operational Framework</w:t>
      </w:r>
    </w:p>
    <w:p w14:paraId="327E5373" w14:textId="77777777" w:rsidR="00722AEC" w:rsidRPr="00FE1F5E" w:rsidRDefault="00722AEC" w:rsidP="00722AEC">
      <w:r w:rsidRPr="00FE1F5E">
        <w:t>The Northern Territory Auditor</w:t>
      </w:r>
      <w:r w:rsidRPr="00FE1F5E">
        <w:noBreakHyphen/>
        <w:t>General’s Office has developed a framework for its approach to the conduct of performance management system audits, which is based on the premise that an effective performance management system would contain the following elements:</w:t>
      </w:r>
    </w:p>
    <w:p w14:paraId="33543E6A" w14:textId="77777777" w:rsidR="00722AEC" w:rsidRPr="00FE1F5E" w:rsidRDefault="00722AEC" w:rsidP="00722AEC">
      <w:pPr>
        <w:pStyle w:val="ListBullet"/>
      </w:pPr>
      <w:r w:rsidRPr="00FE1F5E">
        <w:t>identification of the policy and corporate objectives of the entity;</w:t>
      </w:r>
    </w:p>
    <w:p w14:paraId="41EB47F7" w14:textId="77777777" w:rsidR="00722AEC" w:rsidRPr="00FE1F5E" w:rsidRDefault="00722AEC" w:rsidP="00722AEC">
      <w:pPr>
        <w:pStyle w:val="ListBullet"/>
      </w:pPr>
      <w:r w:rsidRPr="00FE1F5E">
        <w:t>incorporation of those objectives in the entity’s corporate or strategic planning process and allocation of these to programs of the entity;</w:t>
      </w:r>
    </w:p>
    <w:p w14:paraId="7A34B84D" w14:textId="77777777" w:rsidR="00722AEC" w:rsidRPr="00FE1F5E" w:rsidRDefault="00722AEC" w:rsidP="00722AEC">
      <w:pPr>
        <w:pStyle w:val="ListBullet"/>
      </w:pPr>
      <w:r w:rsidRPr="00FE1F5E">
        <w:t>identification of what successful achievement of those corporate objectives would look like, and recording of these as performance targets;</w:t>
      </w:r>
    </w:p>
    <w:p w14:paraId="538F5F8D" w14:textId="77777777" w:rsidR="00722AEC" w:rsidRPr="00FE1F5E" w:rsidRDefault="00722AEC" w:rsidP="00722AEC">
      <w:pPr>
        <w:pStyle w:val="ListBullet"/>
      </w:pPr>
      <w:r w:rsidRPr="00FE1F5E">
        <w:t>development of strategies for achievement of the desired performance outcomes;</w:t>
      </w:r>
    </w:p>
    <w:p w14:paraId="3E518E8C" w14:textId="77777777" w:rsidR="00722AEC" w:rsidRPr="00FE1F5E" w:rsidRDefault="00722AEC" w:rsidP="00722AEC">
      <w:pPr>
        <w:pStyle w:val="ListBullet"/>
      </w:pPr>
      <w:r w:rsidRPr="00FE1F5E">
        <w:t>monitoring of the progress toward that achievement;</w:t>
      </w:r>
    </w:p>
    <w:p w14:paraId="59D66108" w14:textId="77777777" w:rsidR="00722AEC" w:rsidRPr="00FE1F5E" w:rsidRDefault="00722AEC" w:rsidP="00722AEC">
      <w:pPr>
        <w:pStyle w:val="ListBullet"/>
      </w:pPr>
      <w:r w:rsidRPr="00FE1F5E">
        <w:t>evaluation of the effectiveness of the final outcome against the intended objectives; and</w:t>
      </w:r>
    </w:p>
    <w:p w14:paraId="10555763" w14:textId="77777777" w:rsidR="00722AEC" w:rsidRPr="00FE1F5E" w:rsidRDefault="00722AEC" w:rsidP="00722AEC">
      <w:pPr>
        <w:pStyle w:val="ListBullet"/>
      </w:pPr>
      <w:r w:rsidRPr="00FE1F5E">
        <w:t>reporting on the outcomes, together with recommendations for subsequent improvement.</w:t>
      </w:r>
    </w:p>
    <w:p w14:paraId="35061E86" w14:textId="77777777" w:rsidR="00722AEC" w:rsidRPr="00F30939" w:rsidRDefault="00722AEC" w:rsidP="00722AEC">
      <w:pPr>
        <w:pStyle w:val="Heading1"/>
      </w:pPr>
      <w:bookmarkStart w:id="49" w:name="_Ref529441246"/>
      <w:r w:rsidRPr="00FE1F5E">
        <w:t>Appendix 2: Guide t</w:t>
      </w:r>
      <w:r w:rsidRPr="00F30939">
        <w:t>o Using this Report</w:t>
      </w:r>
      <w:bookmarkEnd w:id="49"/>
    </w:p>
    <w:p w14:paraId="46CDBEF0" w14:textId="77777777" w:rsidR="00722AEC" w:rsidRPr="00EF3435" w:rsidRDefault="00722AEC" w:rsidP="00722AEC">
      <w:pPr>
        <w:pStyle w:val="Heading2"/>
      </w:pPr>
      <w:r w:rsidRPr="00EF3435">
        <w:t>Auditing</w:t>
      </w:r>
    </w:p>
    <w:p w14:paraId="5E22E93C" w14:textId="5689B1C9" w:rsidR="00722AEC" w:rsidRPr="00EF3435" w:rsidRDefault="00722AEC" w:rsidP="00722AEC">
      <w:r w:rsidRPr="00EF3435">
        <w:t>There are two general varieties of auditing undertaken in the Northern Territory Public Sector, independent a</w:t>
      </w:r>
      <w:r w:rsidR="00A715EB" w:rsidRPr="00EF3435">
        <w:t xml:space="preserve">uditing and internal auditing. </w:t>
      </w:r>
      <w:r w:rsidRPr="00EF3435">
        <w:t>Only independent audits are undertaken through the Office of the Auditor</w:t>
      </w:r>
      <w:r w:rsidRPr="00EF3435">
        <w:noBreakHyphen/>
        <w:t>General</w:t>
      </w:r>
      <w:r w:rsidR="00A715EB" w:rsidRPr="00EF3435">
        <w:t xml:space="preserve">. </w:t>
      </w:r>
      <w:r w:rsidRPr="00EF3435">
        <w:t xml:space="preserve">I, and my Principal Auditors (as my representatives), do attend meetings of </w:t>
      </w:r>
      <w:r w:rsidR="008F62CD">
        <w:t>a</w:t>
      </w:r>
      <w:r w:rsidRPr="00EF3435">
        <w:t>gencies’ audit and risk committees where invited, but only in the role of observer.</w:t>
      </w:r>
    </w:p>
    <w:p w14:paraId="7C5A79C9" w14:textId="77777777" w:rsidR="00722AEC" w:rsidRPr="00EF3435" w:rsidRDefault="00722AEC" w:rsidP="00722AEC">
      <w:pPr>
        <w:pStyle w:val="Heading3"/>
      </w:pPr>
      <w:r w:rsidRPr="00EF3435">
        <w:t>Independent Audit (also known as External Audit)</w:t>
      </w:r>
    </w:p>
    <w:p w14:paraId="35FF0FCD" w14:textId="1B5D542B" w:rsidR="00722AEC" w:rsidRPr="00EF3435" w:rsidRDefault="00722AEC" w:rsidP="00722AEC">
      <w:r w:rsidRPr="00EF3435">
        <w:t>Independent audits are generally undertaken in order for an entity to achieve compliance with statutory or legal arrangem</w:t>
      </w:r>
      <w:r w:rsidR="00A715EB" w:rsidRPr="00EF3435">
        <w:t>ents.</w:t>
      </w:r>
      <w:r w:rsidRPr="00EF3435">
        <w:t xml:space="preserve"> Independent audits may be mandated by legislation or be required by a contractual arrangement. The audit work and resultant opinion is undertaken by an individual or entity independent of the agency</w:t>
      </w:r>
      <w:r w:rsidR="00A715EB" w:rsidRPr="00EF3435">
        <w:t xml:space="preserve"> or entity subjected to audit. </w:t>
      </w:r>
      <w:r w:rsidRPr="00EF3435">
        <w:t xml:space="preserve">These audits can take the form of financial statements audits, compliance audits or performance management system audits. </w:t>
      </w:r>
    </w:p>
    <w:p w14:paraId="150E0803" w14:textId="77777777" w:rsidR="00722AEC" w:rsidRPr="00EF3435" w:rsidRDefault="00722AEC" w:rsidP="00722AEC">
      <w:pPr>
        <w:pStyle w:val="Heading3"/>
      </w:pPr>
      <w:r w:rsidRPr="00EF3435">
        <w:t>Internal Audit</w:t>
      </w:r>
    </w:p>
    <w:p w14:paraId="56561B14" w14:textId="483C507A" w:rsidR="00722AEC" w:rsidRPr="00EF3435" w:rsidRDefault="00722AEC" w:rsidP="00722AEC">
      <w:r w:rsidRPr="00EF3435">
        <w:t xml:space="preserve">Treasurer’s Direction Part 3, Section 2 requires an Accountable Officer to ensure his/her Agency has an adequate internal audit capacity. Internal audit is a management tool designed to provide assurance to Accountable Officers that systems and internal controls operating within </w:t>
      </w:r>
      <w:r w:rsidR="008F62CD">
        <w:t>a</w:t>
      </w:r>
      <w:r w:rsidRPr="00EF3435">
        <w:t>gencies are adequate and effective. Internal audit carries out its functions by undertaking audits, reviews and other related tasks for improving the performance of organisations. The Accountable Officer is ultimately responsible for selection of audit topics, risk management and audit frameworks and the delivery of internal audit services.</w:t>
      </w:r>
    </w:p>
    <w:p w14:paraId="4059ACC0" w14:textId="77777777" w:rsidR="00722AEC" w:rsidRPr="00EF3435" w:rsidRDefault="00722AEC" w:rsidP="00722AEC">
      <w:pPr>
        <w:pStyle w:val="Heading2"/>
      </w:pPr>
      <w:r w:rsidRPr="00EF3435">
        <w:t>Types of Financial Reports</w:t>
      </w:r>
    </w:p>
    <w:p w14:paraId="4B451D76" w14:textId="77777777" w:rsidR="00722AEC" w:rsidRPr="00EF3435" w:rsidRDefault="00722AEC" w:rsidP="00722AEC">
      <w:r w:rsidRPr="00EF3435">
        <w:t>Financial reports submitted for independent audit are prepared under either a general purpose or special purpose framework.</w:t>
      </w:r>
    </w:p>
    <w:p w14:paraId="35881E4C" w14:textId="77777777" w:rsidR="00722AEC" w:rsidRPr="00EF3435" w:rsidRDefault="00722AEC" w:rsidP="00722AEC">
      <w:pPr>
        <w:pStyle w:val="Heading3"/>
      </w:pPr>
      <w:r w:rsidRPr="00EF3435">
        <w:t>General Purpose Financial Report</w:t>
      </w:r>
    </w:p>
    <w:p w14:paraId="41FF08B3" w14:textId="52C3CAE2" w:rsidR="00722AEC" w:rsidRPr="00EF3435" w:rsidRDefault="00722AEC" w:rsidP="00722AEC">
      <w:r w:rsidRPr="00EF3435">
        <w:t>A general purpose financial report comprises a complete set of financial statements, including the related notes, and an assertion statement by those responsible for the financial report, prepared in accordance with a financial reporting framework designed to meet the common financial information n</w:t>
      </w:r>
      <w:r w:rsidR="00A715EB" w:rsidRPr="00EF3435">
        <w:t xml:space="preserve">eeds of a wide range of users. </w:t>
      </w:r>
      <w:r w:rsidRPr="00EF3435">
        <w:t>The financial reporting framework may be a fair presentation framework or a compliance framework.</w:t>
      </w:r>
    </w:p>
    <w:p w14:paraId="6FFD929E" w14:textId="77777777" w:rsidR="00722AEC" w:rsidRPr="00EF3435" w:rsidRDefault="00722AEC" w:rsidP="00722AEC">
      <w:pPr>
        <w:pStyle w:val="Heading3"/>
      </w:pPr>
      <w:r w:rsidRPr="00EF3435">
        <w:t>Special Purpose Financial Report</w:t>
      </w:r>
    </w:p>
    <w:p w14:paraId="6DEE9E33" w14:textId="5A6CC394" w:rsidR="00722AEC" w:rsidRPr="00EF3435" w:rsidRDefault="00722AEC" w:rsidP="00722AEC">
      <w:r w:rsidRPr="00EF3435">
        <w:t>A special purpose financial report comprises a complete set of financial statements, including the related notes, and an assertion statement by those responsible for the financial report, prepared in accordance wit</w:t>
      </w:r>
      <w:r w:rsidR="00A715EB" w:rsidRPr="00EF3435">
        <w:t xml:space="preserve">h a special purpose framework. </w:t>
      </w:r>
      <w:r w:rsidRPr="00EF3435">
        <w:t>The requirements of the applicable financial reporting framework determine the format and content of a financial report prepared in accordance with a special purpose framework.</w:t>
      </w:r>
    </w:p>
    <w:p w14:paraId="7637EC75" w14:textId="77777777" w:rsidR="00722AEC" w:rsidRPr="00EF3435" w:rsidRDefault="00722AEC" w:rsidP="00722AEC">
      <w:pPr>
        <w:pStyle w:val="Heading1-continued"/>
      </w:pPr>
      <w:r w:rsidRPr="00EF3435">
        <w:t>Appendix 2: Guide to Using this Report cont…</w:t>
      </w:r>
    </w:p>
    <w:p w14:paraId="5A772DED" w14:textId="77777777" w:rsidR="00722AEC" w:rsidRPr="00EF3435" w:rsidRDefault="00722AEC" w:rsidP="00722AEC">
      <w:pPr>
        <w:pStyle w:val="Heading2"/>
      </w:pPr>
      <w:r w:rsidRPr="00EF3435">
        <w:t>Types of Assurance Engagements</w:t>
      </w:r>
    </w:p>
    <w:p w14:paraId="2929CCD1" w14:textId="77777777" w:rsidR="00722AEC" w:rsidRPr="00EF3435" w:rsidRDefault="00722AEC" w:rsidP="00722AEC">
      <w:r w:rsidRPr="00EF3435">
        <w:t>The amount of audit work performed, and the resultant independent opinion, varies between an audit and a review. The level of assurance provided by the opinion is either reasonable or limited.</w:t>
      </w:r>
    </w:p>
    <w:p w14:paraId="43A34119" w14:textId="77777777" w:rsidR="00722AEC" w:rsidRPr="00EF3435" w:rsidRDefault="00722AEC" w:rsidP="00722AEC">
      <w:pPr>
        <w:pStyle w:val="Heading3"/>
      </w:pPr>
      <w:r w:rsidRPr="00EF3435">
        <w:t>Reasonable Assurance</w:t>
      </w:r>
    </w:p>
    <w:p w14:paraId="69052762" w14:textId="4AC137C8" w:rsidR="00722AEC" w:rsidRPr="00EF3435" w:rsidRDefault="00722AEC" w:rsidP="00722AEC">
      <w:r w:rsidRPr="00EF3435">
        <w:t>A reasonable assurance engagement is com</w:t>
      </w:r>
      <w:r w:rsidR="00A715EB" w:rsidRPr="00EF3435">
        <w:t xml:space="preserve">monly referred to as an audit. </w:t>
      </w:r>
      <w:r w:rsidRPr="00EF3435">
        <w:t>A reasonable assurance engagement is an assurance engagement where the auditor is required to perform sufficient work to reduce the risk of misstatement to an acceptably low level in order to provide a positive form of conclusion.</w:t>
      </w:r>
    </w:p>
    <w:p w14:paraId="05C4C980" w14:textId="77777777" w:rsidR="00722AEC" w:rsidRPr="00EF3435" w:rsidRDefault="00722AEC" w:rsidP="00722AEC">
      <w:pPr>
        <w:pStyle w:val="Heading3"/>
      </w:pPr>
      <w:r w:rsidRPr="00EF3435">
        <w:t>Limited Assurance</w:t>
      </w:r>
    </w:p>
    <w:p w14:paraId="6972E061" w14:textId="0CE937C1" w:rsidR="00722AEC" w:rsidRPr="00EF3435" w:rsidRDefault="00722AEC" w:rsidP="00722AEC">
      <w:r w:rsidRPr="00EF3435">
        <w:t>A limited assurance engagement is co</w:t>
      </w:r>
      <w:r w:rsidR="00A715EB" w:rsidRPr="00EF3435">
        <w:t>mmonly referred to as a review.</w:t>
      </w:r>
      <w:r w:rsidRPr="00EF3435">
        <w:t xml:space="preserve"> A limited assurance engagement is an assurance engagement where the assurance practitioner’s objective is to perform sufficient audit procedures to reduce the risk of misstatement to a level that is acceptable in the circumstances but where the risk is not reduced to the level of a r</w:t>
      </w:r>
      <w:r w:rsidR="00A715EB" w:rsidRPr="00EF3435">
        <w:t>easonable assurance engagement.</w:t>
      </w:r>
      <w:r w:rsidRPr="00EF3435">
        <w:t xml:space="preserve"> A negative opinion is provided that states that nothing has come to the attention of the reviewer that indicates material misstatement or non-compliance with established criteria.</w:t>
      </w:r>
    </w:p>
    <w:p w14:paraId="7716E1DF" w14:textId="77777777" w:rsidR="00722AEC" w:rsidRPr="00EF3435" w:rsidRDefault="00722AEC" w:rsidP="00722AEC">
      <w:pPr>
        <w:pStyle w:val="Heading2"/>
      </w:pPr>
      <w:r w:rsidRPr="00EF3435">
        <w:t>Audit Opinions</w:t>
      </w:r>
    </w:p>
    <w:p w14:paraId="43E412C9" w14:textId="77777777" w:rsidR="00722AEC" w:rsidRPr="00EF3435" w:rsidRDefault="00722AEC" w:rsidP="00722AEC">
      <w:r w:rsidRPr="00EF3435">
        <w:t>There are two overarching categories of audit opinion, an unmodified audit opinion (sometimes referred to as a “clean” opinion) and a modified audit opinion.</w:t>
      </w:r>
    </w:p>
    <w:p w14:paraId="1FB17CB7" w14:textId="77777777" w:rsidR="00722AEC" w:rsidRPr="00EF3435" w:rsidRDefault="00722AEC" w:rsidP="00722AEC">
      <w:pPr>
        <w:pStyle w:val="Heading3"/>
      </w:pPr>
      <w:r w:rsidRPr="00EF3435">
        <w:t>Unmodified Audit Opinion</w:t>
      </w:r>
    </w:p>
    <w:p w14:paraId="770A4E32" w14:textId="77777777" w:rsidR="00722AEC" w:rsidRPr="00EF3435" w:rsidRDefault="00722AEC" w:rsidP="00722AEC">
      <w:r w:rsidRPr="00EF3435">
        <w:t>Unmodified opinions provide a reasonable level of assurance from the auditor that the financial statements present a true and fair reflection of an entity’s results for the period reported.</w:t>
      </w:r>
    </w:p>
    <w:p w14:paraId="6166CC92" w14:textId="77777777" w:rsidR="00722AEC" w:rsidRPr="00EF3435" w:rsidRDefault="00722AEC" w:rsidP="00722AEC">
      <w:r w:rsidRPr="00EF3435">
        <w:t xml:space="preserve">Notwithstanding an audit opinion may positively attest to the truth and fairness of the financial statements, additional paragraphs may be included in the audit opinion in relation to a matter the auditor believes requires emphasis. </w:t>
      </w:r>
    </w:p>
    <w:p w14:paraId="3FC2F958" w14:textId="7C73867E" w:rsidR="00722AEC" w:rsidRPr="00EF3435" w:rsidRDefault="00722AEC" w:rsidP="00722AEC">
      <w:r w:rsidRPr="00EF3435">
        <w:t>An “Emphasis of Matter” paragraph means a paragraph included in the auditor’s report that refers to a matter appropriately presented or disclosed in the financial report that, in the auditor’s judgement, is of such importance that it is fundamental to users’ understa</w:t>
      </w:r>
      <w:r w:rsidR="00A715EB" w:rsidRPr="00EF3435">
        <w:t xml:space="preserve">nding of the financial report. </w:t>
      </w:r>
      <w:r w:rsidRPr="00EF3435">
        <w:t>The inclusion of an emphasis of matter paragraph in the audit opinion is intended to draw the reader’s attention to the relevant disclosure in the financial report.</w:t>
      </w:r>
    </w:p>
    <w:p w14:paraId="598ABBEE" w14:textId="77777777" w:rsidR="00B122BE" w:rsidRPr="00EF3435" w:rsidRDefault="00722AEC" w:rsidP="00722AEC">
      <w:r w:rsidRPr="00EF3435">
        <w:t>An “Other Matter” paragraph means a paragraph included in the auditor’s report that refers to a matter other than those presented or disclosed in the financial report that, in the auditor’s judgement, is relevant to users’ understanding of the audit, the auditor’s responsibilities and/or the auditor’s report.</w:t>
      </w:r>
    </w:p>
    <w:p w14:paraId="35E48BEC" w14:textId="780CDDC3" w:rsidR="00722AEC" w:rsidRPr="00EF3435" w:rsidRDefault="00B122BE" w:rsidP="00722AEC">
      <w:r w:rsidRPr="00EF3435">
        <w:t xml:space="preserve">Australian Auditing Standard ASA 701 </w:t>
      </w:r>
      <w:r w:rsidRPr="00EF3435">
        <w:rPr>
          <w:i/>
        </w:rPr>
        <w:t>Communicating Key Audit Matters in the Independent Auditor’s Report</w:t>
      </w:r>
      <w:r w:rsidRPr="00EF3435">
        <w:t xml:space="preserve"> deals with the auditor’s responsibility to communicate key audit matters in the auditor’s report. The purpose of communicating key audit matters is to enhance the communicative value of the auditor’s report by providing additional information to intended users of the financial report to assist them in understanding those matters that, in the auditor’s professional judgement, were of most significance in the audit of the financial report of the current period.</w:t>
      </w:r>
      <w:r w:rsidR="00722AEC" w:rsidRPr="00EF3435">
        <w:t xml:space="preserve"> </w:t>
      </w:r>
    </w:p>
    <w:p w14:paraId="1BD8A63E" w14:textId="77777777" w:rsidR="00722AEC" w:rsidRPr="00EF3435" w:rsidRDefault="00722AEC" w:rsidP="00722AEC">
      <w:pPr>
        <w:pStyle w:val="Heading1-continued"/>
      </w:pPr>
      <w:r w:rsidRPr="00EF3435">
        <w:t>Appendix 2: Guide to Using this Report cont…</w:t>
      </w:r>
    </w:p>
    <w:p w14:paraId="607D4120" w14:textId="77777777" w:rsidR="00722AEC" w:rsidRPr="00EF3435" w:rsidRDefault="00722AEC" w:rsidP="00722AEC">
      <w:pPr>
        <w:pStyle w:val="Heading3"/>
      </w:pPr>
      <w:r w:rsidRPr="00EF3435">
        <w:t>Modified Audit Opinion</w:t>
      </w:r>
    </w:p>
    <w:p w14:paraId="40385845" w14:textId="1323D861" w:rsidR="00722AEC" w:rsidRPr="00EF3435" w:rsidRDefault="00722AEC" w:rsidP="00722AEC">
      <w:r w:rsidRPr="00EF3435">
        <w:t xml:space="preserve">Australian Auditing Standard ASA 705 </w:t>
      </w:r>
      <w:r w:rsidRPr="00EF3435">
        <w:rPr>
          <w:i/>
        </w:rPr>
        <w:t>Modifications to the Opinion in the Independent Auditor's Report</w:t>
      </w:r>
      <w:r w:rsidRPr="00EF3435">
        <w:t>, paragraph 2, establishes three types of modified opinions, namely, a qualified opinion, an adverse opinion,</w:t>
      </w:r>
      <w:r w:rsidR="00A715EB" w:rsidRPr="00EF3435">
        <w:t xml:space="preserve"> and a disclaimer of opinion. </w:t>
      </w:r>
      <w:r w:rsidRPr="00EF3435">
        <w:t>The decision regarding which type of modified opinion is appropriate depends upon:</w:t>
      </w:r>
    </w:p>
    <w:p w14:paraId="4C9F1B45" w14:textId="77777777" w:rsidR="00722AEC" w:rsidRPr="00EF3435" w:rsidRDefault="00722AEC" w:rsidP="00722AEC">
      <w:pPr>
        <w:pStyle w:val="ListAlpha"/>
      </w:pPr>
      <w:r w:rsidRPr="00EF3435">
        <w:t xml:space="preserve">the nature of the matter giving rise to the modification, that is, whether the financial report is materially misstated or, in the case of an inability to obtain sufficient appropriate audit evidence, may be materially misstated; and </w:t>
      </w:r>
    </w:p>
    <w:p w14:paraId="0EE5F57E" w14:textId="77777777" w:rsidR="00722AEC" w:rsidRPr="00EF3435" w:rsidRDefault="00722AEC" w:rsidP="00722AEC">
      <w:pPr>
        <w:pStyle w:val="ListAlpha"/>
      </w:pPr>
      <w:r w:rsidRPr="00EF3435">
        <w:t>the auditor’s judgement about the pervasiveness of the effects or possible effects of the matter on the financial report.  </w:t>
      </w:r>
    </w:p>
    <w:p w14:paraId="2707AAEE" w14:textId="77777777" w:rsidR="00722AEC" w:rsidRPr="00EF3435" w:rsidRDefault="00722AEC" w:rsidP="00722AEC">
      <w:pPr>
        <w:pStyle w:val="Heading3"/>
      </w:pPr>
      <w:r w:rsidRPr="00EF3435">
        <w:t xml:space="preserve">Qualified Opinion </w:t>
      </w:r>
    </w:p>
    <w:p w14:paraId="6C35433A" w14:textId="77777777" w:rsidR="00722AEC" w:rsidRPr="00EF3435" w:rsidRDefault="00722AEC" w:rsidP="00722AEC">
      <w:r w:rsidRPr="00EF3435">
        <w:t xml:space="preserve">An auditor shall express a qualified opinion when: </w:t>
      </w:r>
    </w:p>
    <w:p w14:paraId="5260EEF2" w14:textId="77777777" w:rsidR="00722AEC" w:rsidRPr="00EF3435" w:rsidRDefault="00722AEC" w:rsidP="00057E65">
      <w:pPr>
        <w:pStyle w:val="ListAlpha"/>
        <w:numPr>
          <w:ilvl w:val="0"/>
          <w:numId w:val="11"/>
        </w:numPr>
      </w:pPr>
      <w:r w:rsidRPr="00EF3435">
        <w:t xml:space="preserve">the auditor, having obtained sufficient appropriate audit evidence, concludes that misstatements, individually or in the aggregate, are material, but not pervasive, to the financial report; or </w:t>
      </w:r>
    </w:p>
    <w:p w14:paraId="6BBBA2E3" w14:textId="77777777" w:rsidR="00722AEC" w:rsidRPr="00EF3435" w:rsidRDefault="00722AEC" w:rsidP="00722AEC">
      <w:pPr>
        <w:pStyle w:val="ListAlpha"/>
      </w:pPr>
      <w:r w:rsidRPr="00EF3435">
        <w:t>the auditor is unable to obtain sufficient appropriate audit evidence on which to base the opinion, but the auditor concludes that the possible effects on the financial report of undetected misstatements, if any, could be material but not pervasive. [ASA 705, paragraph 7]</w:t>
      </w:r>
    </w:p>
    <w:p w14:paraId="1864CAAA" w14:textId="77777777" w:rsidR="00722AEC" w:rsidRPr="00EF3435" w:rsidRDefault="00722AEC" w:rsidP="00722AEC">
      <w:pPr>
        <w:pStyle w:val="Heading3"/>
      </w:pPr>
      <w:r w:rsidRPr="00EF3435">
        <w:t xml:space="preserve">Adverse Opinion </w:t>
      </w:r>
    </w:p>
    <w:p w14:paraId="6DBF9A52" w14:textId="77777777" w:rsidR="00722AEC" w:rsidRPr="00EF3435" w:rsidRDefault="00722AEC" w:rsidP="00722AEC">
      <w:r w:rsidRPr="00EF3435">
        <w:t>An adverse opinion is expressed when the auditor, having obtained sufficient appropriate audit evidence, concludes that misstatements, individually or in the aggregate, are both material and pervasive to the financial report. [ASA 705, paragraph 8]</w:t>
      </w:r>
    </w:p>
    <w:p w14:paraId="6A902F54" w14:textId="77777777" w:rsidR="00722AEC" w:rsidRPr="00EF3435" w:rsidRDefault="00722AEC" w:rsidP="00722AEC">
      <w:pPr>
        <w:pStyle w:val="Heading3"/>
      </w:pPr>
      <w:r w:rsidRPr="00EF3435">
        <w:t xml:space="preserve">Disclaimer of Opinion </w:t>
      </w:r>
    </w:p>
    <w:p w14:paraId="387486F4" w14:textId="77777777" w:rsidR="00722AEC" w:rsidRPr="00EF3435" w:rsidRDefault="00722AEC" w:rsidP="00722AEC">
      <w:r w:rsidRPr="00EF3435">
        <w:t>An auditor shall disclaim an opinion when the auditor is unable to obtain sufficient appropriate audit evidence on which to base the opinion, and the auditor concludes that the possible effects on the financial report of undetected misstatements, if any, could be both material and pervasive. [ASA 705, paragraph 9]</w:t>
      </w:r>
    </w:p>
    <w:p w14:paraId="696A0585" w14:textId="77777777" w:rsidR="00722AEC" w:rsidRPr="00EF3435" w:rsidRDefault="00722AEC" w:rsidP="00722AEC">
      <w:r w:rsidRPr="00EF3435">
        <w:t>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report due to the potential interaction of the uncertainties and their possible cumulative effect on the financial report. [ASA 705, paragraph 10]</w:t>
      </w:r>
    </w:p>
    <w:p w14:paraId="2362B914" w14:textId="77777777" w:rsidR="00722AEC" w:rsidRPr="00EF3435" w:rsidRDefault="00722AEC" w:rsidP="00722AEC">
      <w:pPr>
        <w:pStyle w:val="Heading1-continued"/>
      </w:pPr>
      <w:r w:rsidRPr="00EF3435">
        <w:t>Appendix 2: Guide to Using this Report cont…</w:t>
      </w:r>
    </w:p>
    <w:p w14:paraId="1D62EE1D" w14:textId="77777777" w:rsidR="00722AEC" w:rsidRPr="00EF3435" w:rsidRDefault="00722AEC" w:rsidP="00722AEC">
      <w:pPr>
        <w:pStyle w:val="Heading2"/>
      </w:pPr>
      <w:r w:rsidRPr="00EF3435">
        <w:t>Assurance Engagements Conducted by the Auditor</w:t>
      </w:r>
      <w:r w:rsidRPr="00EF3435">
        <w:noBreakHyphen/>
        <w:t>General</w:t>
      </w:r>
    </w:p>
    <w:p w14:paraId="77558AB3" w14:textId="77777777" w:rsidR="00722AEC" w:rsidRPr="00EF3435" w:rsidRDefault="00722AEC" w:rsidP="00722AEC">
      <w:r w:rsidRPr="00EF3435">
        <w:t>The types of assurance engagements conducted through the Auditor</w:t>
      </w:r>
      <w:r w:rsidRPr="00EF3435">
        <w:noBreakHyphen/>
        <w:t>General’s Office include:</w:t>
      </w:r>
    </w:p>
    <w:p w14:paraId="27B6EFC3" w14:textId="77777777" w:rsidR="00722AEC" w:rsidRPr="00EF3435" w:rsidRDefault="00722AEC" w:rsidP="00722AEC">
      <w:pPr>
        <w:pStyle w:val="ListBullet"/>
      </w:pPr>
      <w:r w:rsidRPr="00EF3435">
        <w:t>Statutory Audits of Financial Statements;</w:t>
      </w:r>
    </w:p>
    <w:p w14:paraId="3018D3B3" w14:textId="77777777" w:rsidR="00722AEC" w:rsidRPr="00EF3435" w:rsidRDefault="00722AEC" w:rsidP="00722AEC">
      <w:pPr>
        <w:pStyle w:val="ListBullet"/>
      </w:pPr>
      <w:r w:rsidRPr="00EF3435">
        <w:t>End of Year Reviews;</w:t>
      </w:r>
    </w:p>
    <w:p w14:paraId="437E34EC" w14:textId="77777777" w:rsidR="00722AEC" w:rsidRPr="00EF3435" w:rsidRDefault="00722AEC" w:rsidP="00722AEC">
      <w:pPr>
        <w:pStyle w:val="ListBullet"/>
      </w:pPr>
      <w:r w:rsidRPr="00EF3435">
        <w:t>Information Technology Audits;</w:t>
      </w:r>
    </w:p>
    <w:p w14:paraId="5BC112BB" w14:textId="77777777" w:rsidR="00722AEC" w:rsidRPr="00EF3435" w:rsidRDefault="00722AEC" w:rsidP="00722AEC">
      <w:pPr>
        <w:pStyle w:val="ListBullet"/>
      </w:pPr>
      <w:r w:rsidRPr="00EF3435">
        <w:t>Controls and Compliance Audits; and</w:t>
      </w:r>
    </w:p>
    <w:p w14:paraId="18F87756" w14:textId="77777777" w:rsidR="00722AEC" w:rsidRPr="00EF3435" w:rsidRDefault="00722AEC" w:rsidP="00722AEC">
      <w:pPr>
        <w:pStyle w:val="ListBullet"/>
      </w:pPr>
      <w:r w:rsidRPr="00EF3435">
        <w:t>Performance Management System Audits.</w:t>
      </w:r>
    </w:p>
    <w:p w14:paraId="0F06EB32" w14:textId="77777777" w:rsidR="00722AEC" w:rsidRPr="00EF3435" w:rsidRDefault="00722AEC" w:rsidP="00722AEC">
      <w:pPr>
        <w:pStyle w:val="Heading3"/>
      </w:pPr>
      <w:r w:rsidRPr="00EF3435">
        <w:t>Statutory Financial Statements Audits</w:t>
      </w:r>
    </w:p>
    <w:p w14:paraId="1779A58C" w14:textId="77777777" w:rsidR="00722AEC" w:rsidRPr="00EF3435" w:rsidRDefault="00722AEC" w:rsidP="00722AEC">
      <w:r w:rsidRPr="00EF3435">
        <w:t xml:space="preserve">Statutory audits of financial statements are conducted on the full financial reports of government business divisions, government owned corporations and other government controlled entities that prepare statutory financial statements. </w:t>
      </w:r>
    </w:p>
    <w:p w14:paraId="30D0B12B" w14:textId="0E7DA957" w:rsidR="00722AEC" w:rsidRPr="00EF3435" w:rsidRDefault="00722AEC" w:rsidP="00722AEC">
      <w:r w:rsidRPr="00EF3435">
        <w:t xml:space="preserve">Agencies are required, by Treasurer’s Directions issued pursuant to the </w:t>
      </w:r>
      <w:r w:rsidRPr="00EF3435">
        <w:rPr>
          <w:i/>
        </w:rPr>
        <w:t>Financial Management Act 1995</w:t>
      </w:r>
      <w:r w:rsidRPr="00EF3435">
        <w:t>, to prepare financial statements that comply with Au</w:t>
      </w:r>
      <w:r w:rsidR="00A715EB" w:rsidRPr="00EF3435">
        <w:t xml:space="preserve">stralian Accounting Standards. </w:t>
      </w:r>
      <w:r w:rsidRPr="00EF3435">
        <w:t>Agencies are not, however, required to submit those statements to the Auditor</w:t>
      </w:r>
      <w:r w:rsidRPr="00EF3435">
        <w:noBreakHyphen/>
        <w:t xml:space="preserve">General unless directed to do so by the Treasurer pursuant to section 11(3) of the </w:t>
      </w:r>
      <w:r w:rsidRPr="00EF3435">
        <w:rPr>
          <w:i/>
        </w:rPr>
        <w:t>Financial Management Act 1995</w:t>
      </w:r>
      <w:r w:rsidR="00A715EB" w:rsidRPr="00EF3435">
        <w:t xml:space="preserve">. </w:t>
      </w:r>
      <w:r w:rsidRPr="00EF3435">
        <w:t xml:space="preserve">As no such direction has been given, </w:t>
      </w:r>
      <w:r w:rsidR="00007AA1">
        <w:t>a</w:t>
      </w:r>
      <w:r w:rsidRPr="00EF3435">
        <w:t>gencies’ financial statements are not audited separately, but are reviewed as part of the audit of the Public Account and of the Treasurer’s Annual Financial Statement.</w:t>
      </w:r>
    </w:p>
    <w:p w14:paraId="51299922" w14:textId="2691AEF8" w:rsidR="00722AEC" w:rsidRPr="00EF3435" w:rsidRDefault="00722AEC" w:rsidP="00722AEC">
      <w:r w:rsidRPr="00EF3435">
        <w:t>In the case of a financial statement audit, an ‘unqualified audit opinion’ means that the Auditor</w:t>
      </w:r>
      <w:r w:rsidR="00007AA1">
        <w:noBreakHyphen/>
        <w:t>General is satisfied that the a</w:t>
      </w:r>
      <w:r w:rsidRPr="00EF3435">
        <w:t>gency or entity has prepared its financial statements in accordance with Australian Accounting Standards and other mandatory financial reporting requirements or, in the case of acquittal audits, the relevant legislation or the agreement under which funding was provided. It also means that the Auditor</w:t>
      </w:r>
      <w:r w:rsidRPr="00EF3435">
        <w:noBreakHyphen/>
        <w:t xml:space="preserve">General believes that the report is free of material error and that there was nothing that limited the scope of the audit. If any of these conditions should not be met, a ‘modified audit opinion’ is issued together with an explanation of why a modified audit opinion was issued. </w:t>
      </w:r>
    </w:p>
    <w:p w14:paraId="43E49760" w14:textId="77777777" w:rsidR="00722AEC" w:rsidRPr="00EF3435" w:rsidRDefault="00722AEC" w:rsidP="00722AEC">
      <w:r w:rsidRPr="00EF3435">
        <w:t xml:space="preserve">Within this report, the audit opinions, key audit matters and summaries of audit observations represent the more important matters relating to each audit. By targeting these sections, readers can quickly understand the major issues faced by a particular agency or entity or by the public sector more broadly. </w:t>
      </w:r>
    </w:p>
    <w:p w14:paraId="3390188A" w14:textId="77777777" w:rsidR="00722AEC" w:rsidRPr="00EF3435" w:rsidRDefault="00722AEC" w:rsidP="00722AEC">
      <w:pPr>
        <w:pStyle w:val="Heading3"/>
      </w:pPr>
      <w:r w:rsidRPr="00EF3435">
        <w:t>Information Technology Audits</w:t>
      </w:r>
    </w:p>
    <w:p w14:paraId="3A0A37BB" w14:textId="77777777" w:rsidR="00722AEC" w:rsidRPr="00EF3435" w:rsidRDefault="00722AEC" w:rsidP="00722AEC">
      <w:r w:rsidRPr="00EF3435">
        <w:t>Information technology audits are undertaken as stand-alone audits of key agency or across government systems. Each of the systems selected for audit plays an important role in processing data and providing information for the purposes of financial management and, more particularly, for the purposes of financial reporting and the preparation of the Treasurer’s Annual Financial Statement</w:t>
      </w:r>
    </w:p>
    <w:p w14:paraId="3508D35B" w14:textId="77777777" w:rsidR="00722AEC" w:rsidRPr="00EF3435" w:rsidRDefault="00722AEC" w:rsidP="00722AEC">
      <w:pPr>
        <w:pStyle w:val="Heading1-continued"/>
      </w:pPr>
      <w:r w:rsidRPr="00EF3435">
        <w:t>Appendix 2: Guide to Using this Report cont…</w:t>
      </w:r>
    </w:p>
    <w:p w14:paraId="2EA11C68" w14:textId="77777777" w:rsidR="00722AEC" w:rsidRPr="00EF3435" w:rsidRDefault="00722AEC" w:rsidP="00722AEC">
      <w:pPr>
        <w:pStyle w:val="Heading3"/>
      </w:pPr>
      <w:r w:rsidRPr="00EF3435">
        <w:t>End of Year Reviews</w:t>
      </w:r>
    </w:p>
    <w:p w14:paraId="75CB8D28" w14:textId="253B7DC5" w:rsidR="00722AEC" w:rsidRPr="00EF3435" w:rsidRDefault="00722AEC" w:rsidP="00722AEC">
      <w:r w:rsidRPr="00EF3435">
        <w:t xml:space="preserve">The End of Year Review </w:t>
      </w:r>
      <w:r w:rsidR="00C903D7" w:rsidRPr="00EF3435">
        <w:t>provides an audit focus on year</w:t>
      </w:r>
      <w:r w:rsidR="00C903D7" w:rsidRPr="00EF3435">
        <w:noBreakHyphen/>
      </w:r>
      <w:r w:rsidRPr="00EF3435">
        <w:t>end balances particularly within agencies. The nature of the review is determined annually whilst planning the audit of the Treasurer’s Annual Financial Statement, but includes testing of tra</w:t>
      </w:r>
      <w:r w:rsidR="00C903D7" w:rsidRPr="00EF3435">
        <w:t>nsactions occurring around year</w:t>
      </w:r>
      <w:r w:rsidR="00C903D7" w:rsidRPr="00EF3435">
        <w:noBreakHyphen/>
      </w:r>
      <w:r w:rsidRPr="00EF3435">
        <w:t>end to provide a degree of confidence about the data provided to Treasury and which will form part of the overall reporting on the Public Account.</w:t>
      </w:r>
    </w:p>
    <w:p w14:paraId="1CF32D65" w14:textId="77777777" w:rsidR="00722AEC" w:rsidRPr="00EF3435" w:rsidRDefault="00722AEC" w:rsidP="00722AEC">
      <w:pPr>
        <w:pStyle w:val="Heading3"/>
      </w:pPr>
      <w:r w:rsidRPr="00EF3435">
        <w:t>Controls and Compliance Audits</w:t>
      </w:r>
    </w:p>
    <w:p w14:paraId="38214AE4" w14:textId="5EF37D1D" w:rsidR="00722AEC" w:rsidRPr="00EF3435" w:rsidRDefault="00722AEC" w:rsidP="00722AEC">
      <w:pPr>
        <w:rPr>
          <w:b/>
          <w:i/>
        </w:rPr>
      </w:pPr>
      <w:r w:rsidRPr="00EF3435">
        <w:t>Controls and Compliance Audits are conducted of selected systems or accounting processes to determine whether the systems and processes achieve compliance with legislated or ot</w:t>
      </w:r>
      <w:r w:rsidR="00A715EB" w:rsidRPr="00EF3435">
        <w:t xml:space="preserve">herwise mandated requirements. </w:t>
      </w:r>
      <w:r w:rsidRPr="00EF3435">
        <w:t>These audits are intended to assist in the audit of the Public Account.</w:t>
      </w:r>
    </w:p>
    <w:p w14:paraId="7042E671" w14:textId="77777777" w:rsidR="00722AEC" w:rsidRPr="00EF3435" w:rsidRDefault="00722AEC" w:rsidP="00722AEC">
      <w:pPr>
        <w:pStyle w:val="Heading3"/>
      </w:pPr>
      <w:r w:rsidRPr="00EF3435">
        <w:t>Performance Management System Audits</w:t>
      </w:r>
    </w:p>
    <w:p w14:paraId="518F602E" w14:textId="011874EB" w:rsidR="00722AEC" w:rsidRPr="00EF3435" w:rsidRDefault="00722AEC" w:rsidP="00722AEC">
      <w:pPr>
        <w:rPr>
          <w:b/>
        </w:rPr>
      </w:pPr>
      <w:r w:rsidRPr="00EF3435">
        <w:t>The audit process determines whether existing systems or practices, or management controls over systems, are adequate to provide relevant and reliable performance information that will assist intended users of the information make decisions relating to accountability a</w:t>
      </w:r>
      <w:r w:rsidR="00A715EB" w:rsidRPr="00EF3435">
        <w:t xml:space="preserve">nd the achievement of results. </w:t>
      </w:r>
      <w:r w:rsidRPr="00EF3435">
        <w:t>These audits are also intended to assist in the audit of the Public Account.</w:t>
      </w:r>
    </w:p>
    <w:p w14:paraId="0469AA8B" w14:textId="77777777" w:rsidR="00722AEC" w:rsidRPr="00EF3435" w:rsidRDefault="00722AEC" w:rsidP="00722AEC">
      <w:pPr>
        <w:pStyle w:val="Heading2"/>
      </w:pPr>
      <w:r w:rsidRPr="00EF3435">
        <w:rPr>
          <w:i/>
        </w:rPr>
        <w:t xml:space="preserve">Public Information Act 2010 </w:t>
      </w:r>
      <w:r w:rsidRPr="00EF3435">
        <w:t>Referrals</w:t>
      </w:r>
    </w:p>
    <w:p w14:paraId="64C04433" w14:textId="037ED83F" w:rsidR="00722AEC" w:rsidRDefault="00722AEC" w:rsidP="00722AEC">
      <w:r w:rsidRPr="00EF3435">
        <w:t>The</w:t>
      </w:r>
      <w:r w:rsidRPr="00EF3435">
        <w:rPr>
          <w:i/>
        </w:rPr>
        <w:t xml:space="preserve"> Public Information Act 2010 </w:t>
      </w:r>
      <w:r w:rsidRPr="00EF3435">
        <w:t>requires the Auditor</w:t>
      </w:r>
      <w:r w:rsidRPr="00EF3435">
        <w:noBreakHyphen/>
        <w:t>General, upon receipt of a written request of an Assembly member, or on the Auditor</w:t>
      </w:r>
      <w:r w:rsidRPr="00EF3435">
        <w:noBreakHyphen/>
        <w:t>General’s initiative, to conduct a review of particular public information to determine whether the Act is contravened i</w:t>
      </w:r>
      <w:r w:rsidR="00A715EB" w:rsidRPr="00EF3435">
        <w:t>n relation to the information.</w:t>
      </w:r>
      <w:r w:rsidRPr="00EF3435">
        <w:t xml:space="preserve"> If review of the information suggests a contravention, a preliminary opinion is issued to the public authority that gave t</w:t>
      </w:r>
      <w:r w:rsidR="00A715EB" w:rsidRPr="00EF3435">
        <w:t>he relevant public information.</w:t>
      </w:r>
      <w:r w:rsidRPr="00EF3435">
        <w:t xml:space="preserve"> When preparing the report about the review, any comments provided by the public authority following the preliminary opinion</w:t>
      </w:r>
      <w:r w:rsidR="00A715EB" w:rsidRPr="00EF3435">
        <w:t xml:space="preserve"> are taken into consideration. </w:t>
      </w:r>
      <w:r w:rsidRPr="00EF3435">
        <w:t>The associated reports are included in my reports to the Legislative Assembly.</w:t>
      </w:r>
    </w:p>
    <w:p w14:paraId="3F055116" w14:textId="7544C261" w:rsidR="0044489F" w:rsidRDefault="0044489F" w:rsidP="00154E90">
      <w:pPr>
        <w:pStyle w:val="Heading1"/>
      </w:pPr>
      <w:bookmarkStart w:id="50" w:name="_Ref67061533"/>
      <w:r w:rsidRPr="00F30939">
        <w:t xml:space="preserve">Appendix </w:t>
      </w:r>
      <w:r w:rsidR="00722AEC">
        <w:t>3</w:t>
      </w:r>
      <w:r w:rsidRPr="00F30939">
        <w:t>: Audit Opinio</w:t>
      </w:r>
      <w:r>
        <w:t>ns Issued</w:t>
      </w:r>
      <w:bookmarkEnd w:id="48"/>
      <w:bookmarkEnd w:id="50"/>
    </w:p>
    <w:p w14:paraId="4A049CCC" w14:textId="52C00543" w:rsidR="0044489F" w:rsidRPr="00F35E11" w:rsidRDefault="0044489F" w:rsidP="0044489F">
      <w:pPr>
        <w:pStyle w:val="Heading2"/>
      </w:pPr>
      <w:r w:rsidRPr="00F35E11">
        <w:t xml:space="preserve">Issued between </w:t>
      </w:r>
      <w:r w:rsidR="00F35E11" w:rsidRPr="00F35E11">
        <w:t>1 March 2021</w:t>
      </w:r>
      <w:r w:rsidRPr="00F35E11">
        <w:t xml:space="preserve"> and </w:t>
      </w:r>
      <w:r w:rsidR="00152D1B">
        <w:t>2</w:t>
      </w:r>
      <w:r w:rsidR="00F35E11" w:rsidRPr="00F35E11">
        <w:t xml:space="preserve"> July</w:t>
      </w:r>
      <w:r w:rsidRPr="00F35E11">
        <w:t xml:space="preserve"> 2021</w:t>
      </w:r>
    </w:p>
    <w:p w14:paraId="2E0015DA" w14:textId="77777777" w:rsidR="0044489F" w:rsidRPr="00F35E11" w:rsidRDefault="0044489F" w:rsidP="0044489F">
      <w:pPr>
        <w:pStyle w:val="Heading3"/>
      </w:pPr>
      <w:r w:rsidRPr="00F35E11">
        <w:t>Financial Statements for the year ended 30 June 2020</w:t>
      </w:r>
    </w:p>
    <w:tbl>
      <w:tblPr>
        <w:tblW w:w="9016" w:type="dxa"/>
        <w:tblLook w:val="04A0" w:firstRow="1" w:lastRow="0" w:firstColumn="1" w:lastColumn="0" w:noHBand="0" w:noVBand="1"/>
        <w:tblCaption w:val="Financial Statements for the year ended 30 June 2020"/>
        <w:tblDescription w:val="Dates relating to Audit Opinions issued between 1 March and 2 July 2021"/>
      </w:tblPr>
      <w:tblGrid>
        <w:gridCol w:w="3470"/>
        <w:gridCol w:w="1794"/>
        <w:gridCol w:w="1824"/>
        <w:gridCol w:w="1928"/>
      </w:tblGrid>
      <w:tr w:rsidR="00ED7CE4" w:rsidRPr="00F30939" w14:paraId="14034398" w14:textId="77777777" w:rsidTr="006B5C69">
        <w:trPr>
          <w:cantSplit/>
          <w:tblHeader/>
        </w:trPr>
        <w:tc>
          <w:tcPr>
            <w:tcW w:w="3470" w:type="dxa"/>
            <w:tcBorders>
              <w:bottom w:val="single" w:sz="4" w:space="0" w:color="auto"/>
            </w:tcBorders>
            <w:vAlign w:val="bottom"/>
          </w:tcPr>
          <w:p w14:paraId="54531A92" w14:textId="77777777" w:rsidR="00ED7CE4" w:rsidRPr="00F35E11" w:rsidRDefault="00ED7CE4" w:rsidP="00011A13"/>
        </w:tc>
        <w:tc>
          <w:tcPr>
            <w:tcW w:w="1794" w:type="dxa"/>
            <w:tcBorders>
              <w:bottom w:val="single" w:sz="4" w:space="0" w:color="auto"/>
            </w:tcBorders>
            <w:vAlign w:val="bottom"/>
          </w:tcPr>
          <w:p w14:paraId="132F2CBB" w14:textId="22973D07" w:rsidR="00ED7CE4" w:rsidRPr="00F35E11" w:rsidRDefault="00ED7CE4" w:rsidP="00F35E11">
            <w:pPr>
              <w:jc w:val="center"/>
            </w:pPr>
            <w:r w:rsidRPr="00F35E11">
              <w:t xml:space="preserve">Date </w:t>
            </w:r>
            <w:r w:rsidR="00F35E11" w:rsidRPr="00F35E11">
              <w:t>20</w:t>
            </w:r>
            <w:r w:rsidR="00AE5980">
              <w:t>2</w:t>
            </w:r>
            <w:r w:rsidR="00F35E11" w:rsidRPr="00F35E11">
              <w:t>0</w:t>
            </w:r>
            <w:r w:rsidRPr="00F35E11">
              <w:t xml:space="preserve"> Financial Statements tabled to Legislative Assembly</w:t>
            </w:r>
          </w:p>
        </w:tc>
        <w:tc>
          <w:tcPr>
            <w:tcW w:w="1824" w:type="dxa"/>
            <w:tcBorders>
              <w:bottom w:val="single" w:sz="4" w:space="0" w:color="auto"/>
            </w:tcBorders>
            <w:vAlign w:val="bottom"/>
          </w:tcPr>
          <w:p w14:paraId="13D3C5AC" w14:textId="77777777" w:rsidR="00ED7CE4" w:rsidRPr="00F35E11" w:rsidRDefault="00ED7CE4" w:rsidP="00F35E11">
            <w:pPr>
              <w:jc w:val="center"/>
            </w:pPr>
            <w:r w:rsidRPr="00F35E11">
              <w:t xml:space="preserve">Date of Audit report year ended </w:t>
            </w:r>
            <w:r w:rsidR="003D7346">
              <w:br/>
            </w:r>
            <w:r w:rsidRPr="00F35E11">
              <w:t>3</w:t>
            </w:r>
            <w:r w:rsidR="00F176C9" w:rsidRPr="00F35E11">
              <w:t>0 June</w:t>
            </w:r>
            <w:r w:rsidRPr="00F35E11">
              <w:t xml:space="preserve"> </w:t>
            </w:r>
            <w:r w:rsidR="00F35E11" w:rsidRPr="00F35E11">
              <w:t>2020</w:t>
            </w:r>
          </w:p>
        </w:tc>
        <w:tc>
          <w:tcPr>
            <w:tcW w:w="1928" w:type="dxa"/>
            <w:tcBorders>
              <w:bottom w:val="single" w:sz="4" w:space="0" w:color="auto"/>
            </w:tcBorders>
            <w:vAlign w:val="bottom"/>
          </w:tcPr>
          <w:p w14:paraId="3E5312C1" w14:textId="77777777" w:rsidR="00ED7CE4" w:rsidRPr="00F30939" w:rsidRDefault="00ED7CE4" w:rsidP="00F35E11">
            <w:pPr>
              <w:jc w:val="center"/>
            </w:pPr>
            <w:r w:rsidRPr="00F35E11">
              <w:t>Date of Audit report year</w:t>
            </w:r>
            <w:r w:rsidR="003D7346">
              <w:br/>
            </w:r>
            <w:r w:rsidRPr="00F35E11">
              <w:t xml:space="preserve"> ended </w:t>
            </w:r>
            <w:r w:rsidR="003D7346">
              <w:br/>
            </w:r>
            <w:r w:rsidR="00F176C9" w:rsidRPr="00F35E11">
              <w:t xml:space="preserve">30 June </w:t>
            </w:r>
            <w:r w:rsidR="00F35E11" w:rsidRPr="00F35E11">
              <w:t>2019</w:t>
            </w:r>
          </w:p>
        </w:tc>
      </w:tr>
      <w:tr w:rsidR="006B5C69" w:rsidRPr="00F30939" w14:paraId="0E045872" w14:textId="77777777" w:rsidTr="00AE5980">
        <w:trPr>
          <w:cantSplit/>
        </w:trPr>
        <w:tc>
          <w:tcPr>
            <w:tcW w:w="3470" w:type="dxa"/>
          </w:tcPr>
          <w:p w14:paraId="51E7EFAD" w14:textId="149FFC47" w:rsidR="006B5C69" w:rsidRPr="00F30939" w:rsidRDefault="00845504" w:rsidP="00F1580E">
            <w:r>
              <w:fldChar w:fldCharType="begin"/>
            </w:r>
            <w:r>
              <w:instrText xml:space="preserve"> REF _Ref68861642 \h </w:instrText>
            </w:r>
            <w:r w:rsidR="002736C4">
              <w:instrText xml:space="preserve"> \* MERGEFORMAT </w:instrText>
            </w:r>
            <w:r>
              <w:fldChar w:fldCharType="separate"/>
            </w:r>
            <w:r w:rsidR="00F52F17" w:rsidRPr="00CE345C">
              <w:t>Cobourg Peninsula Sanctuary and Marine Park Board</w:t>
            </w:r>
            <w:r>
              <w:fldChar w:fldCharType="end"/>
            </w:r>
          </w:p>
        </w:tc>
        <w:tc>
          <w:tcPr>
            <w:tcW w:w="1794" w:type="dxa"/>
            <w:shd w:val="clear" w:color="auto" w:fill="auto"/>
            <w:vAlign w:val="bottom"/>
          </w:tcPr>
          <w:p w14:paraId="49E2AA18" w14:textId="1D85211A" w:rsidR="006B5C69" w:rsidRPr="00F30939" w:rsidRDefault="00AE5980" w:rsidP="00F1580E">
            <w:pPr>
              <w:jc w:val="right"/>
            </w:pPr>
            <w:r>
              <w:t>24 June 2021</w:t>
            </w:r>
          </w:p>
        </w:tc>
        <w:tc>
          <w:tcPr>
            <w:tcW w:w="1824" w:type="dxa"/>
            <w:shd w:val="clear" w:color="auto" w:fill="auto"/>
            <w:vAlign w:val="bottom"/>
          </w:tcPr>
          <w:p w14:paraId="17A44A4A" w14:textId="1D3C4E7A" w:rsidR="006B5C69" w:rsidRPr="00F30939" w:rsidRDefault="002736C4" w:rsidP="00F1580E">
            <w:pPr>
              <w:jc w:val="right"/>
            </w:pPr>
            <w:r>
              <w:t>21 June 2021</w:t>
            </w:r>
          </w:p>
        </w:tc>
        <w:tc>
          <w:tcPr>
            <w:tcW w:w="1928" w:type="dxa"/>
            <w:vAlign w:val="bottom"/>
          </w:tcPr>
          <w:p w14:paraId="14C2BE1F" w14:textId="6BA2DE65" w:rsidR="006B5C69" w:rsidRPr="00F30939" w:rsidRDefault="001744C3" w:rsidP="00F1580E">
            <w:pPr>
              <w:jc w:val="right"/>
            </w:pPr>
            <w:r>
              <w:t>13 May 2020</w:t>
            </w:r>
          </w:p>
        </w:tc>
      </w:tr>
      <w:tr w:rsidR="006B5C69" w:rsidRPr="00F30939" w14:paraId="2CE281D6" w14:textId="77777777" w:rsidTr="00B23103">
        <w:trPr>
          <w:cantSplit/>
        </w:trPr>
        <w:tc>
          <w:tcPr>
            <w:tcW w:w="3470" w:type="dxa"/>
          </w:tcPr>
          <w:p w14:paraId="57C1D532" w14:textId="336CFFB1" w:rsidR="006B5C69" w:rsidRPr="00F30939" w:rsidRDefault="006B5C69" w:rsidP="00F1580E">
            <w:r>
              <w:fldChar w:fldCharType="begin"/>
            </w:r>
            <w:r>
              <w:instrText xml:space="preserve"> REF _Ref58244009 \h </w:instrText>
            </w:r>
            <w:r w:rsidR="001744C3">
              <w:instrText xml:space="preserve"> \* MERGEFORMAT </w:instrText>
            </w:r>
            <w:r>
              <w:fldChar w:fldCharType="separate"/>
            </w:r>
            <w:r w:rsidR="00F52F17">
              <w:t>Jabiru Town Development Authority</w:t>
            </w:r>
            <w:r>
              <w:fldChar w:fldCharType="end"/>
            </w:r>
          </w:p>
        </w:tc>
        <w:tc>
          <w:tcPr>
            <w:tcW w:w="1794" w:type="dxa"/>
            <w:shd w:val="clear" w:color="auto" w:fill="auto"/>
            <w:vAlign w:val="bottom"/>
          </w:tcPr>
          <w:p w14:paraId="421CB974" w14:textId="010D2AAF" w:rsidR="006B5C69" w:rsidRPr="00F30939" w:rsidRDefault="00B23103" w:rsidP="00F1580E">
            <w:pPr>
              <w:jc w:val="right"/>
            </w:pPr>
            <w:r>
              <w:t>12 May 2021</w:t>
            </w:r>
          </w:p>
        </w:tc>
        <w:tc>
          <w:tcPr>
            <w:tcW w:w="1824" w:type="dxa"/>
            <w:vAlign w:val="bottom"/>
          </w:tcPr>
          <w:p w14:paraId="63036C42" w14:textId="77777777" w:rsidR="006B5C69" w:rsidRPr="00F30939" w:rsidRDefault="006B5C69" w:rsidP="00F1580E">
            <w:pPr>
              <w:jc w:val="right"/>
            </w:pPr>
            <w:r>
              <w:t>3 March 2021</w:t>
            </w:r>
          </w:p>
        </w:tc>
        <w:tc>
          <w:tcPr>
            <w:tcW w:w="1928" w:type="dxa"/>
            <w:vAlign w:val="bottom"/>
          </w:tcPr>
          <w:p w14:paraId="155D0702" w14:textId="77777777" w:rsidR="006B5C69" w:rsidRPr="00F30939" w:rsidRDefault="006B5C69" w:rsidP="00F1580E">
            <w:pPr>
              <w:jc w:val="right"/>
            </w:pPr>
            <w:r>
              <w:t>5 December 2019</w:t>
            </w:r>
          </w:p>
        </w:tc>
      </w:tr>
      <w:tr w:rsidR="006B5C69" w:rsidRPr="00F30939" w14:paraId="40BA58D7" w14:textId="77777777" w:rsidTr="00B23103">
        <w:trPr>
          <w:cantSplit/>
        </w:trPr>
        <w:tc>
          <w:tcPr>
            <w:tcW w:w="3470" w:type="dxa"/>
          </w:tcPr>
          <w:p w14:paraId="089BCBBB" w14:textId="5F3FCD8D" w:rsidR="006B5C69" w:rsidRPr="00F30939" w:rsidRDefault="006B5C69" w:rsidP="00F1580E">
            <w:r>
              <w:fldChar w:fldCharType="begin"/>
            </w:r>
            <w:r>
              <w:instrText xml:space="preserve"> REF _Ref58243359 \h </w:instrText>
            </w:r>
            <w:r w:rsidR="001744C3">
              <w:instrText xml:space="preserve"> \* MERGEFORMAT </w:instrText>
            </w:r>
            <w:r>
              <w:fldChar w:fldCharType="separate"/>
            </w:r>
            <w:r w:rsidR="00F52F17">
              <w:t>Nitmiluk (Katherine Gorge) National Park Board</w:t>
            </w:r>
            <w:r>
              <w:fldChar w:fldCharType="end"/>
            </w:r>
          </w:p>
        </w:tc>
        <w:tc>
          <w:tcPr>
            <w:tcW w:w="1794" w:type="dxa"/>
            <w:shd w:val="clear" w:color="auto" w:fill="auto"/>
            <w:vAlign w:val="bottom"/>
          </w:tcPr>
          <w:p w14:paraId="5BE3885E" w14:textId="48F601EA" w:rsidR="006B5C69" w:rsidRPr="00F30939" w:rsidRDefault="00B23103" w:rsidP="00F1580E">
            <w:pPr>
              <w:jc w:val="right"/>
            </w:pPr>
            <w:r>
              <w:t>5 May 2021</w:t>
            </w:r>
          </w:p>
        </w:tc>
        <w:tc>
          <w:tcPr>
            <w:tcW w:w="1824" w:type="dxa"/>
            <w:vAlign w:val="bottom"/>
          </w:tcPr>
          <w:p w14:paraId="42F36A45" w14:textId="0E23577A" w:rsidR="006B5C69" w:rsidRPr="00F30939" w:rsidRDefault="001744C3" w:rsidP="00F1580E">
            <w:pPr>
              <w:jc w:val="right"/>
            </w:pPr>
            <w:r>
              <w:t>30 March 2021</w:t>
            </w:r>
          </w:p>
        </w:tc>
        <w:tc>
          <w:tcPr>
            <w:tcW w:w="1928" w:type="dxa"/>
            <w:vAlign w:val="bottom"/>
          </w:tcPr>
          <w:p w14:paraId="0F40B708" w14:textId="2B105A53" w:rsidR="006B5C69" w:rsidRPr="00F30939" w:rsidRDefault="001744C3" w:rsidP="00F1580E">
            <w:pPr>
              <w:jc w:val="right"/>
            </w:pPr>
            <w:r>
              <w:t>17 December 2019</w:t>
            </w:r>
          </w:p>
        </w:tc>
      </w:tr>
      <w:tr w:rsidR="006B5C69" w:rsidRPr="00F30939" w14:paraId="7E7E4965" w14:textId="77777777" w:rsidTr="006B5C69">
        <w:trPr>
          <w:cantSplit/>
        </w:trPr>
        <w:tc>
          <w:tcPr>
            <w:tcW w:w="3470" w:type="dxa"/>
            <w:tcBorders>
              <w:bottom w:val="single" w:sz="4" w:space="0" w:color="auto"/>
            </w:tcBorders>
          </w:tcPr>
          <w:p w14:paraId="47EF0D04" w14:textId="5629D291" w:rsidR="006B5C69" w:rsidRPr="00F30939" w:rsidRDefault="006B5C69" w:rsidP="00F1580E">
            <w:r>
              <w:fldChar w:fldCharType="begin"/>
            </w:r>
            <w:r>
              <w:instrText xml:space="preserve"> REF _Ref16255721 \h </w:instrText>
            </w:r>
            <w:r>
              <w:fldChar w:fldCharType="separate"/>
            </w:r>
            <w:r w:rsidR="00F52F17">
              <w:t>Northern Territory Police Supplementary Benefit Scheme</w:t>
            </w:r>
            <w:r>
              <w:fldChar w:fldCharType="end"/>
            </w:r>
          </w:p>
        </w:tc>
        <w:tc>
          <w:tcPr>
            <w:tcW w:w="1794" w:type="dxa"/>
            <w:tcBorders>
              <w:bottom w:val="single" w:sz="4" w:space="0" w:color="auto"/>
            </w:tcBorders>
            <w:vAlign w:val="bottom"/>
          </w:tcPr>
          <w:p w14:paraId="38D33549" w14:textId="21700CEF" w:rsidR="006B5C69" w:rsidRPr="00F30939" w:rsidRDefault="006B5C69" w:rsidP="00F1580E">
            <w:pPr>
              <w:jc w:val="right"/>
            </w:pPr>
            <w:r>
              <w:t>Not required</w:t>
            </w:r>
          </w:p>
        </w:tc>
        <w:tc>
          <w:tcPr>
            <w:tcW w:w="1824" w:type="dxa"/>
            <w:tcBorders>
              <w:bottom w:val="single" w:sz="4" w:space="0" w:color="auto"/>
            </w:tcBorders>
            <w:vAlign w:val="bottom"/>
          </w:tcPr>
          <w:p w14:paraId="19AFFB67" w14:textId="712903BC" w:rsidR="006B5C69" w:rsidRPr="00F30939" w:rsidRDefault="006B5C69" w:rsidP="00F1580E">
            <w:pPr>
              <w:jc w:val="right"/>
            </w:pPr>
            <w:r>
              <w:t>7 April 2021</w:t>
            </w:r>
          </w:p>
        </w:tc>
        <w:tc>
          <w:tcPr>
            <w:tcW w:w="1928" w:type="dxa"/>
            <w:tcBorders>
              <w:bottom w:val="single" w:sz="4" w:space="0" w:color="auto"/>
            </w:tcBorders>
            <w:vAlign w:val="bottom"/>
          </w:tcPr>
          <w:p w14:paraId="0F4C55A5" w14:textId="051C32DF" w:rsidR="006B5C69" w:rsidRPr="00F30939" w:rsidRDefault="006B5C69" w:rsidP="00F1580E">
            <w:pPr>
              <w:jc w:val="right"/>
            </w:pPr>
            <w:r>
              <w:t>25 October 2019</w:t>
            </w:r>
          </w:p>
        </w:tc>
      </w:tr>
    </w:tbl>
    <w:p w14:paraId="1CE394F4" w14:textId="7B124862" w:rsidR="0044489F" w:rsidRDefault="0044489F" w:rsidP="0044489F">
      <w:pPr>
        <w:pStyle w:val="Caption"/>
      </w:pPr>
      <w:r w:rsidRPr="00F30939">
        <w:t xml:space="preserve">Not yet tabled – as at </w:t>
      </w:r>
      <w:r w:rsidR="00152D1B">
        <w:t>2</w:t>
      </w:r>
      <w:r w:rsidR="00F35E11">
        <w:t xml:space="preserve"> July 2021</w:t>
      </w:r>
      <w:r w:rsidRPr="00F30939">
        <w:t xml:space="preserve"> </w:t>
      </w:r>
      <w:r w:rsidRPr="00F30939">
        <w:br/>
        <w:t>Not required – Financial statements are not required to be tabled</w:t>
      </w:r>
    </w:p>
    <w:p w14:paraId="61D617B3" w14:textId="77777777" w:rsidR="00F35E11" w:rsidRPr="00F35E11" w:rsidRDefault="00F35E11" w:rsidP="00F35E11">
      <w:pPr>
        <w:pStyle w:val="Heading3"/>
      </w:pPr>
      <w:r w:rsidRPr="00F35E11">
        <w:t>Financial Statements for the year ended 31 December 2020</w:t>
      </w:r>
    </w:p>
    <w:tbl>
      <w:tblPr>
        <w:tblW w:w="8931" w:type="dxa"/>
        <w:tblLook w:val="04A0" w:firstRow="1" w:lastRow="0" w:firstColumn="1" w:lastColumn="0" w:noHBand="0" w:noVBand="1"/>
        <w:tblCaption w:val="Financial Statements for the year ended 31 December 2020"/>
        <w:tblDescription w:val="Dates relating to Audit Opinions issued between 1 March and 2 July 2021&#10;"/>
      </w:tblPr>
      <w:tblGrid>
        <w:gridCol w:w="3470"/>
        <w:gridCol w:w="1794"/>
        <w:gridCol w:w="1739"/>
        <w:gridCol w:w="1928"/>
      </w:tblGrid>
      <w:tr w:rsidR="00F35E11" w:rsidRPr="00F30939" w14:paraId="02384736" w14:textId="77777777" w:rsidTr="003D7346">
        <w:trPr>
          <w:cantSplit/>
          <w:tblHeader/>
        </w:trPr>
        <w:tc>
          <w:tcPr>
            <w:tcW w:w="3470" w:type="dxa"/>
            <w:tcBorders>
              <w:bottom w:val="single" w:sz="4" w:space="0" w:color="auto"/>
            </w:tcBorders>
            <w:vAlign w:val="bottom"/>
          </w:tcPr>
          <w:p w14:paraId="6D581DAB" w14:textId="77777777" w:rsidR="00F35E11" w:rsidRPr="00F35E11" w:rsidRDefault="00F35E11" w:rsidP="003D7346"/>
        </w:tc>
        <w:tc>
          <w:tcPr>
            <w:tcW w:w="1794" w:type="dxa"/>
            <w:tcBorders>
              <w:bottom w:val="single" w:sz="4" w:space="0" w:color="auto"/>
            </w:tcBorders>
            <w:vAlign w:val="bottom"/>
          </w:tcPr>
          <w:p w14:paraId="68771BAF" w14:textId="1D4B420E" w:rsidR="00F35E11" w:rsidRPr="00F35E11" w:rsidRDefault="00AE5980" w:rsidP="00AE5980">
            <w:pPr>
              <w:jc w:val="center"/>
            </w:pPr>
            <w:r>
              <w:t>Date 2020</w:t>
            </w:r>
            <w:r w:rsidR="00F35E11" w:rsidRPr="00F35E11">
              <w:t xml:space="preserve"> Financial Statements tabled to Legislative Assembly</w:t>
            </w:r>
          </w:p>
        </w:tc>
        <w:tc>
          <w:tcPr>
            <w:tcW w:w="1739" w:type="dxa"/>
            <w:tcBorders>
              <w:bottom w:val="single" w:sz="4" w:space="0" w:color="auto"/>
            </w:tcBorders>
            <w:vAlign w:val="bottom"/>
          </w:tcPr>
          <w:p w14:paraId="3C6DFE70" w14:textId="77777777" w:rsidR="00F35E11" w:rsidRPr="00F35E11" w:rsidRDefault="00F35E11" w:rsidP="00F35E11">
            <w:pPr>
              <w:jc w:val="center"/>
            </w:pPr>
            <w:r w:rsidRPr="00F35E11">
              <w:t>Date of Audit report year ended 31 December 2020</w:t>
            </w:r>
          </w:p>
        </w:tc>
        <w:tc>
          <w:tcPr>
            <w:tcW w:w="1928" w:type="dxa"/>
            <w:tcBorders>
              <w:bottom w:val="single" w:sz="4" w:space="0" w:color="auto"/>
            </w:tcBorders>
            <w:vAlign w:val="bottom"/>
          </w:tcPr>
          <w:p w14:paraId="62C6DDCF" w14:textId="77777777" w:rsidR="00F35E11" w:rsidRPr="00F30939" w:rsidRDefault="00F35E11" w:rsidP="00F35E11">
            <w:pPr>
              <w:jc w:val="center"/>
            </w:pPr>
            <w:r w:rsidRPr="00F35E11">
              <w:t xml:space="preserve">Date of Audit report year </w:t>
            </w:r>
            <w:r w:rsidR="003D7346">
              <w:br/>
            </w:r>
            <w:r w:rsidRPr="00F35E11">
              <w:t xml:space="preserve">ended 31 December </w:t>
            </w:r>
            <w:r w:rsidR="003D7346">
              <w:br/>
            </w:r>
            <w:r w:rsidRPr="00F35E11">
              <w:t>2019</w:t>
            </w:r>
          </w:p>
        </w:tc>
      </w:tr>
      <w:tr w:rsidR="00F1580E" w:rsidRPr="00F30939" w14:paraId="0084DB55" w14:textId="77777777" w:rsidTr="00B23103">
        <w:trPr>
          <w:cantSplit/>
        </w:trPr>
        <w:tc>
          <w:tcPr>
            <w:tcW w:w="3470" w:type="dxa"/>
          </w:tcPr>
          <w:p w14:paraId="30F1BD62" w14:textId="22EDC7A5" w:rsidR="00F1580E" w:rsidRPr="00F30939" w:rsidRDefault="00F1580E" w:rsidP="003D7346">
            <w:r>
              <w:fldChar w:fldCharType="begin"/>
            </w:r>
            <w:r>
              <w:instrText xml:space="preserve"> REF _Ref48110860 \h </w:instrText>
            </w:r>
            <w:r w:rsidR="001744C3">
              <w:instrText xml:space="preserve"> \* MERGEFORMAT </w:instrText>
            </w:r>
            <w:r>
              <w:fldChar w:fldCharType="separate"/>
            </w:r>
            <w:r w:rsidR="00F52F17">
              <w:t>Bridging the Gap Foundation</w:t>
            </w:r>
            <w:r>
              <w:fldChar w:fldCharType="end"/>
            </w:r>
            <w:r w:rsidR="00B23103">
              <w:t xml:space="preserve"> (a </w:t>
            </w:r>
            <w:r>
              <w:t>company limited by guarantee)</w:t>
            </w:r>
          </w:p>
        </w:tc>
        <w:tc>
          <w:tcPr>
            <w:tcW w:w="1794" w:type="dxa"/>
            <w:vAlign w:val="bottom"/>
          </w:tcPr>
          <w:p w14:paraId="44FB2ADF" w14:textId="09567F49" w:rsidR="00F1580E" w:rsidRPr="00F30939" w:rsidRDefault="00F1580E" w:rsidP="003D7346">
            <w:pPr>
              <w:jc w:val="right"/>
            </w:pPr>
            <w:r>
              <w:t>Not required</w:t>
            </w:r>
          </w:p>
        </w:tc>
        <w:tc>
          <w:tcPr>
            <w:tcW w:w="1739" w:type="dxa"/>
            <w:shd w:val="clear" w:color="auto" w:fill="auto"/>
            <w:vAlign w:val="bottom"/>
          </w:tcPr>
          <w:p w14:paraId="72A897C8" w14:textId="759D8502" w:rsidR="00F1580E" w:rsidRPr="00F30939" w:rsidRDefault="00B23103" w:rsidP="003D7346">
            <w:pPr>
              <w:jc w:val="right"/>
            </w:pPr>
            <w:r>
              <w:t>19 April 2021</w:t>
            </w:r>
          </w:p>
        </w:tc>
        <w:tc>
          <w:tcPr>
            <w:tcW w:w="1928" w:type="dxa"/>
            <w:vAlign w:val="bottom"/>
          </w:tcPr>
          <w:p w14:paraId="48D3CDA4" w14:textId="33258FF3" w:rsidR="00F1580E" w:rsidRPr="00F30939" w:rsidRDefault="00F1580E" w:rsidP="003D7346">
            <w:pPr>
              <w:jc w:val="right"/>
            </w:pPr>
            <w:r>
              <w:t>24 June 2020</w:t>
            </w:r>
          </w:p>
        </w:tc>
      </w:tr>
      <w:tr w:rsidR="00F1580E" w:rsidRPr="00F30939" w14:paraId="768AB988" w14:textId="77777777" w:rsidTr="003D7346">
        <w:trPr>
          <w:cantSplit/>
        </w:trPr>
        <w:tc>
          <w:tcPr>
            <w:tcW w:w="3470" w:type="dxa"/>
          </w:tcPr>
          <w:p w14:paraId="03DEFBB0" w14:textId="46F902ED" w:rsidR="00F1580E" w:rsidRPr="00F30939" w:rsidRDefault="00F1580E" w:rsidP="00F1580E">
            <w:r>
              <w:fldChar w:fldCharType="begin"/>
            </w:r>
            <w:r>
              <w:instrText xml:space="preserve"> REF _Ref48110988 \h </w:instrText>
            </w:r>
            <w:r>
              <w:fldChar w:fldCharType="separate"/>
            </w:r>
            <w:r w:rsidR="00F52F17">
              <w:t>CDU Amenities Limited</w:t>
            </w:r>
            <w:r>
              <w:fldChar w:fldCharType="end"/>
            </w:r>
          </w:p>
        </w:tc>
        <w:tc>
          <w:tcPr>
            <w:tcW w:w="1794" w:type="dxa"/>
            <w:vAlign w:val="bottom"/>
          </w:tcPr>
          <w:p w14:paraId="1C6A3E12" w14:textId="3031897A" w:rsidR="00F1580E" w:rsidRPr="00F30939" w:rsidRDefault="00F1580E" w:rsidP="00F1580E">
            <w:pPr>
              <w:jc w:val="right"/>
            </w:pPr>
            <w:r>
              <w:t>Not required</w:t>
            </w:r>
          </w:p>
        </w:tc>
        <w:tc>
          <w:tcPr>
            <w:tcW w:w="1739" w:type="dxa"/>
            <w:vAlign w:val="bottom"/>
          </w:tcPr>
          <w:p w14:paraId="32DC012E" w14:textId="1FBF8BB6" w:rsidR="00F1580E" w:rsidRPr="00F30939" w:rsidRDefault="001744C3" w:rsidP="00F1580E">
            <w:pPr>
              <w:jc w:val="right"/>
            </w:pPr>
            <w:r>
              <w:t>7 April 2021</w:t>
            </w:r>
          </w:p>
        </w:tc>
        <w:tc>
          <w:tcPr>
            <w:tcW w:w="1928" w:type="dxa"/>
            <w:vAlign w:val="bottom"/>
          </w:tcPr>
          <w:p w14:paraId="3D260496" w14:textId="55E83CB5" w:rsidR="00F1580E" w:rsidRPr="00F30939" w:rsidRDefault="00F1580E" w:rsidP="00F1580E">
            <w:pPr>
              <w:jc w:val="right"/>
            </w:pPr>
            <w:r>
              <w:t>12 June 2020</w:t>
            </w:r>
          </w:p>
        </w:tc>
      </w:tr>
      <w:tr w:rsidR="00F1580E" w:rsidRPr="00F30939" w14:paraId="6E252E22" w14:textId="77777777" w:rsidTr="00AE5980">
        <w:trPr>
          <w:cantSplit/>
        </w:trPr>
        <w:tc>
          <w:tcPr>
            <w:tcW w:w="3470" w:type="dxa"/>
          </w:tcPr>
          <w:p w14:paraId="42FC800E" w14:textId="6C10DE41" w:rsidR="00F1580E" w:rsidRPr="00F30939" w:rsidRDefault="00F1580E" w:rsidP="00F1580E">
            <w:r>
              <w:fldChar w:fldCharType="begin"/>
            </w:r>
            <w:r>
              <w:instrText xml:space="preserve"> REF _Ref44944232 \h </w:instrText>
            </w:r>
            <w:r w:rsidR="00B23103">
              <w:instrText xml:space="preserve"> \* MERGEFORMAT </w:instrText>
            </w:r>
            <w:r>
              <w:fldChar w:fldCharType="separate"/>
            </w:r>
            <w:r w:rsidR="00F52F17">
              <w:t>Charles Darwin University</w:t>
            </w:r>
            <w:r>
              <w:fldChar w:fldCharType="end"/>
            </w:r>
          </w:p>
        </w:tc>
        <w:tc>
          <w:tcPr>
            <w:tcW w:w="1794" w:type="dxa"/>
            <w:shd w:val="clear" w:color="auto" w:fill="auto"/>
            <w:vAlign w:val="bottom"/>
          </w:tcPr>
          <w:p w14:paraId="6BC9776B" w14:textId="03AAA387" w:rsidR="00F1580E" w:rsidRPr="00F30939" w:rsidRDefault="00B23103" w:rsidP="00F1580E">
            <w:pPr>
              <w:jc w:val="right"/>
            </w:pPr>
            <w:r>
              <w:t>Not yet tabled</w:t>
            </w:r>
          </w:p>
        </w:tc>
        <w:tc>
          <w:tcPr>
            <w:tcW w:w="1739" w:type="dxa"/>
            <w:shd w:val="clear" w:color="auto" w:fill="auto"/>
            <w:vAlign w:val="bottom"/>
          </w:tcPr>
          <w:p w14:paraId="2AF73803" w14:textId="6804375D" w:rsidR="00F1580E" w:rsidRPr="00F30939" w:rsidRDefault="00B23103" w:rsidP="00F1580E">
            <w:pPr>
              <w:jc w:val="right"/>
            </w:pPr>
            <w:r>
              <w:t>17 June 2021</w:t>
            </w:r>
          </w:p>
        </w:tc>
        <w:tc>
          <w:tcPr>
            <w:tcW w:w="1928" w:type="dxa"/>
            <w:vAlign w:val="bottom"/>
          </w:tcPr>
          <w:p w14:paraId="692C938B" w14:textId="4695F3D3" w:rsidR="00F1580E" w:rsidRPr="00F30939" w:rsidRDefault="00F1580E" w:rsidP="00F1580E">
            <w:pPr>
              <w:jc w:val="right"/>
            </w:pPr>
            <w:r>
              <w:t>25 June 2020</w:t>
            </w:r>
          </w:p>
        </w:tc>
      </w:tr>
      <w:tr w:rsidR="00F1580E" w:rsidRPr="00F30939" w14:paraId="3F84E12E" w14:textId="77777777" w:rsidTr="00F1580E">
        <w:trPr>
          <w:cantSplit/>
        </w:trPr>
        <w:tc>
          <w:tcPr>
            <w:tcW w:w="3470" w:type="dxa"/>
          </w:tcPr>
          <w:p w14:paraId="4BD2F4D9" w14:textId="57540ADD" w:rsidR="00F1580E" w:rsidRPr="00F30939" w:rsidRDefault="00F1580E" w:rsidP="00F1580E">
            <w:r>
              <w:fldChar w:fldCharType="begin"/>
            </w:r>
            <w:r>
              <w:instrText xml:space="preserve"> REF _Ref34309266 \h </w:instrText>
            </w:r>
            <w:r>
              <w:fldChar w:fldCharType="separate"/>
            </w:r>
            <w:r w:rsidR="00F52F17">
              <w:t>Charles Darwin University Foundation</w:t>
            </w:r>
            <w:r>
              <w:fldChar w:fldCharType="end"/>
            </w:r>
            <w:r>
              <w:t xml:space="preserve"> (a company limited by guarantee)</w:t>
            </w:r>
          </w:p>
        </w:tc>
        <w:tc>
          <w:tcPr>
            <w:tcW w:w="1794" w:type="dxa"/>
            <w:vAlign w:val="bottom"/>
          </w:tcPr>
          <w:p w14:paraId="77081194" w14:textId="239AC6BB" w:rsidR="00F1580E" w:rsidRPr="00F30939" w:rsidRDefault="00F1580E" w:rsidP="00F1580E">
            <w:pPr>
              <w:jc w:val="right"/>
            </w:pPr>
            <w:r>
              <w:t>Not required</w:t>
            </w:r>
          </w:p>
        </w:tc>
        <w:tc>
          <w:tcPr>
            <w:tcW w:w="1739" w:type="dxa"/>
            <w:vAlign w:val="bottom"/>
          </w:tcPr>
          <w:p w14:paraId="0B97586D" w14:textId="2006D563" w:rsidR="00F1580E" w:rsidRPr="00F30939" w:rsidRDefault="001744C3" w:rsidP="00F1580E">
            <w:pPr>
              <w:jc w:val="right"/>
            </w:pPr>
            <w:r>
              <w:t>29 March 2021</w:t>
            </w:r>
          </w:p>
        </w:tc>
        <w:tc>
          <w:tcPr>
            <w:tcW w:w="1928" w:type="dxa"/>
            <w:vAlign w:val="bottom"/>
          </w:tcPr>
          <w:p w14:paraId="4827F23D" w14:textId="2C65EC37" w:rsidR="00F1580E" w:rsidRPr="00F30939" w:rsidRDefault="00F1580E" w:rsidP="00F1580E">
            <w:pPr>
              <w:jc w:val="right"/>
            </w:pPr>
            <w:r>
              <w:t>23 March 2020</w:t>
            </w:r>
          </w:p>
        </w:tc>
      </w:tr>
      <w:tr w:rsidR="00F1580E" w:rsidRPr="00F30939" w14:paraId="0754AFDC" w14:textId="77777777" w:rsidTr="00F1580E">
        <w:trPr>
          <w:cantSplit/>
        </w:trPr>
        <w:tc>
          <w:tcPr>
            <w:tcW w:w="3470" w:type="dxa"/>
          </w:tcPr>
          <w:p w14:paraId="2367CB1C" w14:textId="59BC983C" w:rsidR="00F1580E" w:rsidRPr="00F30939" w:rsidRDefault="00F1580E" w:rsidP="00F1580E">
            <w:r>
              <w:fldChar w:fldCharType="begin"/>
            </w:r>
            <w:r>
              <w:instrText xml:space="preserve"> REF _Ref34309266 \h </w:instrText>
            </w:r>
            <w:r>
              <w:fldChar w:fldCharType="separate"/>
            </w:r>
            <w:r w:rsidR="00F52F17">
              <w:t>Charles Darwin University Foundation</w:t>
            </w:r>
            <w:r>
              <w:fldChar w:fldCharType="end"/>
            </w:r>
            <w:r>
              <w:t xml:space="preserve"> Trust</w:t>
            </w:r>
          </w:p>
        </w:tc>
        <w:tc>
          <w:tcPr>
            <w:tcW w:w="1794" w:type="dxa"/>
            <w:vAlign w:val="bottom"/>
          </w:tcPr>
          <w:p w14:paraId="5FE7B548" w14:textId="2701CF12" w:rsidR="00F1580E" w:rsidRPr="00F30939" w:rsidRDefault="00F1580E" w:rsidP="00F1580E">
            <w:pPr>
              <w:jc w:val="right"/>
            </w:pPr>
            <w:r>
              <w:t>Not required</w:t>
            </w:r>
          </w:p>
        </w:tc>
        <w:tc>
          <w:tcPr>
            <w:tcW w:w="1739" w:type="dxa"/>
            <w:vAlign w:val="bottom"/>
          </w:tcPr>
          <w:p w14:paraId="57226944" w14:textId="4C2DCB0A" w:rsidR="00F1580E" w:rsidRPr="00F30939" w:rsidRDefault="001744C3" w:rsidP="00F1580E">
            <w:pPr>
              <w:jc w:val="right"/>
            </w:pPr>
            <w:r>
              <w:t>29 March 2021</w:t>
            </w:r>
          </w:p>
        </w:tc>
        <w:tc>
          <w:tcPr>
            <w:tcW w:w="1928" w:type="dxa"/>
            <w:vAlign w:val="bottom"/>
          </w:tcPr>
          <w:p w14:paraId="5E2D34EF" w14:textId="1B675CEA" w:rsidR="00F1580E" w:rsidRPr="00F30939" w:rsidRDefault="00F1580E" w:rsidP="00F1580E">
            <w:pPr>
              <w:jc w:val="right"/>
            </w:pPr>
            <w:r>
              <w:t>23 March 2020</w:t>
            </w:r>
          </w:p>
        </w:tc>
      </w:tr>
      <w:tr w:rsidR="00B23103" w:rsidRPr="00F30939" w14:paraId="29EAA7F1" w14:textId="77777777" w:rsidTr="00AE5980">
        <w:trPr>
          <w:cantSplit/>
        </w:trPr>
        <w:tc>
          <w:tcPr>
            <w:tcW w:w="3470" w:type="dxa"/>
            <w:tcBorders>
              <w:bottom w:val="single" w:sz="4" w:space="0" w:color="auto"/>
            </w:tcBorders>
          </w:tcPr>
          <w:p w14:paraId="56EB4823" w14:textId="47EB3EF7" w:rsidR="00B23103" w:rsidRPr="00F30939" w:rsidRDefault="00B23103" w:rsidP="00B23103">
            <w:r>
              <w:fldChar w:fldCharType="begin"/>
            </w:r>
            <w:r>
              <w:instrText xml:space="preserve"> REF _Ref34309281 \h  \* MERGEFORMAT </w:instrText>
            </w:r>
            <w:r>
              <w:fldChar w:fldCharType="separate"/>
            </w:r>
            <w:r w:rsidR="00F52F17">
              <w:t>Menzies School of Health Research</w:t>
            </w:r>
            <w:r>
              <w:fldChar w:fldCharType="end"/>
            </w:r>
          </w:p>
        </w:tc>
        <w:tc>
          <w:tcPr>
            <w:tcW w:w="1794" w:type="dxa"/>
            <w:tcBorders>
              <w:bottom w:val="single" w:sz="4" w:space="0" w:color="auto"/>
            </w:tcBorders>
            <w:shd w:val="clear" w:color="auto" w:fill="auto"/>
            <w:vAlign w:val="bottom"/>
          </w:tcPr>
          <w:p w14:paraId="1B3B4FEB" w14:textId="2E897F16" w:rsidR="00B23103" w:rsidRPr="00F30939" w:rsidRDefault="00B23103" w:rsidP="00B23103">
            <w:pPr>
              <w:jc w:val="right"/>
            </w:pPr>
            <w:r>
              <w:t>Not yet tabled</w:t>
            </w:r>
          </w:p>
        </w:tc>
        <w:tc>
          <w:tcPr>
            <w:tcW w:w="1739" w:type="dxa"/>
            <w:tcBorders>
              <w:bottom w:val="single" w:sz="4" w:space="0" w:color="auto"/>
            </w:tcBorders>
            <w:shd w:val="clear" w:color="auto" w:fill="auto"/>
            <w:vAlign w:val="bottom"/>
          </w:tcPr>
          <w:p w14:paraId="4D759EBF" w14:textId="6A114486" w:rsidR="00B23103" w:rsidRPr="00F30939" w:rsidRDefault="00B23103" w:rsidP="00B23103">
            <w:pPr>
              <w:jc w:val="right"/>
            </w:pPr>
            <w:r>
              <w:t>26 May 2021</w:t>
            </w:r>
          </w:p>
        </w:tc>
        <w:tc>
          <w:tcPr>
            <w:tcW w:w="1928" w:type="dxa"/>
            <w:tcBorders>
              <w:bottom w:val="single" w:sz="4" w:space="0" w:color="auto"/>
            </w:tcBorders>
            <w:vAlign w:val="bottom"/>
          </w:tcPr>
          <w:p w14:paraId="3457DDF4" w14:textId="35C2C382" w:rsidR="00B23103" w:rsidRPr="00F30939" w:rsidRDefault="00B23103" w:rsidP="00B23103">
            <w:pPr>
              <w:jc w:val="right"/>
            </w:pPr>
            <w:r>
              <w:t>24 June 2020</w:t>
            </w:r>
          </w:p>
        </w:tc>
      </w:tr>
    </w:tbl>
    <w:p w14:paraId="1A2DB15C" w14:textId="3ECB3771" w:rsidR="00F35E11" w:rsidRDefault="00F35E11" w:rsidP="00F35E11">
      <w:pPr>
        <w:pStyle w:val="Caption"/>
      </w:pPr>
      <w:r w:rsidRPr="00F30939">
        <w:t xml:space="preserve">Not yet tabled – as at </w:t>
      </w:r>
      <w:r w:rsidR="00152D1B">
        <w:t>2</w:t>
      </w:r>
      <w:r>
        <w:t xml:space="preserve"> July 2021</w:t>
      </w:r>
      <w:r w:rsidRPr="00F30939">
        <w:t xml:space="preserve"> </w:t>
      </w:r>
      <w:r w:rsidRPr="00F30939">
        <w:br/>
        <w:t>Not required – Financial statements are not required to be tabled</w:t>
      </w:r>
      <w:r>
        <w:br/>
      </w:r>
    </w:p>
    <w:p w14:paraId="7E3B3EA3" w14:textId="69FCB505" w:rsidR="00F1580E" w:rsidRDefault="00F1580E" w:rsidP="00F1580E">
      <w:pPr>
        <w:pStyle w:val="Heading1-continued"/>
      </w:pPr>
      <w:r w:rsidRPr="00F30939">
        <w:t xml:space="preserve">Appendix </w:t>
      </w:r>
      <w:r>
        <w:t>3</w:t>
      </w:r>
      <w:r w:rsidRPr="00F30939">
        <w:t>: Audit Opinio</w:t>
      </w:r>
      <w:r>
        <w:t>ns Issued cont…</w:t>
      </w:r>
    </w:p>
    <w:p w14:paraId="3C081F9D" w14:textId="77777777" w:rsidR="009B65BD" w:rsidRPr="00F30939" w:rsidRDefault="009B65BD" w:rsidP="0044489F">
      <w:pPr>
        <w:pStyle w:val="Heading3"/>
      </w:pPr>
      <w:r w:rsidRPr="0044489F">
        <w:t xml:space="preserve">Acquittals or other returns for the year ended </w:t>
      </w:r>
      <w:r w:rsidR="00F35E11">
        <w:t>31 December 2020</w:t>
      </w:r>
    </w:p>
    <w:tbl>
      <w:tblPr>
        <w:tblW w:w="0" w:type="auto"/>
        <w:tblLook w:val="04A0" w:firstRow="1" w:lastRow="0" w:firstColumn="1" w:lastColumn="0" w:noHBand="0" w:noVBand="1"/>
        <w:tblCaption w:val="Acquittals or other returns for the year ended 31 December 2020"/>
        <w:tblDescription w:val="Dates relating to acquittals or other returns for the year ended 31 December 2020&#10;"/>
      </w:tblPr>
      <w:tblGrid>
        <w:gridCol w:w="3414"/>
        <w:gridCol w:w="1723"/>
        <w:gridCol w:w="1618"/>
        <w:gridCol w:w="1703"/>
      </w:tblGrid>
      <w:tr w:rsidR="00686DA9" w:rsidRPr="00F30939" w14:paraId="15E9712A" w14:textId="77777777" w:rsidTr="001744C3">
        <w:trPr>
          <w:cantSplit/>
          <w:tblHeader/>
        </w:trPr>
        <w:tc>
          <w:tcPr>
            <w:tcW w:w="3414" w:type="dxa"/>
            <w:tcBorders>
              <w:bottom w:val="single" w:sz="4" w:space="0" w:color="auto"/>
            </w:tcBorders>
            <w:vAlign w:val="bottom"/>
          </w:tcPr>
          <w:p w14:paraId="1EB19E1B" w14:textId="77777777" w:rsidR="00686DA9" w:rsidRPr="00F30939" w:rsidRDefault="00686DA9" w:rsidP="00CD4C11"/>
        </w:tc>
        <w:tc>
          <w:tcPr>
            <w:tcW w:w="1723" w:type="dxa"/>
            <w:tcBorders>
              <w:bottom w:val="single" w:sz="4" w:space="0" w:color="auto"/>
            </w:tcBorders>
            <w:shd w:val="clear" w:color="auto" w:fill="auto"/>
            <w:vAlign w:val="bottom"/>
          </w:tcPr>
          <w:p w14:paraId="1F0B4402" w14:textId="77777777" w:rsidR="00686DA9" w:rsidRPr="007F5C38" w:rsidRDefault="00686DA9" w:rsidP="00CD4C11">
            <w:pPr>
              <w:jc w:val="center"/>
            </w:pPr>
            <w:r w:rsidRPr="007F5C38">
              <w:t>Deadline for submission of Audited Financial Statements</w:t>
            </w:r>
          </w:p>
        </w:tc>
        <w:tc>
          <w:tcPr>
            <w:tcW w:w="1618" w:type="dxa"/>
            <w:tcBorders>
              <w:bottom w:val="single" w:sz="4" w:space="0" w:color="auto"/>
            </w:tcBorders>
            <w:shd w:val="clear" w:color="auto" w:fill="auto"/>
            <w:vAlign w:val="bottom"/>
          </w:tcPr>
          <w:p w14:paraId="0E3CBE2C" w14:textId="77777777" w:rsidR="00686DA9" w:rsidRPr="007F5C38" w:rsidRDefault="00686DA9" w:rsidP="00F35E11">
            <w:pPr>
              <w:jc w:val="center"/>
            </w:pPr>
            <w:r w:rsidRPr="007F5C38">
              <w:t xml:space="preserve">Date of Audit report year ended </w:t>
            </w:r>
            <w:r w:rsidR="00F35E11" w:rsidRPr="007F5C38">
              <w:t>31 December 2020</w:t>
            </w:r>
          </w:p>
        </w:tc>
        <w:tc>
          <w:tcPr>
            <w:tcW w:w="1703" w:type="dxa"/>
            <w:tcBorders>
              <w:bottom w:val="single" w:sz="4" w:space="0" w:color="auto"/>
            </w:tcBorders>
            <w:shd w:val="clear" w:color="auto" w:fill="auto"/>
            <w:vAlign w:val="bottom"/>
          </w:tcPr>
          <w:p w14:paraId="4B584F5D" w14:textId="77777777" w:rsidR="00686DA9" w:rsidRPr="007F5C38" w:rsidRDefault="00686DA9" w:rsidP="00F35E11">
            <w:pPr>
              <w:jc w:val="center"/>
            </w:pPr>
            <w:r w:rsidRPr="007F5C38">
              <w:t xml:space="preserve">Date of Audit report year </w:t>
            </w:r>
            <w:r w:rsidR="00F35E11" w:rsidRPr="007F5C38">
              <w:t>ended 31 December 2019</w:t>
            </w:r>
          </w:p>
        </w:tc>
      </w:tr>
      <w:tr w:rsidR="00686DA9" w:rsidRPr="00F30939" w14:paraId="2DABD898" w14:textId="77777777" w:rsidTr="00B23103">
        <w:trPr>
          <w:cantSplit/>
        </w:trPr>
        <w:tc>
          <w:tcPr>
            <w:tcW w:w="3414" w:type="dxa"/>
            <w:tcBorders>
              <w:top w:val="single" w:sz="4" w:space="0" w:color="auto"/>
              <w:bottom w:val="single" w:sz="4" w:space="0" w:color="auto"/>
            </w:tcBorders>
          </w:tcPr>
          <w:p w14:paraId="37A70B96" w14:textId="23035B7A" w:rsidR="00686DA9" w:rsidRPr="00686DA9" w:rsidRDefault="001744C3" w:rsidP="00CD4C11">
            <w:r>
              <w:t>Charles Darwin University Higher Education Research Data Collection</w:t>
            </w:r>
            <w:r w:rsidRPr="009A0623">
              <w:rPr>
                <w:vertAlign w:val="superscript"/>
              </w:rPr>
              <w:t>(1)</w:t>
            </w:r>
          </w:p>
        </w:tc>
        <w:tc>
          <w:tcPr>
            <w:tcW w:w="1723" w:type="dxa"/>
            <w:tcBorders>
              <w:top w:val="single" w:sz="4" w:space="0" w:color="auto"/>
              <w:bottom w:val="single" w:sz="4" w:space="0" w:color="auto"/>
            </w:tcBorders>
            <w:vAlign w:val="bottom"/>
          </w:tcPr>
          <w:p w14:paraId="1E743D3B" w14:textId="6B286B03" w:rsidR="00686DA9" w:rsidRPr="00F30939" w:rsidRDefault="001744C3" w:rsidP="00CD4C11">
            <w:pPr>
              <w:jc w:val="right"/>
            </w:pPr>
            <w:r>
              <w:t>30 June 2021</w:t>
            </w:r>
          </w:p>
        </w:tc>
        <w:tc>
          <w:tcPr>
            <w:tcW w:w="1618" w:type="dxa"/>
            <w:tcBorders>
              <w:top w:val="single" w:sz="4" w:space="0" w:color="auto"/>
              <w:bottom w:val="single" w:sz="4" w:space="0" w:color="auto"/>
            </w:tcBorders>
            <w:shd w:val="clear" w:color="auto" w:fill="auto"/>
            <w:vAlign w:val="bottom"/>
          </w:tcPr>
          <w:p w14:paraId="6C5DBBB3" w14:textId="0AE7F7B8" w:rsidR="00686DA9" w:rsidRPr="00F30939" w:rsidRDefault="00B23103" w:rsidP="00CD4C11">
            <w:pPr>
              <w:jc w:val="right"/>
            </w:pPr>
            <w:r>
              <w:t>31 May 2021</w:t>
            </w:r>
          </w:p>
        </w:tc>
        <w:tc>
          <w:tcPr>
            <w:tcW w:w="1703" w:type="dxa"/>
            <w:tcBorders>
              <w:top w:val="single" w:sz="4" w:space="0" w:color="auto"/>
              <w:bottom w:val="single" w:sz="4" w:space="0" w:color="auto"/>
            </w:tcBorders>
            <w:vAlign w:val="bottom"/>
          </w:tcPr>
          <w:p w14:paraId="62F6B5DD" w14:textId="0B9F836A" w:rsidR="00686DA9" w:rsidRPr="00F30939" w:rsidRDefault="001744C3" w:rsidP="00CD4C11">
            <w:pPr>
              <w:jc w:val="right"/>
            </w:pPr>
            <w:r>
              <w:t>19 June 2020</w:t>
            </w:r>
          </w:p>
        </w:tc>
      </w:tr>
    </w:tbl>
    <w:p w14:paraId="35F71D15" w14:textId="77777777" w:rsidR="00D10081" w:rsidRPr="00F30939" w:rsidRDefault="00D10081" w:rsidP="00D10081">
      <w:r w:rsidRPr="009A0623">
        <w:rPr>
          <w:vertAlign w:val="superscript"/>
        </w:rPr>
        <w:t>(1)</w:t>
      </w:r>
      <w:r w:rsidRPr="009A0623">
        <w:t xml:space="preserve"> </w:t>
      </w:r>
      <w:r w:rsidRPr="004F1586">
        <w:rPr>
          <w:bCs/>
          <w:i/>
          <w:color w:val="auto"/>
          <w:sz w:val="18"/>
          <w:szCs w:val="18"/>
        </w:rPr>
        <w:t>Not separately reported within this report</w:t>
      </w:r>
    </w:p>
    <w:p w14:paraId="642371C3" w14:textId="77777777" w:rsidR="009B65BD" w:rsidRPr="00F30939" w:rsidRDefault="009B65BD" w:rsidP="00011A13"/>
    <w:p w14:paraId="3ED03C74" w14:textId="77777777" w:rsidR="003D6549" w:rsidRDefault="009B65BD" w:rsidP="00154E90">
      <w:pPr>
        <w:pStyle w:val="Heading1"/>
      </w:pPr>
      <w:bookmarkStart w:id="51" w:name="_Ref529444596"/>
      <w:r w:rsidRPr="00F30939">
        <w:t xml:space="preserve">Appendix </w:t>
      </w:r>
      <w:r w:rsidR="00722AEC">
        <w:t>4</w:t>
      </w:r>
      <w:r w:rsidRPr="00F30939">
        <w:t xml:space="preserve">: Status of Audit </w:t>
      </w:r>
      <w:r w:rsidR="001A7934" w:rsidRPr="00F30939">
        <w:t>Activity</w:t>
      </w:r>
      <w:bookmarkEnd w:id="51"/>
    </w:p>
    <w:p w14:paraId="55ABF638" w14:textId="77777777" w:rsidR="003D6549" w:rsidRPr="00F30939" w:rsidRDefault="002F470B" w:rsidP="003D6549">
      <w:r>
        <w:t xml:space="preserve">Listed below is the status of non-routine audits and reviews identified as not yet complete in </w:t>
      </w:r>
      <w:r w:rsidRPr="00F35E11">
        <w:t xml:space="preserve">Appendix 2 of my March </w:t>
      </w:r>
      <w:r w:rsidR="00F35E11" w:rsidRPr="00F35E11">
        <w:t>2021</w:t>
      </w:r>
      <w:r w:rsidRPr="00F35E11">
        <w:t xml:space="preserve"> Report to the Legislative Assembly</w:t>
      </w:r>
      <w:r w:rsidR="003D6549" w:rsidRPr="00F35E11">
        <w:t>:</w:t>
      </w:r>
    </w:p>
    <w:tbl>
      <w:tblPr>
        <w:tblW w:w="8789" w:type="dxa"/>
        <w:tblLook w:val="04A0" w:firstRow="1" w:lastRow="0" w:firstColumn="1" w:lastColumn="0" w:noHBand="0" w:noVBand="1"/>
        <w:tblCaption w:val=" Status of non-routine audits"/>
        <w:tblDescription w:val=" Status of non-routine audits"/>
      </w:tblPr>
      <w:tblGrid>
        <w:gridCol w:w="6237"/>
        <w:gridCol w:w="2552"/>
      </w:tblGrid>
      <w:tr w:rsidR="003D6549" w:rsidRPr="00F30939" w14:paraId="33003B73" w14:textId="77777777" w:rsidTr="006D75A4">
        <w:trPr>
          <w:cantSplit/>
          <w:tblHeader/>
        </w:trPr>
        <w:tc>
          <w:tcPr>
            <w:tcW w:w="6237" w:type="dxa"/>
          </w:tcPr>
          <w:p w14:paraId="4111B882" w14:textId="0D7E7FDC" w:rsidR="003D6549" w:rsidRPr="00915C4A" w:rsidRDefault="003D6549" w:rsidP="004008E9">
            <w:pPr>
              <w:rPr>
                <w:b/>
              </w:rPr>
            </w:pPr>
            <w:r w:rsidRPr="00915C4A">
              <w:rPr>
                <w:b/>
              </w:rPr>
              <w:t xml:space="preserve">Department of </w:t>
            </w:r>
            <w:r w:rsidR="004008E9">
              <w:rPr>
                <w:b/>
              </w:rPr>
              <w:t>Infrastructure, Planning and Logistics</w:t>
            </w:r>
          </w:p>
        </w:tc>
        <w:tc>
          <w:tcPr>
            <w:tcW w:w="2552" w:type="dxa"/>
          </w:tcPr>
          <w:p w14:paraId="5FE017DC" w14:textId="77777777" w:rsidR="003D6549" w:rsidRPr="00F30939" w:rsidRDefault="003D6549" w:rsidP="003F5414"/>
        </w:tc>
      </w:tr>
      <w:tr w:rsidR="00F35E11" w:rsidRPr="00F30939" w14:paraId="074CDB28" w14:textId="77777777" w:rsidTr="00820B53">
        <w:trPr>
          <w:cantSplit/>
        </w:trPr>
        <w:tc>
          <w:tcPr>
            <w:tcW w:w="6237" w:type="dxa"/>
          </w:tcPr>
          <w:p w14:paraId="2AF56D2A" w14:textId="77777777" w:rsidR="00F35E11" w:rsidRDefault="00F35E11" w:rsidP="00820B53">
            <w:pPr>
              <w:pStyle w:val="BodyTextFirstIndent"/>
            </w:pPr>
            <w:r>
              <w:t>Accounting for Assets on Leased Land</w:t>
            </w:r>
          </w:p>
        </w:tc>
        <w:tc>
          <w:tcPr>
            <w:tcW w:w="2552" w:type="dxa"/>
            <w:shd w:val="clear" w:color="auto" w:fill="auto"/>
          </w:tcPr>
          <w:p w14:paraId="2469BB8D" w14:textId="6AFB44F8" w:rsidR="00F35E11" w:rsidRDefault="0069131B" w:rsidP="00152D1B">
            <w:pPr>
              <w:pStyle w:val="BodyTextFirstIndent"/>
              <w:ind w:firstLine="0"/>
            </w:pPr>
            <w:r>
              <w:t xml:space="preserve">Not yet completed as at </w:t>
            </w:r>
            <w:r w:rsidR="00152D1B">
              <w:t>2 </w:t>
            </w:r>
            <w:r>
              <w:t>July 2021</w:t>
            </w:r>
          </w:p>
        </w:tc>
      </w:tr>
      <w:tr w:rsidR="00F35E11" w:rsidRPr="00F30939" w14:paraId="2C67F590" w14:textId="77777777" w:rsidTr="006D75A4">
        <w:trPr>
          <w:cantSplit/>
          <w:tblHeader/>
        </w:trPr>
        <w:tc>
          <w:tcPr>
            <w:tcW w:w="6237" w:type="dxa"/>
          </w:tcPr>
          <w:p w14:paraId="2A803339" w14:textId="5E68F12B" w:rsidR="00F35E11" w:rsidRPr="00EC7E16" w:rsidRDefault="0069131B" w:rsidP="0069131B">
            <w:pPr>
              <w:rPr>
                <w:b/>
              </w:rPr>
            </w:pPr>
            <w:r>
              <w:rPr>
                <w:b/>
              </w:rPr>
              <w:t xml:space="preserve">The former </w:t>
            </w:r>
            <w:r w:rsidR="00F35E11" w:rsidRPr="00915C4A">
              <w:rPr>
                <w:b/>
              </w:rPr>
              <w:t xml:space="preserve">Department of </w:t>
            </w:r>
            <w:r w:rsidR="00F35E11">
              <w:rPr>
                <w:b/>
              </w:rPr>
              <w:t>the Attorney-General and Justice</w:t>
            </w:r>
          </w:p>
        </w:tc>
        <w:tc>
          <w:tcPr>
            <w:tcW w:w="2552" w:type="dxa"/>
            <w:shd w:val="clear" w:color="auto" w:fill="auto"/>
          </w:tcPr>
          <w:p w14:paraId="1339D333" w14:textId="77777777" w:rsidR="00F35E11" w:rsidRPr="00F30939" w:rsidRDefault="00F35E11" w:rsidP="00F35E11"/>
        </w:tc>
      </w:tr>
      <w:tr w:rsidR="005D3BF1" w:rsidRPr="00F30939" w14:paraId="0DB18513" w14:textId="77777777" w:rsidTr="00820B53">
        <w:trPr>
          <w:cantSplit/>
        </w:trPr>
        <w:tc>
          <w:tcPr>
            <w:tcW w:w="6237" w:type="dxa"/>
          </w:tcPr>
          <w:p w14:paraId="2B446B55" w14:textId="3E324D59" w:rsidR="005D3BF1" w:rsidRPr="00820B53" w:rsidRDefault="005D3BF1" w:rsidP="00820B53">
            <w:pPr>
              <w:pStyle w:val="BodyTextFirstIndent"/>
            </w:pPr>
            <w:r>
              <w:t>COVID-19 Stimulus Initiative – Gaming Tax</w:t>
            </w:r>
          </w:p>
        </w:tc>
        <w:tc>
          <w:tcPr>
            <w:tcW w:w="2552" w:type="dxa"/>
            <w:shd w:val="clear" w:color="auto" w:fill="auto"/>
          </w:tcPr>
          <w:p w14:paraId="7AD6636F" w14:textId="744F2B5F" w:rsidR="00483C36" w:rsidRPr="00F30939" w:rsidRDefault="005D3BF1" w:rsidP="005D3BF1">
            <w:r>
              <w:t xml:space="preserve">Refer </w:t>
            </w:r>
            <w:hyperlink r:id="rId24" w:anchor="page=16" w:history="1">
              <w:r w:rsidR="0076674C">
                <w:t>June 2021 Report page 16</w:t>
              </w:r>
            </w:hyperlink>
          </w:p>
        </w:tc>
      </w:tr>
      <w:tr w:rsidR="00F35E11" w:rsidRPr="00F30939" w14:paraId="1106FFD1" w14:textId="77777777" w:rsidTr="006D75A4">
        <w:trPr>
          <w:cantSplit/>
        </w:trPr>
        <w:tc>
          <w:tcPr>
            <w:tcW w:w="6237" w:type="dxa"/>
          </w:tcPr>
          <w:p w14:paraId="6E4AE52B" w14:textId="723E3163" w:rsidR="00F35E11" w:rsidRPr="00EC7E16" w:rsidRDefault="0069131B" w:rsidP="00F35E11">
            <w:pPr>
              <w:rPr>
                <w:b/>
              </w:rPr>
            </w:pPr>
            <w:r>
              <w:rPr>
                <w:b/>
              </w:rPr>
              <w:t>The former</w:t>
            </w:r>
            <w:r w:rsidRPr="00915C4A">
              <w:rPr>
                <w:b/>
              </w:rPr>
              <w:t xml:space="preserve"> </w:t>
            </w:r>
            <w:r w:rsidR="00F35E11" w:rsidRPr="00915C4A">
              <w:rPr>
                <w:b/>
              </w:rPr>
              <w:t xml:space="preserve">Department of </w:t>
            </w:r>
            <w:r w:rsidR="00F35E11">
              <w:rPr>
                <w:b/>
              </w:rPr>
              <w:t>Trade, Business and Innovation</w:t>
            </w:r>
          </w:p>
        </w:tc>
        <w:tc>
          <w:tcPr>
            <w:tcW w:w="2552" w:type="dxa"/>
            <w:shd w:val="clear" w:color="auto" w:fill="auto"/>
          </w:tcPr>
          <w:p w14:paraId="4A469676" w14:textId="77777777" w:rsidR="00F35E11" w:rsidRPr="00F30939" w:rsidRDefault="00F35E11" w:rsidP="00F35E11"/>
        </w:tc>
      </w:tr>
      <w:tr w:rsidR="005D3BF1" w:rsidRPr="00F30939" w14:paraId="7C4FF27A" w14:textId="77777777" w:rsidTr="00820B53">
        <w:trPr>
          <w:cantSplit/>
        </w:trPr>
        <w:tc>
          <w:tcPr>
            <w:tcW w:w="6237" w:type="dxa"/>
          </w:tcPr>
          <w:p w14:paraId="5490AB53" w14:textId="55AFA757" w:rsidR="005D3BF1" w:rsidRPr="00EC7E16" w:rsidRDefault="005D3BF1" w:rsidP="00820B53">
            <w:pPr>
              <w:pStyle w:val="BodyTextIndent"/>
              <w:rPr>
                <w:b/>
              </w:rPr>
            </w:pPr>
            <w:r>
              <w:t>COVID-19 Stimulus Initiative – Jobs Rescue and Recovery Plan</w:t>
            </w:r>
          </w:p>
        </w:tc>
        <w:tc>
          <w:tcPr>
            <w:tcW w:w="2552" w:type="dxa"/>
            <w:shd w:val="clear" w:color="auto" w:fill="auto"/>
          </w:tcPr>
          <w:p w14:paraId="4D09640C" w14:textId="1C3FD2F3" w:rsidR="005D3BF1" w:rsidRPr="00F30939" w:rsidRDefault="005D3BF1" w:rsidP="005D3BF1">
            <w:r>
              <w:t xml:space="preserve">Refer </w:t>
            </w:r>
            <w:hyperlink r:id="rId25" w:anchor="page=26" w:history="1">
              <w:r w:rsidR="0076674C">
                <w:t>June 2021 Report page 26</w:t>
              </w:r>
            </w:hyperlink>
          </w:p>
        </w:tc>
      </w:tr>
      <w:tr w:rsidR="00F35E11" w:rsidRPr="00F30939" w14:paraId="078C9196" w14:textId="77777777" w:rsidTr="006D75A4">
        <w:trPr>
          <w:cantSplit/>
        </w:trPr>
        <w:tc>
          <w:tcPr>
            <w:tcW w:w="6237" w:type="dxa"/>
          </w:tcPr>
          <w:p w14:paraId="22163586" w14:textId="77777777" w:rsidR="00F35E11" w:rsidRPr="00EC7E16" w:rsidRDefault="00F35E11" w:rsidP="00F35E11">
            <w:pPr>
              <w:rPr>
                <w:b/>
              </w:rPr>
            </w:pPr>
            <w:r w:rsidRPr="00915C4A">
              <w:rPr>
                <w:b/>
              </w:rPr>
              <w:t xml:space="preserve">Department of </w:t>
            </w:r>
            <w:r>
              <w:rPr>
                <w:b/>
              </w:rPr>
              <w:t>Treasury and Finance</w:t>
            </w:r>
          </w:p>
        </w:tc>
        <w:tc>
          <w:tcPr>
            <w:tcW w:w="2552" w:type="dxa"/>
            <w:shd w:val="clear" w:color="auto" w:fill="auto"/>
          </w:tcPr>
          <w:p w14:paraId="49100B41" w14:textId="77777777" w:rsidR="00F35E11" w:rsidRPr="00F30939" w:rsidRDefault="00F35E11" w:rsidP="00F35E11"/>
        </w:tc>
      </w:tr>
      <w:tr w:rsidR="00F35E11" w:rsidRPr="00F30939" w14:paraId="6CB26EAF" w14:textId="77777777" w:rsidTr="00820B53">
        <w:trPr>
          <w:cantSplit/>
        </w:trPr>
        <w:tc>
          <w:tcPr>
            <w:tcW w:w="6237" w:type="dxa"/>
          </w:tcPr>
          <w:p w14:paraId="36B9DA38" w14:textId="6BE8C77E" w:rsidR="00F35E11" w:rsidRPr="00EC7E16" w:rsidRDefault="0069131B" w:rsidP="00820B53">
            <w:pPr>
              <w:pStyle w:val="BodyTextIndent"/>
              <w:rPr>
                <w:b/>
              </w:rPr>
            </w:pPr>
            <w:r>
              <w:t>COVID-19 Stimulus Initiative</w:t>
            </w:r>
          </w:p>
        </w:tc>
        <w:tc>
          <w:tcPr>
            <w:tcW w:w="2552" w:type="dxa"/>
            <w:shd w:val="clear" w:color="auto" w:fill="auto"/>
          </w:tcPr>
          <w:p w14:paraId="12F56F10" w14:textId="578C7C6F" w:rsidR="00F35E11" w:rsidRPr="00F30939" w:rsidRDefault="006D75A4" w:rsidP="005D3BF1">
            <w:r>
              <w:t xml:space="preserve">Refer </w:t>
            </w:r>
            <w:hyperlink r:id="rId26" w:anchor="page=59" w:history="1">
              <w:r w:rsidR="0076674C">
                <w:t>June 2021 Report page 59</w:t>
              </w:r>
            </w:hyperlink>
          </w:p>
        </w:tc>
      </w:tr>
    </w:tbl>
    <w:p w14:paraId="144D206B" w14:textId="77777777" w:rsidR="00F35E11" w:rsidRDefault="00F35E11" w:rsidP="00343D39"/>
    <w:p w14:paraId="6DE171A0" w14:textId="77777777" w:rsidR="00343D39" w:rsidRPr="00F30939" w:rsidRDefault="00343D39" w:rsidP="00343D39">
      <w:r w:rsidRPr="00F35E11">
        <w:t xml:space="preserve">In addition to the routine audits, primarily being compliance audits of agencies and audits of financial statements, the following audits and reviews were identified in </w:t>
      </w:r>
      <w:r w:rsidR="003D6549" w:rsidRPr="00F35E11">
        <w:t xml:space="preserve">Appendix 3 of </w:t>
      </w:r>
      <w:r w:rsidRPr="00F35E11">
        <w:t xml:space="preserve">my March </w:t>
      </w:r>
      <w:r w:rsidR="00F35E11" w:rsidRPr="00F35E11">
        <w:t>2021</w:t>
      </w:r>
      <w:r w:rsidRPr="00F35E11">
        <w:t xml:space="preserve"> Report to the Legislative Assembly as scheduled to be conducted during the six months to </w:t>
      </w:r>
      <w:r w:rsidR="00F35E11" w:rsidRPr="00F35E11">
        <w:t>30 </w:t>
      </w:r>
      <w:r w:rsidRPr="00F35E11">
        <w:t xml:space="preserve">June </w:t>
      </w:r>
      <w:r w:rsidR="00F35E11" w:rsidRPr="00F35E11">
        <w:t>2021</w:t>
      </w:r>
      <w:r w:rsidRPr="00F35E11">
        <w:t>:</w:t>
      </w:r>
    </w:p>
    <w:tbl>
      <w:tblPr>
        <w:tblW w:w="8754" w:type="dxa"/>
        <w:tblLook w:val="04A0" w:firstRow="1" w:lastRow="0" w:firstColumn="1" w:lastColumn="0" w:noHBand="0" w:noVBand="1"/>
        <w:tblCaption w:val=" Status of non-routine audits"/>
        <w:tblDescription w:val=" Status of non-routine audits"/>
      </w:tblPr>
      <w:tblGrid>
        <w:gridCol w:w="6237"/>
        <w:gridCol w:w="2517"/>
      </w:tblGrid>
      <w:tr w:rsidR="00F35E11" w:rsidRPr="00F30939" w14:paraId="7DC34ABD" w14:textId="77777777" w:rsidTr="007B0863">
        <w:trPr>
          <w:cantSplit/>
          <w:tblHeader/>
        </w:trPr>
        <w:tc>
          <w:tcPr>
            <w:tcW w:w="6237" w:type="dxa"/>
          </w:tcPr>
          <w:p w14:paraId="7CD0EF46" w14:textId="77777777" w:rsidR="00F35E11" w:rsidRPr="00915C4A" w:rsidRDefault="00F35E11" w:rsidP="00F35E11">
            <w:pPr>
              <w:rPr>
                <w:b/>
              </w:rPr>
            </w:pPr>
            <w:r w:rsidRPr="00915C4A">
              <w:rPr>
                <w:b/>
              </w:rPr>
              <w:t xml:space="preserve">Department of </w:t>
            </w:r>
            <w:r>
              <w:rPr>
                <w:b/>
              </w:rPr>
              <w:t xml:space="preserve">Corporate and Digital Development </w:t>
            </w:r>
          </w:p>
        </w:tc>
        <w:tc>
          <w:tcPr>
            <w:tcW w:w="2517" w:type="dxa"/>
          </w:tcPr>
          <w:p w14:paraId="76783CD9" w14:textId="77777777" w:rsidR="00F35E11" w:rsidRPr="00F30939" w:rsidRDefault="00F35E11" w:rsidP="00F35E11"/>
        </w:tc>
      </w:tr>
      <w:tr w:rsidR="00F35E11" w:rsidRPr="00F30939" w14:paraId="71F6D181" w14:textId="77777777" w:rsidTr="007B0863">
        <w:trPr>
          <w:cantSplit/>
        </w:trPr>
        <w:tc>
          <w:tcPr>
            <w:tcW w:w="6237" w:type="dxa"/>
          </w:tcPr>
          <w:p w14:paraId="481722E1" w14:textId="77777777" w:rsidR="00F35E11" w:rsidRPr="00BB222B" w:rsidRDefault="00F35E11" w:rsidP="00F35E11">
            <w:pPr>
              <w:pStyle w:val="BodyTextFirstIndent"/>
            </w:pPr>
            <w:r w:rsidRPr="00BB222B">
              <w:t>Incorrect Payment of Superannuation Follow-up</w:t>
            </w:r>
          </w:p>
        </w:tc>
        <w:tc>
          <w:tcPr>
            <w:tcW w:w="2517" w:type="dxa"/>
            <w:shd w:val="clear" w:color="auto" w:fill="auto"/>
          </w:tcPr>
          <w:p w14:paraId="3AA1F312" w14:textId="66457765" w:rsidR="00F35E11" w:rsidRPr="00F30939" w:rsidRDefault="007B0863" w:rsidP="00152D1B">
            <w:r>
              <w:t xml:space="preserve">Not yet completed as at </w:t>
            </w:r>
            <w:r w:rsidR="00152D1B">
              <w:t>2 </w:t>
            </w:r>
            <w:r>
              <w:t>July 2021</w:t>
            </w:r>
          </w:p>
        </w:tc>
      </w:tr>
      <w:tr w:rsidR="00F35E11" w:rsidRPr="00F30939" w14:paraId="57A52F4C" w14:textId="77777777" w:rsidTr="007B0863">
        <w:trPr>
          <w:cantSplit/>
          <w:tblHeader/>
        </w:trPr>
        <w:tc>
          <w:tcPr>
            <w:tcW w:w="6237" w:type="dxa"/>
          </w:tcPr>
          <w:p w14:paraId="24D02525" w14:textId="77777777" w:rsidR="00F35E11" w:rsidRPr="00BB222B" w:rsidRDefault="00F35E11" w:rsidP="00F35E11">
            <w:pPr>
              <w:pStyle w:val="BodyTextFirstIndent"/>
            </w:pPr>
            <w:r w:rsidRPr="00BB222B">
              <w:t xml:space="preserve">Shared Services </w:t>
            </w:r>
          </w:p>
        </w:tc>
        <w:tc>
          <w:tcPr>
            <w:tcW w:w="2517" w:type="dxa"/>
            <w:shd w:val="clear" w:color="auto" w:fill="auto"/>
          </w:tcPr>
          <w:p w14:paraId="602DC9D7" w14:textId="64ABB7F5" w:rsidR="00F35E11" w:rsidRPr="007B0863" w:rsidRDefault="007B0863" w:rsidP="00152D1B">
            <w:pPr>
              <w:rPr>
                <w:highlight w:val="yellow"/>
              </w:rPr>
            </w:pPr>
            <w:r>
              <w:t xml:space="preserve">Not yet completed as at </w:t>
            </w:r>
            <w:r w:rsidR="00152D1B">
              <w:t>2 </w:t>
            </w:r>
            <w:r>
              <w:t>July 2021</w:t>
            </w:r>
          </w:p>
        </w:tc>
      </w:tr>
      <w:tr w:rsidR="00F35E11" w:rsidRPr="00F30939" w14:paraId="77AB905F" w14:textId="77777777" w:rsidTr="007B0863">
        <w:trPr>
          <w:cantSplit/>
        </w:trPr>
        <w:tc>
          <w:tcPr>
            <w:tcW w:w="6237" w:type="dxa"/>
          </w:tcPr>
          <w:p w14:paraId="7714498D" w14:textId="339CAAC8" w:rsidR="00F35E11" w:rsidRPr="00BB222B" w:rsidRDefault="00C13B6B" w:rsidP="00F35E11">
            <w:pPr>
              <w:pStyle w:val="BodyTextFirstIndent"/>
            </w:pPr>
            <w:r w:rsidRPr="00BB222B">
              <w:fldChar w:fldCharType="begin"/>
            </w:r>
            <w:r w:rsidRPr="00BB222B">
              <w:instrText xml:space="preserve"> REF _Ref74894097 \h </w:instrText>
            </w:r>
            <w:r w:rsidRPr="00BB222B">
              <w:fldChar w:fldCharType="separate"/>
            </w:r>
            <w:r w:rsidR="00F52F17" w:rsidRPr="0004605C">
              <w:t>Identity and Access Management</w:t>
            </w:r>
            <w:r w:rsidR="00F52F17">
              <w:t xml:space="preserve"> System </w:t>
            </w:r>
            <w:r w:rsidR="00F52F17" w:rsidRPr="0004605C">
              <w:t>(IAMS) Review</w:t>
            </w:r>
            <w:r w:rsidRPr="00BB222B">
              <w:fldChar w:fldCharType="end"/>
            </w:r>
          </w:p>
        </w:tc>
        <w:tc>
          <w:tcPr>
            <w:tcW w:w="2517" w:type="dxa"/>
            <w:shd w:val="clear" w:color="auto" w:fill="auto"/>
          </w:tcPr>
          <w:p w14:paraId="6056A958" w14:textId="5683AA2B" w:rsidR="00F35E11" w:rsidRPr="00F30939" w:rsidRDefault="00B23103" w:rsidP="00F35E11">
            <w:r>
              <w:t xml:space="preserve">Refer page </w:t>
            </w:r>
            <w:r>
              <w:fldChar w:fldCharType="begin"/>
            </w:r>
            <w:r>
              <w:instrText xml:space="preserve"> PAGEREF _Ref74894097 \h </w:instrText>
            </w:r>
            <w:r>
              <w:fldChar w:fldCharType="separate"/>
            </w:r>
            <w:r w:rsidR="00F52F17">
              <w:rPr>
                <w:noProof/>
              </w:rPr>
              <w:t>45</w:t>
            </w:r>
            <w:r>
              <w:fldChar w:fldCharType="end"/>
            </w:r>
          </w:p>
        </w:tc>
      </w:tr>
      <w:tr w:rsidR="00F35E11" w:rsidRPr="00F30939" w14:paraId="69473839" w14:textId="77777777" w:rsidTr="007B0863">
        <w:trPr>
          <w:cantSplit/>
        </w:trPr>
        <w:tc>
          <w:tcPr>
            <w:tcW w:w="6237" w:type="dxa"/>
          </w:tcPr>
          <w:p w14:paraId="0BCE92F0" w14:textId="77777777" w:rsidR="00F35E11" w:rsidRPr="00BB222B" w:rsidRDefault="00F35E11" w:rsidP="00F35E11">
            <w:pPr>
              <w:rPr>
                <w:b/>
              </w:rPr>
            </w:pPr>
            <w:r w:rsidRPr="00BB222B">
              <w:rPr>
                <w:b/>
              </w:rPr>
              <w:t xml:space="preserve">Department of Treasury and Finance </w:t>
            </w:r>
          </w:p>
        </w:tc>
        <w:tc>
          <w:tcPr>
            <w:tcW w:w="2517" w:type="dxa"/>
            <w:shd w:val="clear" w:color="auto" w:fill="auto"/>
          </w:tcPr>
          <w:p w14:paraId="0EE7AF92" w14:textId="77777777" w:rsidR="00F35E11" w:rsidRPr="00F30939" w:rsidRDefault="00F35E11" w:rsidP="00F35E11"/>
        </w:tc>
      </w:tr>
      <w:tr w:rsidR="00F35E11" w:rsidRPr="00F30939" w14:paraId="1CB5FE66" w14:textId="77777777" w:rsidTr="007B0863">
        <w:trPr>
          <w:cantSplit/>
        </w:trPr>
        <w:tc>
          <w:tcPr>
            <w:tcW w:w="6237" w:type="dxa"/>
          </w:tcPr>
          <w:p w14:paraId="6C44C7C8" w14:textId="6D510DAB" w:rsidR="00F35E11" w:rsidRPr="00BB222B" w:rsidRDefault="004008E9" w:rsidP="00F35E11">
            <w:pPr>
              <w:pStyle w:val="BodyTextFirstIndent"/>
            </w:pPr>
            <w:r w:rsidRPr="00BB222B">
              <w:fldChar w:fldCharType="begin"/>
            </w:r>
            <w:r w:rsidRPr="00BB222B">
              <w:instrText xml:space="preserve"> REF _Ref74894751 \h  \* MERGEFORMAT </w:instrText>
            </w:r>
            <w:r w:rsidRPr="00BB222B">
              <w:fldChar w:fldCharType="separate"/>
            </w:r>
            <w:r w:rsidR="00F52F17" w:rsidRPr="0097651E">
              <w:t xml:space="preserve">Integrated Revenue Application </w:t>
            </w:r>
            <w:r w:rsidR="00F52F17">
              <w:t>(INTRA) Review</w:t>
            </w:r>
            <w:r w:rsidRPr="00BB222B">
              <w:fldChar w:fldCharType="end"/>
            </w:r>
          </w:p>
        </w:tc>
        <w:tc>
          <w:tcPr>
            <w:tcW w:w="2517" w:type="dxa"/>
            <w:shd w:val="clear" w:color="auto" w:fill="auto"/>
          </w:tcPr>
          <w:p w14:paraId="25B14522" w14:textId="0EE1BC26" w:rsidR="00F35E11" w:rsidRPr="00F30939" w:rsidRDefault="004008E9" w:rsidP="004008E9">
            <w:r>
              <w:t xml:space="preserve">Refer page </w:t>
            </w:r>
            <w:r>
              <w:fldChar w:fldCharType="begin"/>
            </w:r>
            <w:r>
              <w:instrText xml:space="preserve"> PAGEREF _Ref74894751 \h </w:instrText>
            </w:r>
            <w:r>
              <w:fldChar w:fldCharType="separate"/>
            </w:r>
            <w:r w:rsidR="00F52F17">
              <w:rPr>
                <w:noProof/>
              </w:rPr>
              <w:t>48</w:t>
            </w:r>
            <w:r>
              <w:fldChar w:fldCharType="end"/>
            </w:r>
          </w:p>
        </w:tc>
      </w:tr>
      <w:tr w:rsidR="00F35E11" w:rsidRPr="00F30939" w14:paraId="32888695" w14:textId="77777777" w:rsidTr="007B0863">
        <w:trPr>
          <w:cantSplit/>
        </w:trPr>
        <w:tc>
          <w:tcPr>
            <w:tcW w:w="6237" w:type="dxa"/>
          </w:tcPr>
          <w:p w14:paraId="0CED48C1" w14:textId="77777777" w:rsidR="00F35E11" w:rsidRPr="00BB222B" w:rsidRDefault="00F35E11" w:rsidP="00F35E11">
            <w:pPr>
              <w:pStyle w:val="BodyTextFirstIndent"/>
            </w:pPr>
            <w:r w:rsidRPr="00BB222B">
              <w:t>Budget Repair</w:t>
            </w:r>
          </w:p>
        </w:tc>
        <w:tc>
          <w:tcPr>
            <w:tcW w:w="2517" w:type="dxa"/>
            <w:shd w:val="clear" w:color="auto" w:fill="auto"/>
          </w:tcPr>
          <w:p w14:paraId="060CC259" w14:textId="0BAC09B2" w:rsidR="00F35E11" w:rsidRPr="00F30939" w:rsidRDefault="007B0863" w:rsidP="00152D1B">
            <w:r>
              <w:t xml:space="preserve">Not yet completed as at </w:t>
            </w:r>
            <w:r w:rsidR="00152D1B">
              <w:t>2 </w:t>
            </w:r>
            <w:r>
              <w:t>July 2021</w:t>
            </w:r>
          </w:p>
        </w:tc>
      </w:tr>
    </w:tbl>
    <w:p w14:paraId="3A9FC916" w14:textId="77777777" w:rsidR="001A7934" w:rsidRPr="00F35E11" w:rsidRDefault="001A7934" w:rsidP="00011A13"/>
    <w:p w14:paraId="1EF22B5C" w14:textId="77777777" w:rsidR="005544FD" w:rsidRDefault="005544FD" w:rsidP="000D515D">
      <w:pPr>
        <w:pStyle w:val="Heading1"/>
      </w:pPr>
      <w:bookmarkStart w:id="52" w:name="_Ref529444601"/>
      <w:r w:rsidRPr="00F30939">
        <w:t xml:space="preserve">Appendix </w:t>
      </w:r>
      <w:r w:rsidR="00722AEC">
        <w:t>5</w:t>
      </w:r>
      <w:r w:rsidRPr="00F30939">
        <w:t xml:space="preserve">: Proposed Audit Activity in the Six </w:t>
      </w:r>
      <w:r w:rsidRPr="00154E90">
        <w:t xml:space="preserve">Months Ending </w:t>
      </w:r>
      <w:r w:rsidR="00154E90" w:rsidRPr="00154E90">
        <w:t>31 December 2021</w:t>
      </w:r>
      <w:bookmarkEnd w:id="52"/>
    </w:p>
    <w:p w14:paraId="4B761E25" w14:textId="0E4D8C54" w:rsidR="005544FD" w:rsidRPr="00F30939" w:rsidRDefault="005544FD" w:rsidP="00011A13">
      <w:r w:rsidRPr="00F30939">
        <w:t xml:space="preserve">In addition to the routine audits, primarily being end of financial year audits of </w:t>
      </w:r>
      <w:r w:rsidR="00707781">
        <w:t>a</w:t>
      </w:r>
      <w:r w:rsidRPr="00F30939">
        <w:t>gencies and of financial statements, and follow-up of outstanding issues in previous audits the following audits have been scheduled for the period:</w:t>
      </w:r>
    </w:p>
    <w:tbl>
      <w:tblPr>
        <w:tblW w:w="9072" w:type="dxa"/>
        <w:tblLook w:val="04A0" w:firstRow="1" w:lastRow="0" w:firstColumn="1" w:lastColumn="0" w:noHBand="0" w:noVBand="1"/>
        <w:tblCaption w:val="Proposed non-routine audits"/>
        <w:tblDescription w:val="Proposed non-routine audits"/>
      </w:tblPr>
      <w:tblGrid>
        <w:gridCol w:w="9072"/>
      </w:tblGrid>
      <w:tr w:rsidR="00915C4A" w:rsidRPr="00F30939" w14:paraId="51C6B8A2" w14:textId="77777777" w:rsidTr="00C65670">
        <w:trPr>
          <w:cantSplit/>
          <w:tblHeader/>
        </w:trPr>
        <w:tc>
          <w:tcPr>
            <w:tcW w:w="9072" w:type="dxa"/>
          </w:tcPr>
          <w:p w14:paraId="2360C087" w14:textId="556C796D" w:rsidR="00915C4A" w:rsidRPr="00915C4A" w:rsidRDefault="00915C4A" w:rsidP="00A73D7E">
            <w:pPr>
              <w:rPr>
                <w:b/>
              </w:rPr>
            </w:pPr>
            <w:r w:rsidRPr="00915C4A">
              <w:rPr>
                <w:b/>
              </w:rPr>
              <w:t xml:space="preserve">Department of </w:t>
            </w:r>
            <w:r w:rsidR="00421DE8">
              <w:rPr>
                <w:b/>
              </w:rPr>
              <w:t xml:space="preserve">Corporate and Digital </w:t>
            </w:r>
            <w:r w:rsidR="00A73D7E">
              <w:rPr>
                <w:b/>
              </w:rPr>
              <w:t>Development</w:t>
            </w:r>
          </w:p>
        </w:tc>
      </w:tr>
      <w:tr w:rsidR="007B0863" w:rsidRPr="00F30939" w14:paraId="697322DE" w14:textId="77777777" w:rsidTr="00E52993">
        <w:trPr>
          <w:cantSplit/>
        </w:trPr>
        <w:tc>
          <w:tcPr>
            <w:tcW w:w="9072" w:type="dxa"/>
          </w:tcPr>
          <w:p w14:paraId="10AD7521" w14:textId="77777777" w:rsidR="007B0863" w:rsidRDefault="007B0863" w:rsidP="00E52993">
            <w:pPr>
              <w:pStyle w:val="BodyTextFirstIndent"/>
            </w:pPr>
            <w:r>
              <w:t>Data centre physical and environmental security</w:t>
            </w:r>
          </w:p>
        </w:tc>
      </w:tr>
      <w:tr w:rsidR="00915C4A" w:rsidRPr="00F30939" w14:paraId="2F089B8A" w14:textId="77777777" w:rsidTr="00C65670">
        <w:trPr>
          <w:cantSplit/>
        </w:trPr>
        <w:tc>
          <w:tcPr>
            <w:tcW w:w="9072" w:type="dxa"/>
          </w:tcPr>
          <w:p w14:paraId="4FA60487" w14:textId="773E8696" w:rsidR="00915C4A" w:rsidRPr="00F30939" w:rsidRDefault="00421DE8" w:rsidP="00C65670">
            <w:pPr>
              <w:pStyle w:val="BodyTextFirstIndent"/>
            </w:pPr>
            <w:r>
              <w:t>Service Continuity and Resilience</w:t>
            </w:r>
          </w:p>
        </w:tc>
      </w:tr>
      <w:tr w:rsidR="00915C4A" w:rsidRPr="00F30939" w14:paraId="5DB1DF18" w14:textId="77777777" w:rsidTr="00C65670">
        <w:trPr>
          <w:cantSplit/>
          <w:tblHeader/>
        </w:trPr>
        <w:tc>
          <w:tcPr>
            <w:tcW w:w="9072" w:type="dxa"/>
          </w:tcPr>
          <w:p w14:paraId="7843D791" w14:textId="5C185C87" w:rsidR="00915C4A" w:rsidRPr="00915C4A" w:rsidRDefault="00915C4A" w:rsidP="00421DE8">
            <w:pPr>
              <w:rPr>
                <w:b/>
              </w:rPr>
            </w:pPr>
            <w:r w:rsidRPr="00915C4A">
              <w:rPr>
                <w:b/>
              </w:rPr>
              <w:t xml:space="preserve">Department of </w:t>
            </w:r>
            <w:r w:rsidR="00421DE8">
              <w:rPr>
                <w:b/>
              </w:rPr>
              <w:t>the Chief Minister and Cabinet</w:t>
            </w:r>
          </w:p>
        </w:tc>
      </w:tr>
      <w:tr w:rsidR="00915C4A" w:rsidRPr="00F30939" w14:paraId="251637D4" w14:textId="77777777" w:rsidTr="00C65670">
        <w:trPr>
          <w:cantSplit/>
        </w:trPr>
        <w:tc>
          <w:tcPr>
            <w:tcW w:w="9072" w:type="dxa"/>
          </w:tcPr>
          <w:p w14:paraId="0BC87AA8" w14:textId="35B42BD2" w:rsidR="00915C4A" w:rsidRPr="00F30939" w:rsidRDefault="00421DE8" w:rsidP="00C65670">
            <w:pPr>
              <w:pStyle w:val="BodyTextFirstIndent"/>
            </w:pPr>
            <w:r>
              <w:t>Darwin City Deal Management</w:t>
            </w:r>
          </w:p>
        </w:tc>
      </w:tr>
      <w:tr w:rsidR="00421DE8" w:rsidRPr="00F30939" w14:paraId="7722E683" w14:textId="77777777" w:rsidTr="00421DE8">
        <w:trPr>
          <w:cantSplit/>
          <w:tblHeader/>
        </w:trPr>
        <w:tc>
          <w:tcPr>
            <w:tcW w:w="9072" w:type="dxa"/>
          </w:tcPr>
          <w:p w14:paraId="2E0B009A" w14:textId="77777777" w:rsidR="00421DE8" w:rsidRPr="00915C4A" w:rsidRDefault="00421DE8" w:rsidP="00421DE8">
            <w:pPr>
              <w:rPr>
                <w:b/>
              </w:rPr>
            </w:pPr>
            <w:r w:rsidRPr="00915C4A">
              <w:rPr>
                <w:b/>
              </w:rPr>
              <w:t xml:space="preserve">Department of </w:t>
            </w:r>
            <w:r>
              <w:rPr>
                <w:b/>
              </w:rPr>
              <w:t>Health</w:t>
            </w:r>
          </w:p>
        </w:tc>
      </w:tr>
      <w:tr w:rsidR="00421DE8" w:rsidRPr="00F30939" w14:paraId="3717855F" w14:textId="77777777" w:rsidTr="00421DE8">
        <w:trPr>
          <w:cantSplit/>
        </w:trPr>
        <w:tc>
          <w:tcPr>
            <w:tcW w:w="9072" w:type="dxa"/>
          </w:tcPr>
          <w:p w14:paraId="10F2363D" w14:textId="77777777" w:rsidR="00421DE8" w:rsidRPr="00F30939" w:rsidRDefault="00421DE8" w:rsidP="00421DE8">
            <w:pPr>
              <w:pStyle w:val="BodyTextFirstIndent"/>
            </w:pPr>
            <w:r>
              <w:t>Procurement Audit</w:t>
            </w:r>
          </w:p>
        </w:tc>
      </w:tr>
      <w:tr w:rsidR="00915C4A" w:rsidRPr="00F30939" w14:paraId="26118D2F" w14:textId="77777777" w:rsidTr="00C65670">
        <w:trPr>
          <w:cantSplit/>
          <w:tblHeader/>
        </w:trPr>
        <w:tc>
          <w:tcPr>
            <w:tcW w:w="9072" w:type="dxa"/>
          </w:tcPr>
          <w:p w14:paraId="60688DB7" w14:textId="7E5945A5" w:rsidR="00915C4A" w:rsidRPr="00915C4A" w:rsidRDefault="00421DE8" w:rsidP="00C65670">
            <w:pPr>
              <w:rPr>
                <w:b/>
              </w:rPr>
            </w:pPr>
            <w:r>
              <w:rPr>
                <w:b/>
              </w:rPr>
              <w:t>Selected Agencies</w:t>
            </w:r>
          </w:p>
        </w:tc>
      </w:tr>
      <w:tr w:rsidR="00915C4A" w:rsidRPr="00F30939" w14:paraId="6DA19407" w14:textId="77777777" w:rsidTr="00C65670">
        <w:trPr>
          <w:cantSplit/>
        </w:trPr>
        <w:tc>
          <w:tcPr>
            <w:tcW w:w="9072" w:type="dxa"/>
          </w:tcPr>
          <w:p w14:paraId="0A62068A" w14:textId="6A2589A0" w:rsidR="00915C4A" w:rsidRPr="00F30939" w:rsidRDefault="00421DE8" w:rsidP="00C65670">
            <w:pPr>
              <w:pStyle w:val="BodyTextFirstIndent"/>
            </w:pPr>
            <w:r>
              <w:t>Grant/Stimulus Management</w:t>
            </w:r>
          </w:p>
        </w:tc>
      </w:tr>
      <w:tr w:rsidR="007B0863" w:rsidRPr="00F30939" w14:paraId="0D9DE5E0" w14:textId="77777777" w:rsidTr="00E52993">
        <w:trPr>
          <w:cantSplit/>
        </w:trPr>
        <w:tc>
          <w:tcPr>
            <w:tcW w:w="9072" w:type="dxa"/>
          </w:tcPr>
          <w:p w14:paraId="2BC05C33" w14:textId="77777777" w:rsidR="007B0863" w:rsidRPr="00F30939" w:rsidRDefault="007B0863" w:rsidP="00E52993">
            <w:pPr>
              <w:pStyle w:val="BodyTextFirstIndent"/>
            </w:pPr>
            <w:r>
              <w:t>Root and Branch Review</w:t>
            </w:r>
          </w:p>
        </w:tc>
      </w:tr>
    </w:tbl>
    <w:p w14:paraId="616D530A" w14:textId="77777777" w:rsidR="005544FD" w:rsidRPr="00F30939" w:rsidRDefault="005544FD" w:rsidP="00011A13"/>
    <w:p w14:paraId="3A17948E" w14:textId="77777777" w:rsidR="0045031A" w:rsidRPr="00F30939" w:rsidRDefault="0045031A" w:rsidP="0045031A">
      <w:pPr>
        <w:pStyle w:val="Heading1"/>
      </w:pPr>
      <w:bookmarkStart w:id="53" w:name="_Ref529444608"/>
      <w:bookmarkStart w:id="54" w:name="_Ref529441237"/>
      <w:bookmarkStart w:id="55" w:name="_Ref66187253"/>
      <w:bookmarkStart w:id="56" w:name="_Ref529444605"/>
      <w:r w:rsidRPr="00F30939">
        <w:t xml:space="preserve">Appendix </w:t>
      </w:r>
      <w:r w:rsidR="00722AEC">
        <w:t>6</w:t>
      </w:r>
      <w:r w:rsidRPr="00F30939">
        <w:t>: Abbreviations</w:t>
      </w:r>
      <w:bookmarkEnd w:id="53"/>
    </w:p>
    <w:tbl>
      <w:tblPr>
        <w:tblW w:w="0" w:type="auto"/>
        <w:tblLook w:val="04A0" w:firstRow="1" w:lastRow="0" w:firstColumn="1" w:lastColumn="0" w:noHBand="0" w:noVBand="1"/>
        <w:tblCaption w:val="List of Abbreviations"/>
        <w:tblDescription w:val="List of Abbreviations"/>
      </w:tblPr>
      <w:tblGrid>
        <w:gridCol w:w="1384"/>
        <w:gridCol w:w="7334"/>
      </w:tblGrid>
      <w:tr w:rsidR="00F05C0F" w:rsidRPr="00F30939" w14:paraId="58A03C4E" w14:textId="77777777" w:rsidTr="00140D0B">
        <w:trPr>
          <w:cantSplit/>
          <w:tblHeader/>
        </w:trPr>
        <w:tc>
          <w:tcPr>
            <w:tcW w:w="1384" w:type="dxa"/>
          </w:tcPr>
          <w:p w14:paraId="35AAD0F8" w14:textId="1F6C4220" w:rsidR="00F05C0F" w:rsidRPr="00F30939" w:rsidRDefault="00F05C0F" w:rsidP="00F05C0F">
            <w:r w:rsidRPr="00C5278E">
              <w:t>AASB</w:t>
            </w:r>
          </w:p>
        </w:tc>
        <w:tc>
          <w:tcPr>
            <w:tcW w:w="7334" w:type="dxa"/>
          </w:tcPr>
          <w:p w14:paraId="751F9B93" w14:textId="17319B92" w:rsidR="00F05C0F" w:rsidRPr="00F30939" w:rsidRDefault="00F05C0F" w:rsidP="00F05C0F">
            <w:r w:rsidRPr="00C5278E">
              <w:t>Australian Accounting Standards Board</w:t>
            </w:r>
          </w:p>
        </w:tc>
      </w:tr>
      <w:tr w:rsidR="00F05C0F" w:rsidRPr="00F30939" w14:paraId="75170D74" w14:textId="77777777" w:rsidTr="00140D0B">
        <w:trPr>
          <w:cantSplit/>
        </w:trPr>
        <w:tc>
          <w:tcPr>
            <w:tcW w:w="1384" w:type="dxa"/>
          </w:tcPr>
          <w:p w14:paraId="16365760" w14:textId="6529F0A0" w:rsidR="00F05C0F" w:rsidRPr="00F30939" w:rsidRDefault="00F05C0F" w:rsidP="00F05C0F">
            <w:r w:rsidRPr="00C5278E">
              <w:t>APRO</w:t>
            </w:r>
          </w:p>
        </w:tc>
        <w:tc>
          <w:tcPr>
            <w:tcW w:w="7334" w:type="dxa"/>
          </w:tcPr>
          <w:p w14:paraId="3DC2CBF3" w14:textId="150119FF" w:rsidR="00F05C0F" w:rsidRPr="00F30939" w:rsidRDefault="00F05C0F" w:rsidP="00F05C0F">
            <w:r w:rsidRPr="00C5278E">
              <w:t>Agencies Purchase Requisitions Online</w:t>
            </w:r>
          </w:p>
        </w:tc>
      </w:tr>
      <w:tr w:rsidR="00F05C0F" w:rsidRPr="00F30939" w14:paraId="5AECF72B" w14:textId="77777777" w:rsidTr="00140D0B">
        <w:trPr>
          <w:cantSplit/>
        </w:trPr>
        <w:tc>
          <w:tcPr>
            <w:tcW w:w="1384" w:type="dxa"/>
          </w:tcPr>
          <w:p w14:paraId="106C15BA" w14:textId="664F0661" w:rsidR="00F05C0F" w:rsidRPr="00F30939" w:rsidRDefault="00F05C0F" w:rsidP="00F05C0F">
            <w:r w:rsidRPr="00C5278E">
              <w:t>ASA</w:t>
            </w:r>
          </w:p>
        </w:tc>
        <w:tc>
          <w:tcPr>
            <w:tcW w:w="7334" w:type="dxa"/>
          </w:tcPr>
          <w:p w14:paraId="1D8A3A58" w14:textId="00B4A0AB" w:rsidR="00F05C0F" w:rsidRPr="00F30939" w:rsidRDefault="00F05C0F" w:rsidP="00F05C0F">
            <w:r w:rsidRPr="00C5278E">
              <w:t>Australian Auditing Standard</w:t>
            </w:r>
          </w:p>
        </w:tc>
      </w:tr>
      <w:tr w:rsidR="00F05C0F" w:rsidRPr="00F30939" w14:paraId="2D604B7E" w14:textId="77777777" w:rsidTr="00140D0B">
        <w:trPr>
          <w:cantSplit/>
        </w:trPr>
        <w:tc>
          <w:tcPr>
            <w:tcW w:w="1384" w:type="dxa"/>
          </w:tcPr>
          <w:p w14:paraId="4FD3051C" w14:textId="2C84630A" w:rsidR="00F05C0F" w:rsidRPr="00F30939" w:rsidRDefault="00F05C0F" w:rsidP="00F05C0F">
            <w:r w:rsidRPr="00C5278E">
              <w:t>ASCC</w:t>
            </w:r>
          </w:p>
        </w:tc>
        <w:tc>
          <w:tcPr>
            <w:tcW w:w="7334" w:type="dxa"/>
          </w:tcPr>
          <w:p w14:paraId="6D77F0DD" w14:textId="6DD842D5" w:rsidR="00F05C0F" w:rsidRPr="00F30939" w:rsidRDefault="00F05C0F" w:rsidP="00F05C0F">
            <w:r w:rsidRPr="00C5278E">
              <w:t>Alice Springs Correctional Centre</w:t>
            </w:r>
          </w:p>
        </w:tc>
      </w:tr>
      <w:tr w:rsidR="00F05C0F" w:rsidRPr="00F30939" w14:paraId="6DC14DD2" w14:textId="77777777" w:rsidTr="00140D0B">
        <w:trPr>
          <w:cantSplit/>
        </w:trPr>
        <w:tc>
          <w:tcPr>
            <w:tcW w:w="1384" w:type="dxa"/>
          </w:tcPr>
          <w:p w14:paraId="623CE854" w14:textId="1C88E6AC" w:rsidR="00F05C0F" w:rsidRPr="00F30939" w:rsidRDefault="00F05C0F" w:rsidP="00F05C0F">
            <w:r w:rsidRPr="00C5278E">
              <w:t>ASDP</w:t>
            </w:r>
          </w:p>
        </w:tc>
        <w:tc>
          <w:tcPr>
            <w:tcW w:w="7334" w:type="dxa"/>
          </w:tcPr>
          <w:p w14:paraId="55A9CA43" w14:textId="4B0604F6" w:rsidR="00F05C0F" w:rsidRPr="00F30939" w:rsidRDefault="00F05C0F" w:rsidP="00F05C0F">
            <w:r w:rsidRPr="00C5278E">
              <w:t>Alice Springs Desert Park</w:t>
            </w:r>
          </w:p>
        </w:tc>
      </w:tr>
      <w:tr w:rsidR="00F05C0F" w:rsidRPr="00F30939" w14:paraId="4A197F2E" w14:textId="77777777" w:rsidTr="00140D0B">
        <w:trPr>
          <w:cantSplit/>
        </w:trPr>
        <w:tc>
          <w:tcPr>
            <w:tcW w:w="1384" w:type="dxa"/>
          </w:tcPr>
          <w:p w14:paraId="2BD35731" w14:textId="40F93F36" w:rsidR="00F05C0F" w:rsidRPr="00F30939" w:rsidRDefault="00F05C0F" w:rsidP="00F05C0F">
            <w:r w:rsidRPr="00C5278E">
              <w:t>CBC</w:t>
            </w:r>
          </w:p>
        </w:tc>
        <w:tc>
          <w:tcPr>
            <w:tcW w:w="7334" w:type="dxa"/>
          </w:tcPr>
          <w:p w14:paraId="65C4CDD6" w14:textId="1EBAFCA2" w:rsidR="00F05C0F" w:rsidRPr="00F30939" w:rsidRDefault="00F05C0F" w:rsidP="00F05C0F">
            <w:r w:rsidRPr="00C5278E">
              <w:t>Cairns Business College</w:t>
            </w:r>
            <w:r w:rsidR="00A73D7E">
              <w:t xml:space="preserve"> </w:t>
            </w:r>
            <w:r w:rsidR="00A73D7E" w:rsidRPr="00C5278E">
              <w:t>Pty Ltd</w:t>
            </w:r>
          </w:p>
        </w:tc>
      </w:tr>
      <w:tr w:rsidR="00F05C0F" w:rsidRPr="00F30939" w14:paraId="14E2D27F" w14:textId="77777777" w:rsidTr="00140D0B">
        <w:trPr>
          <w:cantSplit/>
        </w:trPr>
        <w:tc>
          <w:tcPr>
            <w:tcW w:w="1384" w:type="dxa"/>
          </w:tcPr>
          <w:p w14:paraId="4F30EBE4" w14:textId="17590B4C" w:rsidR="00F05C0F" w:rsidRPr="00F30939" w:rsidRDefault="00F05C0F" w:rsidP="00F05C0F">
            <w:r w:rsidRPr="00C5278E">
              <w:t>CDU</w:t>
            </w:r>
          </w:p>
        </w:tc>
        <w:tc>
          <w:tcPr>
            <w:tcW w:w="7334" w:type="dxa"/>
          </w:tcPr>
          <w:p w14:paraId="22D65E0D" w14:textId="4E1321C6" w:rsidR="00F05C0F" w:rsidRPr="00F30939" w:rsidRDefault="00F05C0F" w:rsidP="00F05C0F">
            <w:r w:rsidRPr="00C5278E">
              <w:t>Charles Darwin University</w:t>
            </w:r>
          </w:p>
        </w:tc>
      </w:tr>
      <w:tr w:rsidR="00F05C0F" w:rsidRPr="00F30939" w14:paraId="353661A1" w14:textId="77777777" w:rsidTr="00140D0B">
        <w:trPr>
          <w:cantSplit/>
        </w:trPr>
        <w:tc>
          <w:tcPr>
            <w:tcW w:w="1384" w:type="dxa"/>
          </w:tcPr>
          <w:p w14:paraId="5CB20756" w14:textId="4F03877D" w:rsidR="00F05C0F" w:rsidRPr="00F30939" w:rsidRDefault="00F05C0F" w:rsidP="00F05C0F">
            <w:r w:rsidRPr="00C5278E">
              <w:t>CEA</w:t>
            </w:r>
          </w:p>
        </w:tc>
        <w:tc>
          <w:tcPr>
            <w:tcW w:w="7334" w:type="dxa"/>
          </w:tcPr>
          <w:p w14:paraId="34D046BC" w14:textId="4ACD8751" w:rsidR="00F05C0F" w:rsidRPr="00F30939" w:rsidRDefault="00F05C0F" w:rsidP="00F05C0F">
            <w:r w:rsidRPr="00C5278E">
              <w:t>Cairns Education Australia</w:t>
            </w:r>
            <w:r w:rsidR="00A73D7E" w:rsidRPr="00C5278E">
              <w:t xml:space="preserve"> Pty Ltd</w:t>
            </w:r>
          </w:p>
        </w:tc>
      </w:tr>
      <w:tr w:rsidR="00F05C0F" w:rsidRPr="00F30939" w14:paraId="19307635" w14:textId="77777777" w:rsidTr="00140D0B">
        <w:trPr>
          <w:cantSplit/>
        </w:trPr>
        <w:tc>
          <w:tcPr>
            <w:tcW w:w="1384" w:type="dxa"/>
          </w:tcPr>
          <w:p w14:paraId="024C3456" w14:textId="0470B9AA" w:rsidR="00F05C0F" w:rsidRPr="00F30939" w:rsidRDefault="00F05C0F" w:rsidP="00F05C0F">
            <w:r w:rsidRPr="00C5278E">
              <w:t>CLC</w:t>
            </w:r>
          </w:p>
        </w:tc>
        <w:tc>
          <w:tcPr>
            <w:tcW w:w="7334" w:type="dxa"/>
          </w:tcPr>
          <w:p w14:paraId="4080685C" w14:textId="738F6E38" w:rsidR="00F05C0F" w:rsidRPr="00F30939" w:rsidRDefault="00F05C0F" w:rsidP="00F05C0F">
            <w:r w:rsidRPr="00C5278E">
              <w:t>Cairns Language Centre Pty Ltd</w:t>
            </w:r>
          </w:p>
        </w:tc>
      </w:tr>
      <w:tr w:rsidR="00F05C0F" w:rsidRPr="00F30939" w14:paraId="541B6618" w14:textId="77777777" w:rsidTr="00140D0B">
        <w:trPr>
          <w:cantSplit/>
        </w:trPr>
        <w:tc>
          <w:tcPr>
            <w:tcW w:w="1384" w:type="dxa"/>
          </w:tcPr>
          <w:p w14:paraId="73337F21" w14:textId="448E9F77" w:rsidR="00F05C0F" w:rsidRPr="00F30939" w:rsidRDefault="00F05C0F" w:rsidP="00F05C0F">
            <w:r w:rsidRPr="00C5278E">
              <w:t>COVID</w:t>
            </w:r>
            <w:r w:rsidR="00A73D7E">
              <w:t>-19</w:t>
            </w:r>
          </w:p>
        </w:tc>
        <w:tc>
          <w:tcPr>
            <w:tcW w:w="7334" w:type="dxa"/>
          </w:tcPr>
          <w:p w14:paraId="19A117D1" w14:textId="4FB528A3" w:rsidR="00F05C0F" w:rsidRPr="00F30939" w:rsidRDefault="00F05C0F" w:rsidP="00F05C0F">
            <w:r w:rsidRPr="00C5278E">
              <w:t>Coronavirus disease 2019</w:t>
            </w:r>
          </w:p>
        </w:tc>
      </w:tr>
      <w:tr w:rsidR="00F05C0F" w:rsidRPr="00F30939" w14:paraId="21936506" w14:textId="77777777" w:rsidTr="00140D0B">
        <w:trPr>
          <w:cantSplit/>
        </w:trPr>
        <w:tc>
          <w:tcPr>
            <w:tcW w:w="1384" w:type="dxa"/>
          </w:tcPr>
          <w:p w14:paraId="3A289743" w14:textId="73E4E6F4" w:rsidR="00F05C0F" w:rsidRPr="00F30939" w:rsidRDefault="00F05C0F" w:rsidP="00F05C0F">
            <w:r w:rsidRPr="00C5278E">
              <w:t>CSS</w:t>
            </w:r>
          </w:p>
        </w:tc>
        <w:tc>
          <w:tcPr>
            <w:tcW w:w="7334" w:type="dxa"/>
          </w:tcPr>
          <w:p w14:paraId="423FB86F" w14:textId="2F7D1481" w:rsidR="00F05C0F" w:rsidRPr="00F30939" w:rsidRDefault="00F05C0F" w:rsidP="00F05C0F">
            <w:r w:rsidRPr="00C5278E">
              <w:t>Commonwealth Superannuation Scheme</w:t>
            </w:r>
          </w:p>
        </w:tc>
      </w:tr>
      <w:tr w:rsidR="00F05C0F" w:rsidRPr="00F30939" w14:paraId="547F2E0B" w14:textId="77777777" w:rsidTr="00140D0B">
        <w:trPr>
          <w:cantSplit/>
        </w:trPr>
        <w:tc>
          <w:tcPr>
            <w:tcW w:w="1384" w:type="dxa"/>
          </w:tcPr>
          <w:p w14:paraId="2E9763D5" w14:textId="6C88680F" w:rsidR="00F05C0F" w:rsidRPr="00F30939" w:rsidRDefault="00F05C0F" w:rsidP="00F05C0F">
            <w:r w:rsidRPr="00C5278E">
              <w:t>DCC</w:t>
            </w:r>
          </w:p>
        </w:tc>
        <w:tc>
          <w:tcPr>
            <w:tcW w:w="7334" w:type="dxa"/>
          </w:tcPr>
          <w:p w14:paraId="00DDB541" w14:textId="480D076D" w:rsidR="00F05C0F" w:rsidRPr="00F30939" w:rsidRDefault="00F05C0F" w:rsidP="00F05C0F">
            <w:r w:rsidRPr="00C5278E">
              <w:t>Darwin Correctional Centre</w:t>
            </w:r>
          </w:p>
        </w:tc>
      </w:tr>
      <w:tr w:rsidR="00F05C0F" w:rsidRPr="00F30939" w14:paraId="085F0F51" w14:textId="77777777" w:rsidTr="00140D0B">
        <w:trPr>
          <w:cantSplit/>
        </w:trPr>
        <w:tc>
          <w:tcPr>
            <w:tcW w:w="1384" w:type="dxa"/>
          </w:tcPr>
          <w:p w14:paraId="2E163503" w14:textId="36E2C3BB" w:rsidR="00F05C0F" w:rsidRPr="00F30939" w:rsidRDefault="00F05C0F" w:rsidP="00F05C0F">
            <w:r w:rsidRPr="00C5278E">
              <w:t>DCDD</w:t>
            </w:r>
          </w:p>
        </w:tc>
        <w:tc>
          <w:tcPr>
            <w:tcW w:w="7334" w:type="dxa"/>
          </w:tcPr>
          <w:p w14:paraId="24FC914D" w14:textId="347B9C53" w:rsidR="00F05C0F" w:rsidRPr="00F30939" w:rsidRDefault="00F05C0F" w:rsidP="00F05C0F">
            <w:r w:rsidRPr="00C5278E">
              <w:t>Department of Corporate and Digital Development</w:t>
            </w:r>
          </w:p>
        </w:tc>
      </w:tr>
      <w:tr w:rsidR="00F05C0F" w:rsidRPr="00F30939" w14:paraId="1EA4CB9C" w14:textId="77777777" w:rsidTr="00140D0B">
        <w:trPr>
          <w:cantSplit/>
        </w:trPr>
        <w:tc>
          <w:tcPr>
            <w:tcW w:w="1384" w:type="dxa"/>
          </w:tcPr>
          <w:p w14:paraId="41DB4FD2" w14:textId="0528E942" w:rsidR="00F05C0F" w:rsidRPr="00F30939" w:rsidRDefault="00F05C0F" w:rsidP="00F05C0F">
            <w:r w:rsidRPr="00C5278E">
              <w:t>DCIS</w:t>
            </w:r>
          </w:p>
        </w:tc>
        <w:tc>
          <w:tcPr>
            <w:tcW w:w="7334" w:type="dxa"/>
          </w:tcPr>
          <w:p w14:paraId="15920A60" w14:textId="0D8938EF" w:rsidR="00F05C0F" w:rsidRPr="00F30939" w:rsidRDefault="00F05C0F" w:rsidP="00F05C0F">
            <w:r w:rsidRPr="00C5278E">
              <w:t>Department of Corporate and Information Services</w:t>
            </w:r>
          </w:p>
        </w:tc>
      </w:tr>
      <w:tr w:rsidR="00F05C0F" w:rsidRPr="00F30939" w14:paraId="1935A979" w14:textId="77777777" w:rsidTr="00140D0B">
        <w:trPr>
          <w:cantSplit/>
        </w:trPr>
        <w:tc>
          <w:tcPr>
            <w:tcW w:w="1384" w:type="dxa"/>
          </w:tcPr>
          <w:p w14:paraId="3323E522" w14:textId="6459E5E4" w:rsidR="00F05C0F" w:rsidRPr="00F30939" w:rsidRDefault="00F05C0F" w:rsidP="00F05C0F">
            <w:r w:rsidRPr="00C5278E">
              <w:t>DCMC</w:t>
            </w:r>
          </w:p>
        </w:tc>
        <w:tc>
          <w:tcPr>
            <w:tcW w:w="7334" w:type="dxa"/>
          </w:tcPr>
          <w:p w14:paraId="031A0B71" w14:textId="67D53717" w:rsidR="00F05C0F" w:rsidRPr="00F30939" w:rsidRDefault="00F05C0F" w:rsidP="00F05C0F">
            <w:r w:rsidRPr="00C5278E">
              <w:t>Department of the Chief Minister and Cabinet</w:t>
            </w:r>
          </w:p>
        </w:tc>
      </w:tr>
      <w:tr w:rsidR="00F05C0F" w:rsidRPr="00F30939" w14:paraId="11BB8908" w14:textId="77777777" w:rsidTr="00140D0B">
        <w:trPr>
          <w:cantSplit/>
        </w:trPr>
        <w:tc>
          <w:tcPr>
            <w:tcW w:w="1384" w:type="dxa"/>
          </w:tcPr>
          <w:p w14:paraId="3AB33C02" w14:textId="79AF5055" w:rsidR="00F05C0F" w:rsidRPr="00F30939" w:rsidRDefault="00F05C0F" w:rsidP="00F05C0F">
            <w:r w:rsidRPr="00C5278E">
              <w:t>ECO</w:t>
            </w:r>
          </w:p>
        </w:tc>
        <w:tc>
          <w:tcPr>
            <w:tcW w:w="7334" w:type="dxa"/>
          </w:tcPr>
          <w:p w14:paraId="0911FA49" w14:textId="55A9CB0F" w:rsidR="00F05C0F" w:rsidRPr="00F30939" w:rsidRDefault="00F05C0F" w:rsidP="00F05C0F">
            <w:r w:rsidRPr="00C5278E">
              <w:t>Executive Contract Officers</w:t>
            </w:r>
          </w:p>
        </w:tc>
      </w:tr>
      <w:tr w:rsidR="00F05C0F" w:rsidRPr="00F30939" w14:paraId="1DEA5516" w14:textId="77777777" w:rsidTr="00140D0B">
        <w:trPr>
          <w:cantSplit/>
        </w:trPr>
        <w:tc>
          <w:tcPr>
            <w:tcW w:w="1384" w:type="dxa"/>
          </w:tcPr>
          <w:p w14:paraId="6284A875" w14:textId="6DDFD3CA" w:rsidR="00F05C0F" w:rsidRPr="00F30939" w:rsidRDefault="00F05C0F" w:rsidP="00F05C0F">
            <w:r w:rsidRPr="00C5278E">
              <w:t>ePASS</w:t>
            </w:r>
          </w:p>
        </w:tc>
        <w:tc>
          <w:tcPr>
            <w:tcW w:w="7334" w:type="dxa"/>
          </w:tcPr>
          <w:p w14:paraId="163F8552" w14:textId="3ECCE851" w:rsidR="00F05C0F" w:rsidRPr="00F30939" w:rsidRDefault="00F05C0F" w:rsidP="00F05C0F">
            <w:r w:rsidRPr="00C5278E">
              <w:t>Electronic Passport – Electronic Identity Management System</w:t>
            </w:r>
          </w:p>
        </w:tc>
      </w:tr>
      <w:tr w:rsidR="00F05C0F" w:rsidRPr="00F30939" w14:paraId="57126561" w14:textId="77777777" w:rsidTr="00140D0B">
        <w:trPr>
          <w:cantSplit/>
        </w:trPr>
        <w:tc>
          <w:tcPr>
            <w:tcW w:w="1384" w:type="dxa"/>
          </w:tcPr>
          <w:p w14:paraId="41CEEC9B" w14:textId="55F92FAF" w:rsidR="00F05C0F" w:rsidRPr="00F30939" w:rsidRDefault="00F05C0F" w:rsidP="00F05C0F">
            <w:r w:rsidRPr="00C5278E">
              <w:t>GAS</w:t>
            </w:r>
          </w:p>
        </w:tc>
        <w:tc>
          <w:tcPr>
            <w:tcW w:w="7334" w:type="dxa"/>
          </w:tcPr>
          <w:p w14:paraId="3A57D851" w14:textId="53A7389F" w:rsidR="00F05C0F" w:rsidRPr="00F30939" w:rsidRDefault="00F05C0F" w:rsidP="00F05C0F">
            <w:r w:rsidRPr="00C5278E">
              <w:t>Government Accounting System</w:t>
            </w:r>
          </w:p>
        </w:tc>
      </w:tr>
      <w:tr w:rsidR="00F05C0F" w:rsidRPr="00F30939" w14:paraId="11003B05" w14:textId="77777777" w:rsidTr="00140D0B">
        <w:trPr>
          <w:cantSplit/>
        </w:trPr>
        <w:tc>
          <w:tcPr>
            <w:tcW w:w="1384" w:type="dxa"/>
          </w:tcPr>
          <w:p w14:paraId="77C81ECA" w14:textId="513402C1" w:rsidR="00F05C0F" w:rsidRPr="00F30939" w:rsidRDefault="00F05C0F" w:rsidP="00F05C0F">
            <w:r w:rsidRPr="00C5278E">
              <w:t>HECS</w:t>
            </w:r>
          </w:p>
        </w:tc>
        <w:tc>
          <w:tcPr>
            <w:tcW w:w="7334" w:type="dxa"/>
          </w:tcPr>
          <w:p w14:paraId="53522271" w14:textId="535A7B88" w:rsidR="00F05C0F" w:rsidRPr="00F30939" w:rsidRDefault="00F05C0F" w:rsidP="00F05C0F">
            <w:r w:rsidRPr="00C5278E">
              <w:t>Higher Education Contribution Scheme</w:t>
            </w:r>
          </w:p>
        </w:tc>
      </w:tr>
      <w:tr w:rsidR="00F05C0F" w:rsidRPr="00F30939" w14:paraId="5E58EB58" w14:textId="77777777" w:rsidTr="00140D0B">
        <w:trPr>
          <w:cantSplit/>
        </w:trPr>
        <w:tc>
          <w:tcPr>
            <w:tcW w:w="1384" w:type="dxa"/>
          </w:tcPr>
          <w:p w14:paraId="50E4ECDB" w14:textId="5141ECF1" w:rsidR="00F05C0F" w:rsidRPr="00F30939" w:rsidRDefault="00F05C0F" w:rsidP="00F05C0F">
            <w:r w:rsidRPr="00C5278E">
              <w:t>HELP</w:t>
            </w:r>
          </w:p>
        </w:tc>
        <w:tc>
          <w:tcPr>
            <w:tcW w:w="7334" w:type="dxa"/>
          </w:tcPr>
          <w:p w14:paraId="795F76AE" w14:textId="692BBFE7" w:rsidR="00F05C0F" w:rsidRPr="00F30939" w:rsidRDefault="00F05C0F" w:rsidP="00F05C0F">
            <w:r w:rsidRPr="00C5278E">
              <w:t>Higher Education Loan Program</w:t>
            </w:r>
          </w:p>
        </w:tc>
      </w:tr>
      <w:tr w:rsidR="00F05C0F" w:rsidRPr="00F30939" w14:paraId="6E4A3606" w14:textId="77777777" w:rsidTr="00140D0B">
        <w:trPr>
          <w:cantSplit/>
        </w:trPr>
        <w:tc>
          <w:tcPr>
            <w:tcW w:w="1384" w:type="dxa"/>
          </w:tcPr>
          <w:p w14:paraId="14496BCF" w14:textId="4E6DDF67" w:rsidR="00F05C0F" w:rsidRPr="00F30939" w:rsidRDefault="00F05C0F" w:rsidP="00F05C0F">
            <w:r w:rsidRPr="00C5278E">
              <w:t>IAMS</w:t>
            </w:r>
          </w:p>
        </w:tc>
        <w:tc>
          <w:tcPr>
            <w:tcW w:w="7334" w:type="dxa"/>
          </w:tcPr>
          <w:p w14:paraId="5FB999B2" w14:textId="68204E21" w:rsidR="00F05C0F" w:rsidRPr="00F30939" w:rsidRDefault="00F05C0F" w:rsidP="00F05C0F">
            <w:r w:rsidRPr="00C5278E">
              <w:t>Identity and Access Management System</w:t>
            </w:r>
          </w:p>
        </w:tc>
      </w:tr>
      <w:tr w:rsidR="00F05C0F" w:rsidRPr="00F30939" w14:paraId="29F674E7" w14:textId="77777777" w:rsidTr="00140D0B">
        <w:trPr>
          <w:cantSplit/>
        </w:trPr>
        <w:tc>
          <w:tcPr>
            <w:tcW w:w="1384" w:type="dxa"/>
          </w:tcPr>
          <w:p w14:paraId="300787C1" w14:textId="3A622E6A" w:rsidR="00F05C0F" w:rsidRPr="00F30939" w:rsidRDefault="00F05C0F" w:rsidP="00F05C0F">
            <w:r w:rsidRPr="00C5278E">
              <w:t>ICHM</w:t>
            </w:r>
          </w:p>
        </w:tc>
        <w:tc>
          <w:tcPr>
            <w:tcW w:w="7334" w:type="dxa"/>
          </w:tcPr>
          <w:p w14:paraId="2BEFCF75" w14:textId="639B7DF5" w:rsidR="00F05C0F" w:rsidRPr="00F30939" w:rsidRDefault="00F05C0F" w:rsidP="00F05C0F">
            <w:r w:rsidRPr="00C5278E">
              <w:t xml:space="preserve">International College of Hotel Management Pty Ltd </w:t>
            </w:r>
          </w:p>
        </w:tc>
      </w:tr>
      <w:tr w:rsidR="00F05C0F" w:rsidRPr="00F30939" w14:paraId="701F3E85" w14:textId="77777777" w:rsidTr="00140D0B">
        <w:trPr>
          <w:cantSplit/>
        </w:trPr>
        <w:tc>
          <w:tcPr>
            <w:tcW w:w="1384" w:type="dxa"/>
          </w:tcPr>
          <w:p w14:paraId="6EEF7AA3" w14:textId="5F3C1DF5" w:rsidR="00F05C0F" w:rsidRPr="00F30939" w:rsidRDefault="00F05C0F" w:rsidP="00F05C0F">
            <w:r w:rsidRPr="00C5278E">
              <w:t>INTRA</w:t>
            </w:r>
          </w:p>
        </w:tc>
        <w:tc>
          <w:tcPr>
            <w:tcW w:w="7334" w:type="dxa"/>
          </w:tcPr>
          <w:p w14:paraId="7440AC4F" w14:textId="205626CF" w:rsidR="00F05C0F" w:rsidRPr="00F30939" w:rsidRDefault="00F05C0F" w:rsidP="00F05C0F">
            <w:r w:rsidRPr="00C5278E">
              <w:t>Integrated Revenue Application</w:t>
            </w:r>
          </w:p>
        </w:tc>
      </w:tr>
      <w:tr w:rsidR="00F05C0F" w:rsidRPr="00F30939" w14:paraId="152764CC" w14:textId="77777777" w:rsidTr="00140D0B">
        <w:trPr>
          <w:cantSplit/>
        </w:trPr>
        <w:tc>
          <w:tcPr>
            <w:tcW w:w="1384" w:type="dxa"/>
          </w:tcPr>
          <w:p w14:paraId="79AE5CD7" w14:textId="241B8EC5" w:rsidR="00F05C0F" w:rsidRPr="00F30939" w:rsidRDefault="00F05C0F" w:rsidP="00F05C0F">
            <w:r w:rsidRPr="00C5278E">
              <w:t>IT</w:t>
            </w:r>
          </w:p>
        </w:tc>
        <w:tc>
          <w:tcPr>
            <w:tcW w:w="7334" w:type="dxa"/>
          </w:tcPr>
          <w:p w14:paraId="312C8CEE" w14:textId="15936C92" w:rsidR="00F05C0F" w:rsidRPr="00F30939" w:rsidRDefault="00F05C0F" w:rsidP="00A73D7E">
            <w:r w:rsidRPr="00C5278E">
              <w:t xml:space="preserve">Information </w:t>
            </w:r>
            <w:r w:rsidR="00A73D7E">
              <w:t>T</w:t>
            </w:r>
            <w:r w:rsidRPr="00C5278E">
              <w:t>echnology</w:t>
            </w:r>
          </w:p>
        </w:tc>
      </w:tr>
      <w:tr w:rsidR="00F05C0F" w:rsidRPr="00F30939" w14:paraId="44881145" w14:textId="77777777" w:rsidTr="00140D0B">
        <w:trPr>
          <w:cantSplit/>
        </w:trPr>
        <w:tc>
          <w:tcPr>
            <w:tcW w:w="1384" w:type="dxa"/>
          </w:tcPr>
          <w:p w14:paraId="2352B3E3" w14:textId="63A6AFE5" w:rsidR="00F05C0F" w:rsidRPr="00F30939" w:rsidRDefault="00F05C0F" w:rsidP="00F05C0F">
            <w:r w:rsidRPr="00C5278E">
              <w:t>ITGC</w:t>
            </w:r>
          </w:p>
        </w:tc>
        <w:tc>
          <w:tcPr>
            <w:tcW w:w="7334" w:type="dxa"/>
          </w:tcPr>
          <w:p w14:paraId="36CBD3C6" w14:textId="0CB6DAE2" w:rsidR="00F05C0F" w:rsidRPr="00F30939" w:rsidRDefault="00F05C0F" w:rsidP="00F05C0F">
            <w:r w:rsidRPr="00C5278E">
              <w:t>Information Technology General Computer Controls</w:t>
            </w:r>
          </w:p>
        </w:tc>
      </w:tr>
      <w:tr w:rsidR="00F05C0F" w:rsidRPr="00F30939" w14:paraId="20EF2F4A" w14:textId="77777777" w:rsidTr="00140D0B">
        <w:trPr>
          <w:cantSplit/>
        </w:trPr>
        <w:tc>
          <w:tcPr>
            <w:tcW w:w="1384" w:type="dxa"/>
          </w:tcPr>
          <w:p w14:paraId="27EA3386" w14:textId="0F44CC67" w:rsidR="00F05C0F" w:rsidRPr="00C5278E" w:rsidRDefault="00F05C0F" w:rsidP="00F05C0F">
            <w:r w:rsidRPr="001B2BBF">
              <w:t>LAN</w:t>
            </w:r>
          </w:p>
        </w:tc>
        <w:tc>
          <w:tcPr>
            <w:tcW w:w="7334" w:type="dxa"/>
          </w:tcPr>
          <w:p w14:paraId="5EC75AB1" w14:textId="5D624A5B" w:rsidR="00F05C0F" w:rsidRPr="00C5278E" w:rsidRDefault="00F05C0F" w:rsidP="00F05C0F">
            <w:r w:rsidRPr="001B2BBF">
              <w:t>Local Area Network</w:t>
            </w:r>
          </w:p>
        </w:tc>
      </w:tr>
      <w:tr w:rsidR="00F05C0F" w:rsidRPr="00F30939" w14:paraId="62CBDAE6" w14:textId="77777777" w:rsidTr="00140D0B">
        <w:trPr>
          <w:cantSplit/>
        </w:trPr>
        <w:tc>
          <w:tcPr>
            <w:tcW w:w="1384" w:type="dxa"/>
          </w:tcPr>
          <w:p w14:paraId="09DEC580" w14:textId="1ECB7514" w:rsidR="00F05C0F" w:rsidRPr="00C5278E" w:rsidRDefault="00F05C0F" w:rsidP="00F05C0F">
            <w:r w:rsidRPr="001B2BBF">
              <w:t>MLA</w:t>
            </w:r>
          </w:p>
        </w:tc>
        <w:tc>
          <w:tcPr>
            <w:tcW w:w="7334" w:type="dxa"/>
          </w:tcPr>
          <w:p w14:paraId="424B6E1B" w14:textId="7E5748F1" w:rsidR="00F05C0F" w:rsidRPr="00C5278E" w:rsidRDefault="00F05C0F" w:rsidP="00F05C0F">
            <w:r w:rsidRPr="001B2BBF">
              <w:t>Members of the Legislative Assembly</w:t>
            </w:r>
          </w:p>
        </w:tc>
      </w:tr>
      <w:tr w:rsidR="00F05C0F" w:rsidRPr="00F30939" w14:paraId="321F27FA" w14:textId="77777777" w:rsidTr="00140D0B">
        <w:trPr>
          <w:cantSplit/>
        </w:trPr>
        <w:tc>
          <w:tcPr>
            <w:tcW w:w="1384" w:type="dxa"/>
          </w:tcPr>
          <w:p w14:paraId="57D4AACA" w14:textId="75964D18" w:rsidR="00F05C0F" w:rsidRPr="00C5278E" w:rsidRDefault="00F05C0F" w:rsidP="00F05C0F">
            <w:r w:rsidRPr="001B2BBF">
              <w:t>NT</w:t>
            </w:r>
          </w:p>
        </w:tc>
        <w:tc>
          <w:tcPr>
            <w:tcW w:w="7334" w:type="dxa"/>
          </w:tcPr>
          <w:p w14:paraId="14A8FDD9" w14:textId="22188230" w:rsidR="00F05C0F" w:rsidRPr="00C5278E" w:rsidRDefault="00F05C0F" w:rsidP="00F05C0F">
            <w:r w:rsidRPr="001B2BBF">
              <w:t>Northern Territory</w:t>
            </w:r>
          </w:p>
        </w:tc>
      </w:tr>
      <w:tr w:rsidR="00F05C0F" w:rsidRPr="00F30939" w14:paraId="1E95A57B" w14:textId="77777777" w:rsidTr="00140D0B">
        <w:trPr>
          <w:cantSplit/>
        </w:trPr>
        <w:tc>
          <w:tcPr>
            <w:tcW w:w="1384" w:type="dxa"/>
          </w:tcPr>
          <w:p w14:paraId="6286EA8F" w14:textId="214737A4" w:rsidR="00F05C0F" w:rsidRPr="00C5278E" w:rsidRDefault="00F05C0F" w:rsidP="00F05C0F">
            <w:r w:rsidRPr="001B2BBF">
              <w:t>NTAGO</w:t>
            </w:r>
          </w:p>
        </w:tc>
        <w:tc>
          <w:tcPr>
            <w:tcW w:w="7334" w:type="dxa"/>
          </w:tcPr>
          <w:p w14:paraId="6CE16968" w14:textId="442E5E01" w:rsidR="00F05C0F" w:rsidRPr="00C5278E" w:rsidRDefault="00F05C0F" w:rsidP="00F05C0F">
            <w:r w:rsidRPr="001B2BBF">
              <w:t>Northern Territory Auditor-General’s Office</w:t>
            </w:r>
          </w:p>
        </w:tc>
      </w:tr>
      <w:tr w:rsidR="00F05C0F" w:rsidRPr="00F30939" w14:paraId="5332B9E4" w14:textId="77777777" w:rsidTr="00140D0B">
        <w:trPr>
          <w:cantSplit/>
        </w:trPr>
        <w:tc>
          <w:tcPr>
            <w:tcW w:w="1384" w:type="dxa"/>
          </w:tcPr>
          <w:p w14:paraId="2BDBAF50" w14:textId="41D91485" w:rsidR="00F05C0F" w:rsidRPr="00C5278E" w:rsidRDefault="00F05C0F" w:rsidP="00F05C0F">
            <w:r w:rsidRPr="001B2BBF">
              <w:t>OCM</w:t>
            </w:r>
          </w:p>
        </w:tc>
        <w:tc>
          <w:tcPr>
            <w:tcW w:w="7334" w:type="dxa"/>
          </w:tcPr>
          <w:p w14:paraId="25E166D5" w14:textId="3FF50915" w:rsidR="00F05C0F" w:rsidRPr="00C5278E" w:rsidRDefault="00F05C0F" w:rsidP="00F05C0F">
            <w:r w:rsidRPr="001B2BBF">
              <w:t>Office of the Chief Minister</w:t>
            </w:r>
          </w:p>
        </w:tc>
      </w:tr>
      <w:tr w:rsidR="00F05C0F" w:rsidRPr="00F30939" w14:paraId="57009AA2" w14:textId="77777777" w:rsidTr="00140D0B">
        <w:trPr>
          <w:cantSplit/>
        </w:trPr>
        <w:tc>
          <w:tcPr>
            <w:tcW w:w="1384" w:type="dxa"/>
          </w:tcPr>
          <w:p w14:paraId="55978FFE" w14:textId="366A5182" w:rsidR="00F05C0F" w:rsidRPr="00C5278E" w:rsidRDefault="00F05C0F" w:rsidP="00F05C0F">
            <w:r w:rsidRPr="001B2BBF">
              <w:t>PIN</w:t>
            </w:r>
          </w:p>
        </w:tc>
        <w:tc>
          <w:tcPr>
            <w:tcW w:w="7334" w:type="dxa"/>
          </w:tcPr>
          <w:p w14:paraId="327BEB5A" w14:textId="27C5AAC4" w:rsidR="00F05C0F" w:rsidRPr="00C5278E" w:rsidRDefault="00F05C0F" w:rsidP="00F05C0F">
            <w:r w:rsidRPr="001B2BBF">
              <w:t>Personal Identification Number</w:t>
            </w:r>
          </w:p>
        </w:tc>
      </w:tr>
      <w:tr w:rsidR="00F05C0F" w:rsidRPr="00F30939" w14:paraId="352BC026" w14:textId="77777777" w:rsidTr="00140D0B">
        <w:trPr>
          <w:cantSplit/>
        </w:trPr>
        <w:tc>
          <w:tcPr>
            <w:tcW w:w="1384" w:type="dxa"/>
          </w:tcPr>
          <w:p w14:paraId="2AFB518C" w14:textId="6534E011" w:rsidR="00F05C0F" w:rsidRPr="00C5278E" w:rsidRDefault="00F05C0F" w:rsidP="00F05C0F">
            <w:r w:rsidRPr="001B2BBF">
              <w:t>TOIL</w:t>
            </w:r>
          </w:p>
        </w:tc>
        <w:tc>
          <w:tcPr>
            <w:tcW w:w="7334" w:type="dxa"/>
          </w:tcPr>
          <w:p w14:paraId="0674429A" w14:textId="3884D53A" w:rsidR="00F05C0F" w:rsidRPr="00C5278E" w:rsidRDefault="00F05C0F" w:rsidP="00F05C0F">
            <w:r w:rsidRPr="001B2BBF">
              <w:t>Time off in Lieu</w:t>
            </w:r>
          </w:p>
        </w:tc>
      </w:tr>
    </w:tbl>
    <w:p w14:paraId="4F067C92" w14:textId="5D108F71" w:rsidR="00F05C0F" w:rsidRDefault="00F05C0F"/>
    <w:p w14:paraId="0DB7FF90" w14:textId="61D3FD03" w:rsidR="00F05C0F" w:rsidRPr="00F30939" w:rsidRDefault="00F05C0F" w:rsidP="00F05C0F">
      <w:pPr>
        <w:pStyle w:val="Heading1-continued"/>
      </w:pPr>
      <w:r w:rsidRPr="00F30939">
        <w:t xml:space="preserve">Appendix </w:t>
      </w:r>
      <w:r>
        <w:t>6</w:t>
      </w:r>
      <w:r w:rsidRPr="00F30939">
        <w:t>: Abbreviations</w:t>
      </w:r>
      <w:r>
        <w:t xml:space="preserve"> cont…</w:t>
      </w:r>
    </w:p>
    <w:tbl>
      <w:tblPr>
        <w:tblW w:w="0" w:type="auto"/>
        <w:tblLook w:val="04A0" w:firstRow="1" w:lastRow="0" w:firstColumn="1" w:lastColumn="0" w:noHBand="0" w:noVBand="1"/>
        <w:tblCaption w:val="Appendix 6: Abbreviations cont…"/>
        <w:tblDescription w:val="TRIPS Travel Request Information Processing System&#10;TRO Territory Revenue Office&#10;TWP Territory Wildlife Park&#10;ULP Unleaded Petrol&#10;VET Vocational Education and Training&#10;"/>
      </w:tblPr>
      <w:tblGrid>
        <w:gridCol w:w="1384"/>
        <w:gridCol w:w="7334"/>
      </w:tblGrid>
      <w:tr w:rsidR="00F05C0F" w:rsidRPr="00F30939" w14:paraId="72C5953B" w14:textId="77777777" w:rsidTr="00F05C0F">
        <w:trPr>
          <w:cantSplit/>
          <w:tblHeader/>
        </w:trPr>
        <w:tc>
          <w:tcPr>
            <w:tcW w:w="1384" w:type="dxa"/>
          </w:tcPr>
          <w:p w14:paraId="407933C7" w14:textId="5AF4DEDF" w:rsidR="00F05C0F" w:rsidRPr="00C5278E" w:rsidRDefault="00F05C0F" w:rsidP="00F05C0F">
            <w:r w:rsidRPr="001B2BBF">
              <w:t>TRIPS</w:t>
            </w:r>
          </w:p>
        </w:tc>
        <w:tc>
          <w:tcPr>
            <w:tcW w:w="7334" w:type="dxa"/>
          </w:tcPr>
          <w:p w14:paraId="04C41E28" w14:textId="7F16F1D1" w:rsidR="00F05C0F" w:rsidRPr="00C5278E" w:rsidRDefault="00F05C0F" w:rsidP="00F05C0F">
            <w:r w:rsidRPr="001B2BBF">
              <w:t>Travel Request Information Processing System</w:t>
            </w:r>
          </w:p>
        </w:tc>
      </w:tr>
      <w:tr w:rsidR="00F05C0F" w:rsidRPr="00F30939" w14:paraId="24D507DE" w14:textId="77777777" w:rsidTr="00140D0B">
        <w:trPr>
          <w:cantSplit/>
        </w:trPr>
        <w:tc>
          <w:tcPr>
            <w:tcW w:w="1384" w:type="dxa"/>
          </w:tcPr>
          <w:p w14:paraId="113E9807" w14:textId="2E47D2D7" w:rsidR="00F05C0F" w:rsidRPr="00C5278E" w:rsidRDefault="00F05C0F" w:rsidP="00F05C0F">
            <w:r w:rsidRPr="001B2BBF">
              <w:t>TRO</w:t>
            </w:r>
          </w:p>
        </w:tc>
        <w:tc>
          <w:tcPr>
            <w:tcW w:w="7334" w:type="dxa"/>
          </w:tcPr>
          <w:p w14:paraId="295B0B80" w14:textId="14705BF3" w:rsidR="00F05C0F" w:rsidRPr="00C5278E" w:rsidRDefault="00F05C0F" w:rsidP="00F05C0F">
            <w:r w:rsidRPr="001B2BBF">
              <w:t>Territory Revenue Office</w:t>
            </w:r>
          </w:p>
        </w:tc>
      </w:tr>
      <w:tr w:rsidR="00F05C0F" w:rsidRPr="00F30939" w14:paraId="47F60353" w14:textId="77777777" w:rsidTr="00140D0B">
        <w:trPr>
          <w:cantSplit/>
        </w:trPr>
        <w:tc>
          <w:tcPr>
            <w:tcW w:w="1384" w:type="dxa"/>
          </w:tcPr>
          <w:p w14:paraId="265B4FC8" w14:textId="35842496" w:rsidR="00F05C0F" w:rsidRPr="00C5278E" w:rsidRDefault="00F05C0F" w:rsidP="00F05C0F">
            <w:r w:rsidRPr="001B2BBF">
              <w:t>TWP</w:t>
            </w:r>
          </w:p>
        </w:tc>
        <w:tc>
          <w:tcPr>
            <w:tcW w:w="7334" w:type="dxa"/>
          </w:tcPr>
          <w:p w14:paraId="181064C1" w14:textId="297C67E2" w:rsidR="00F05C0F" w:rsidRPr="00C5278E" w:rsidRDefault="00F05C0F" w:rsidP="00F05C0F">
            <w:r w:rsidRPr="001B2BBF">
              <w:t>Territory Wildlife Park</w:t>
            </w:r>
          </w:p>
        </w:tc>
      </w:tr>
      <w:tr w:rsidR="00F05C0F" w:rsidRPr="00F30939" w14:paraId="1DF05767" w14:textId="77777777" w:rsidTr="00140D0B">
        <w:trPr>
          <w:cantSplit/>
        </w:trPr>
        <w:tc>
          <w:tcPr>
            <w:tcW w:w="1384" w:type="dxa"/>
          </w:tcPr>
          <w:p w14:paraId="23B80CF1" w14:textId="24AA1754" w:rsidR="00F05C0F" w:rsidRPr="00C5278E" w:rsidRDefault="00F05C0F" w:rsidP="00F05C0F">
            <w:r w:rsidRPr="001B2BBF">
              <w:t>ULP</w:t>
            </w:r>
          </w:p>
        </w:tc>
        <w:tc>
          <w:tcPr>
            <w:tcW w:w="7334" w:type="dxa"/>
          </w:tcPr>
          <w:p w14:paraId="66D53F75" w14:textId="2C4DBD45" w:rsidR="00F05C0F" w:rsidRPr="00C5278E" w:rsidRDefault="00F05C0F" w:rsidP="00F05C0F">
            <w:r w:rsidRPr="001B2BBF">
              <w:t>Unleaded Petrol</w:t>
            </w:r>
          </w:p>
        </w:tc>
      </w:tr>
      <w:tr w:rsidR="00F05C0F" w:rsidRPr="00F30939" w14:paraId="497824E6" w14:textId="77777777" w:rsidTr="00140D0B">
        <w:trPr>
          <w:cantSplit/>
        </w:trPr>
        <w:tc>
          <w:tcPr>
            <w:tcW w:w="1384" w:type="dxa"/>
          </w:tcPr>
          <w:p w14:paraId="0CDB8B73" w14:textId="3D62CC0B" w:rsidR="00F05C0F" w:rsidRPr="00C5278E" w:rsidRDefault="00F05C0F" w:rsidP="00F05C0F">
            <w:r w:rsidRPr="001B2BBF">
              <w:t>VET</w:t>
            </w:r>
          </w:p>
        </w:tc>
        <w:tc>
          <w:tcPr>
            <w:tcW w:w="7334" w:type="dxa"/>
          </w:tcPr>
          <w:p w14:paraId="5D816E7A" w14:textId="123AA2E2" w:rsidR="00F05C0F" w:rsidRPr="00C5278E" w:rsidRDefault="00F05C0F" w:rsidP="00F05C0F">
            <w:r w:rsidRPr="001B2BBF">
              <w:t>Vocational Education and Training</w:t>
            </w:r>
          </w:p>
        </w:tc>
      </w:tr>
    </w:tbl>
    <w:p w14:paraId="330B62B4" w14:textId="77777777" w:rsidR="0045031A" w:rsidRPr="00F30939" w:rsidRDefault="0045031A" w:rsidP="0045031A"/>
    <w:p w14:paraId="56D656AD" w14:textId="77777777" w:rsidR="005544FD" w:rsidRPr="00F30939" w:rsidRDefault="004D3C54" w:rsidP="000D515D">
      <w:pPr>
        <w:pStyle w:val="Heading1"/>
      </w:pPr>
      <w:bookmarkStart w:id="57" w:name="_Ref67057964"/>
      <w:bookmarkEnd w:id="54"/>
      <w:bookmarkEnd w:id="55"/>
      <w:r>
        <w:t xml:space="preserve">Appendix </w:t>
      </w:r>
      <w:r w:rsidR="0045031A">
        <w:t>7</w:t>
      </w:r>
      <w:r>
        <w:t>: Agencies not</w:t>
      </w:r>
      <w:r w:rsidR="00154E90">
        <w:t xml:space="preserve"> subject to audit relating to the year ended 30 June 2021</w:t>
      </w:r>
      <w:bookmarkEnd w:id="57"/>
      <w:r w:rsidR="00154E90">
        <w:t xml:space="preserve"> </w:t>
      </w:r>
      <w:bookmarkEnd w:id="56"/>
    </w:p>
    <w:p w14:paraId="77C80908" w14:textId="77777777" w:rsidR="005544FD" w:rsidRPr="00F30939" w:rsidRDefault="005544FD" w:rsidP="00011A13">
      <w:r w:rsidRPr="00F30939">
        <w:t xml:space="preserve">Section 13(3) of the </w:t>
      </w:r>
      <w:r w:rsidR="00595A1F" w:rsidRPr="00595A1F">
        <w:rPr>
          <w:i/>
        </w:rPr>
        <w:t>Audit Act 1995</w:t>
      </w:r>
      <w:r w:rsidR="00C10C5F">
        <w:rPr>
          <w:i/>
        </w:rPr>
        <w:t xml:space="preserve"> </w:t>
      </w:r>
      <w:r w:rsidRPr="00F30939">
        <w:t xml:space="preserve">permits the </w:t>
      </w:r>
      <w:r w:rsidR="00686A4D">
        <w:t>Auditor</w:t>
      </w:r>
      <w:r w:rsidR="00686A4D">
        <w:noBreakHyphen/>
        <w:t>General</w:t>
      </w:r>
      <w:r w:rsidRPr="00F30939">
        <w:t xml:space="preserve"> to dispense with an audit of an Agency.</w:t>
      </w:r>
    </w:p>
    <w:p w14:paraId="500F5E1C" w14:textId="04DDF60C" w:rsidR="005544FD" w:rsidRPr="00F30939" w:rsidRDefault="005544FD" w:rsidP="00011A13">
      <w:r w:rsidRPr="00F30939">
        <w:t xml:space="preserve">For activities relating to the financial year ended </w:t>
      </w:r>
      <w:r w:rsidR="002774A1" w:rsidRPr="00F30939">
        <w:t xml:space="preserve">30 June </w:t>
      </w:r>
      <w:r w:rsidR="00555E4B">
        <w:t>2021</w:t>
      </w:r>
      <w:r w:rsidR="00F55518">
        <w:t>,</w:t>
      </w:r>
      <w:r w:rsidR="002774A1" w:rsidRPr="00F30939">
        <w:t xml:space="preserve"> </w:t>
      </w:r>
      <w:r w:rsidRPr="00F30939">
        <w:t xml:space="preserve">audits were or are intended to be conducted at </w:t>
      </w:r>
      <w:r w:rsidR="002774A1" w:rsidRPr="00F30939">
        <w:t xml:space="preserve">all </w:t>
      </w:r>
      <w:r w:rsidR="00707781">
        <w:t>a</w:t>
      </w:r>
      <w:r w:rsidR="002774A1" w:rsidRPr="00F30939">
        <w:t>gencies.</w:t>
      </w:r>
    </w:p>
    <w:p w14:paraId="789A28B7" w14:textId="05FA463E" w:rsidR="005544FD" w:rsidRPr="00F30939" w:rsidRDefault="005544FD" w:rsidP="00011A13">
      <w:r w:rsidRPr="00F30939">
        <w:t xml:space="preserve">The increasingly stringent requirements of Australian Accounting Standards and </w:t>
      </w:r>
      <w:r w:rsidR="00F55518">
        <w:t xml:space="preserve">Australian </w:t>
      </w:r>
      <w:r w:rsidRPr="00F30939">
        <w:t xml:space="preserve">Auditing and Assurance Standards has required that audit effort be directed towards financial audits of those </w:t>
      </w:r>
      <w:r w:rsidR="00FF6E8B">
        <w:t>a</w:t>
      </w:r>
      <w:r w:rsidRPr="00F30939">
        <w:t>gencies that are deemed to represent greater</w:t>
      </w:r>
      <w:r w:rsidR="00A715EB">
        <w:t xml:space="preserve"> materiality and greater risk.</w:t>
      </w:r>
    </w:p>
    <w:p w14:paraId="4D18FECC" w14:textId="38FE99E2" w:rsidR="005544FD" w:rsidRDefault="005544FD" w:rsidP="00011A13">
      <w:r w:rsidRPr="00F30939">
        <w:t xml:space="preserve">The annual financial statements of the Office of the </w:t>
      </w:r>
      <w:r w:rsidR="00686A4D">
        <w:t>Auditor</w:t>
      </w:r>
      <w:r w:rsidR="00686A4D">
        <w:noBreakHyphen/>
        <w:t>General</w:t>
      </w:r>
      <w:r w:rsidRPr="00F30939">
        <w:t xml:space="preserve"> are subject to independent audit in accordance with section 27 of the </w:t>
      </w:r>
      <w:r w:rsidR="00D51E05" w:rsidRPr="00D51E05">
        <w:rPr>
          <w:i/>
        </w:rPr>
        <w:t>Audit Act</w:t>
      </w:r>
      <w:r w:rsidR="001710DE">
        <w:rPr>
          <w:i/>
        </w:rPr>
        <w:t xml:space="preserve"> 1995</w:t>
      </w:r>
      <w:r w:rsidR="00A715EB">
        <w:t xml:space="preserve">. </w:t>
      </w:r>
      <w:r w:rsidRPr="00F30939">
        <w:t xml:space="preserve">The audit of the financial statements is </w:t>
      </w:r>
      <w:r w:rsidRPr="007B0863">
        <w:t>scheduled</w:t>
      </w:r>
      <w:r w:rsidR="002774A1" w:rsidRPr="007B0863">
        <w:t xml:space="preserve"> to commence in late August </w:t>
      </w:r>
      <w:r w:rsidR="00555E4B" w:rsidRPr="007B0863">
        <w:t>2021</w:t>
      </w:r>
      <w:r w:rsidRPr="007B0863">
        <w:t>.</w:t>
      </w:r>
    </w:p>
    <w:p w14:paraId="00CFCD54" w14:textId="2649A849" w:rsidR="00291341" w:rsidRDefault="00291341" w:rsidP="00011A13"/>
    <w:p w14:paraId="6A5F9C3C" w14:textId="3D9C2BCA" w:rsidR="00291341" w:rsidRPr="00F30939" w:rsidRDefault="006E1B66" w:rsidP="00291341">
      <w:pPr>
        <w:pStyle w:val="Heading1"/>
      </w:pPr>
      <w:bookmarkStart w:id="58" w:name="_Ref69298155"/>
      <w:r>
        <w:t>Contents by Entity</w:t>
      </w:r>
      <w:bookmarkEnd w:id="58"/>
    </w:p>
    <w:tbl>
      <w:tblPr>
        <w:tblW w:w="0" w:type="auto"/>
        <w:tblLook w:val="04A0" w:firstRow="1" w:lastRow="0" w:firstColumn="1" w:lastColumn="0" w:noHBand="0" w:noVBand="1"/>
      </w:tblPr>
      <w:tblGrid>
        <w:gridCol w:w="7362"/>
        <w:gridCol w:w="1185"/>
      </w:tblGrid>
      <w:tr w:rsidR="00291341" w:rsidRPr="00F30939" w14:paraId="351DB6C3" w14:textId="77777777" w:rsidTr="005C602C">
        <w:trPr>
          <w:cantSplit/>
          <w:tblHeader/>
        </w:trPr>
        <w:tc>
          <w:tcPr>
            <w:tcW w:w="7362" w:type="dxa"/>
          </w:tcPr>
          <w:p w14:paraId="70F98A9A" w14:textId="77777777" w:rsidR="00291341" w:rsidRPr="00F30939" w:rsidRDefault="00291341" w:rsidP="00140D0B"/>
        </w:tc>
        <w:tc>
          <w:tcPr>
            <w:tcW w:w="1185" w:type="dxa"/>
            <w:vAlign w:val="bottom"/>
          </w:tcPr>
          <w:p w14:paraId="304729DC" w14:textId="77777777" w:rsidR="00291341" w:rsidRPr="00F30939" w:rsidRDefault="00291341" w:rsidP="00140D0B">
            <w:pPr>
              <w:jc w:val="center"/>
            </w:pPr>
            <w:r w:rsidRPr="00F30939">
              <w:t>Page</w:t>
            </w:r>
          </w:p>
        </w:tc>
      </w:tr>
      <w:tr w:rsidR="0025700B" w:rsidRPr="00F30939" w14:paraId="2C4CE65D" w14:textId="77777777" w:rsidTr="005C602C">
        <w:trPr>
          <w:cantSplit/>
        </w:trPr>
        <w:tc>
          <w:tcPr>
            <w:tcW w:w="7362" w:type="dxa"/>
          </w:tcPr>
          <w:p w14:paraId="4FA1E6FD" w14:textId="0C41E58A" w:rsidR="0025700B" w:rsidRPr="004D3C54" w:rsidRDefault="0025700B" w:rsidP="00672BA8">
            <w:pPr>
              <w:rPr>
                <w:b/>
              </w:rPr>
            </w:pPr>
            <w:r>
              <w:rPr>
                <w:b/>
              </w:rPr>
              <w:t>Aboriginal Areas Protection Authority</w:t>
            </w:r>
          </w:p>
        </w:tc>
        <w:tc>
          <w:tcPr>
            <w:tcW w:w="1185" w:type="dxa"/>
            <w:vAlign w:val="bottom"/>
          </w:tcPr>
          <w:p w14:paraId="112750A1" w14:textId="77777777" w:rsidR="0025700B" w:rsidRPr="00F30939" w:rsidRDefault="0025700B" w:rsidP="00672BA8">
            <w:pPr>
              <w:jc w:val="center"/>
            </w:pPr>
          </w:p>
        </w:tc>
      </w:tr>
      <w:tr w:rsidR="0025700B" w:rsidRPr="00F30939" w14:paraId="27E5ADEA" w14:textId="77777777" w:rsidTr="005C602C">
        <w:trPr>
          <w:cantSplit/>
        </w:trPr>
        <w:tc>
          <w:tcPr>
            <w:tcW w:w="7362" w:type="dxa"/>
          </w:tcPr>
          <w:p w14:paraId="1D2E4844" w14:textId="45552D29" w:rsidR="0025700B" w:rsidRPr="004D3C54" w:rsidRDefault="00750599" w:rsidP="005C602C">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13972150" w14:textId="257B3463" w:rsidR="0025700B" w:rsidRPr="00F30939" w:rsidRDefault="005C602C" w:rsidP="00672BA8">
            <w:pPr>
              <w:jc w:val="center"/>
            </w:pPr>
            <w:r>
              <w:fldChar w:fldCharType="begin"/>
            </w:r>
            <w:r>
              <w:instrText xml:space="preserve"> PAGEREF _Ref78888323 \h </w:instrText>
            </w:r>
            <w:r>
              <w:fldChar w:fldCharType="separate"/>
            </w:r>
            <w:r w:rsidR="00F52F17">
              <w:rPr>
                <w:noProof/>
              </w:rPr>
              <w:t>50</w:t>
            </w:r>
            <w:r>
              <w:fldChar w:fldCharType="end"/>
            </w:r>
          </w:p>
        </w:tc>
      </w:tr>
      <w:tr w:rsidR="005851A7" w:rsidRPr="00F30939" w14:paraId="4ED75114" w14:textId="77777777" w:rsidTr="00370587">
        <w:trPr>
          <w:cantSplit/>
        </w:trPr>
        <w:tc>
          <w:tcPr>
            <w:tcW w:w="7362" w:type="dxa"/>
          </w:tcPr>
          <w:p w14:paraId="3104D4BD" w14:textId="2D968D4C" w:rsidR="005851A7" w:rsidRDefault="005851A7" w:rsidP="00370587">
            <w:pPr>
              <w:pStyle w:val="BodyTextFirstIndent"/>
              <w:ind w:left="318" w:firstLine="0"/>
              <w:rPr>
                <w:b/>
              </w:rPr>
            </w:pPr>
            <w:r>
              <w:rPr>
                <w:b/>
              </w:rPr>
              <w:fldChar w:fldCharType="begin"/>
            </w:r>
            <w:r>
              <w:rPr>
                <w:b/>
              </w:rPr>
              <w:instrText xml:space="preserve"> REF Closedown \h </w:instrText>
            </w:r>
            <w:r>
              <w:rPr>
                <w:b/>
              </w:rPr>
            </w:r>
            <w:r>
              <w:rPr>
                <w:b/>
              </w:rPr>
              <w:fldChar w:fldCharType="separate"/>
            </w:r>
            <w:r w:rsidR="00F52F17">
              <w:t>Close-down leave</w:t>
            </w:r>
            <w:r>
              <w:rPr>
                <w:b/>
              </w:rPr>
              <w:fldChar w:fldCharType="end"/>
            </w:r>
          </w:p>
        </w:tc>
        <w:tc>
          <w:tcPr>
            <w:tcW w:w="1185" w:type="dxa"/>
            <w:vAlign w:val="bottom"/>
          </w:tcPr>
          <w:p w14:paraId="21622FFA" w14:textId="2CE6B261" w:rsidR="005851A7" w:rsidRDefault="005851A7" w:rsidP="00370587">
            <w:pPr>
              <w:jc w:val="center"/>
            </w:pPr>
            <w:r>
              <w:fldChar w:fldCharType="begin"/>
            </w:r>
            <w:r>
              <w:instrText xml:space="preserve"> PAGEREF _Ref79990850 \h </w:instrText>
            </w:r>
            <w:r>
              <w:fldChar w:fldCharType="separate"/>
            </w:r>
            <w:r w:rsidR="00F52F17">
              <w:rPr>
                <w:noProof/>
              </w:rPr>
              <w:t>59</w:t>
            </w:r>
            <w:r>
              <w:fldChar w:fldCharType="end"/>
            </w:r>
          </w:p>
        </w:tc>
      </w:tr>
      <w:tr w:rsidR="00F1580E" w:rsidRPr="00F1580E" w14:paraId="5D432568" w14:textId="77777777" w:rsidTr="005C602C">
        <w:trPr>
          <w:cantSplit/>
        </w:trPr>
        <w:tc>
          <w:tcPr>
            <w:tcW w:w="7362" w:type="dxa"/>
          </w:tcPr>
          <w:p w14:paraId="4FF92883" w14:textId="1E1E66A2" w:rsidR="00F1580E" w:rsidRPr="004D3C54" w:rsidRDefault="00F1580E" w:rsidP="00F1580E">
            <w:pPr>
              <w:rPr>
                <w:b/>
              </w:rPr>
            </w:pPr>
            <w:r w:rsidRPr="00F1580E">
              <w:rPr>
                <w:b/>
              </w:rPr>
              <w:fldChar w:fldCharType="begin"/>
            </w:r>
            <w:r w:rsidRPr="00F1580E">
              <w:rPr>
                <w:b/>
              </w:rPr>
              <w:instrText xml:space="preserve"> REF _Ref48110860 \h </w:instrText>
            </w:r>
            <w:r>
              <w:rPr>
                <w:b/>
              </w:rPr>
              <w:instrText xml:space="preserve"> \* MERGEFORMAT </w:instrText>
            </w:r>
            <w:r w:rsidRPr="00F1580E">
              <w:rPr>
                <w:b/>
              </w:rPr>
            </w:r>
            <w:r w:rsidRPr="00F1580E">
              <w:rPr>
                <w:b/>
              </w:rPr>
              <w:fldChar w:fldCharType="separate"/>
            </w:r>
            <w:r w:rsidR="00F52F17" w:rsidRPr="00F52F17">
              <w:rPr>
                <w:b/>
              </w:rPr>
              <w:t>Bridging the Gap Foundation</w:t>
            </w:r>
            <w:r w:rsidRPr="00F1580E">
              <w:rPr>
                <w:b/>
              </w:rPr>
              <w:fldChar w:fldCharType="end"/>
            </w:r>
          </w:p>
        </w:tc>
        <w:tc>
          <w:tcPr>
            <w:tcW w:w="1185" w:type="dxa"/>
            <w:vAlign w:val="bottom"/>
          </w:tcPr>
          <w:p w14:paraId="249402FB" w14:textId="77777777" w:rsidR="00F1580E" w:rsidRPr="00F1580E" w:rsidRDefault="00F1580E" w:rsidP="00F1580E">
            <w:pPr>
              <w:rPr>
                <w:b/>
              </w:rPr>
            </w:pPr>
          </w:p>
        </w:tc>
      </w:tr>
      <w:tr w:rsidR="00F1580E" w:rsidRPr="00F30939" w14:paraId="70CBD4F9" w14:textId="77777777" w:rsidTr="005C602C">
        <w:trPr>
          <w:cantSplit/>
        </w:trPr>
        <w:tc>
          <w:tcPr>
            <w:tcW w:w="7362" w:type="dxa"/>
          </w:tcPr>
          <w:p w14:paraId="32E0331A" w14:textId="4F1557EF" w:rsidR="00F1580E" w:rsidRPr="00F30939" w:rsidRDefault="00084F8F" w:rsidP="00F1580E">
            <w:pPr>
              <w:pStyle w:val="BodyTextFirstIndent"/>
              <w:ind w:left="318" w:firstLine="0"/>
            </w:pPr>
            <w:r>
              <w:fldChar w:fldCharType="begin"/>
            </w:r>
            <w:r>
              <w:instrText xml:space="preserve"> REF _Ref48110865 \h </w:instrText>
            </w:r>
            <w:r>
              <w:fldChar w:fldCharType="separate"/>
            </w:r>
            <w:r w:rsidR="00F52F17" w:rsidRPr="000D515D">
              <w:t xml:space="preserve">Audit Findings and Analysis of the Financial Statements for the Year Ended </w:t>
            </w:r>
            <w:r w:rsidR="00F52F17">
              <w:t>31 December 2020</w:t>
            </w:r>
            <w:r>
              <w:fldChar w:fldCharType="end"/>
            </w:r>
          </w:p>
        </w:tc>
        <w:tc>
          <w:tcPr>
            <w:tcW w:w="1185" w:type="dxa"/>
            <w:vAlign w:val="bottom"/>
          </w:tcPr>
          <w:p w14:paraId="5E154383" w14:textId="7540711E" w:rsidR="00F1580E" w:rsidRPr="00F30939" w:rsidRDefault="00084F8F" w:rsidP="00F1580E">
            <w:pPr>
              <w:jc w:val="center"/>
            </w:pPr>
            <w:r>
              <w:fldChar w:fldCharType="begin"/>
            </w:r>
            <w:r>
              <w:instrText xml:space="preserve"> PAGEREF _Ref48110865 \h </w:instrText>
            </w:r>
            <w:r>
              <w:fldChar w:fldCharType="separate"/>
            </w:r>
            <w:r w:rsidR="00F52F17">
              <w:rPr>
                <w:noProof/>
              </w:rPr>
              <w:t>13</w:t>
            </w:r>
            <w:r>
              <w:fldChar w:fldCharType="end"/>
            </w:r>
          </w:p>
        </w:tc>
      </w:tr>
      <w:tr w:rsidR="00F1580E" w:rsidRPr="00F1580E" w14:paraId="57875170" w14:textId="77777777" w:rsidTr="005C602C">
        <w:trPr>
          <w:cantSplit/>
        </w:trPr>
        <w:tc>
          <w:tcPr>
            <w:tcW w:w="7362" w:type="dxa"/>
          </w:tcPr>
          <w:p w14:paraId="73FEF8E5" w14:textId="37C8978F" w:rsidR="00F1580E" w:rsidRPr="00F1580E" w:rsidRDefault="00F1580E" w:rsidP="00F1580E">
            <w:pPr>
              <w:rPr>
                <w:b/>
              </w:rPr>
            </w:pPr>
            <w:r w:rsidRPr="00F1580E">
              <w:rPr>
                <w:b/>
              </w:rPr>
              <w:fldChar w:fldCharType="begin"/>
            </w:r>
            <w:r w:rsidRPr="00F1580E">
              <w:rPr>
                <w:b/>
              </w:rPr>
              <w:instrText xml:space="preserve"> REF _Ref48110988 \h </w:instrText>
            </w:r>
            <w:r>
              <w:rPr>
                <w:b/>
              </w:rPr>
              <w:instrText xml:space="preserve"> \* MERGEFORMAT </w:instrText>
            </w:r>
            <w:r w:rsidRPr="00F1580E">
              <w:rPr>
                <w:b/>
              </w:rPr>
            </w:r>
            <w:r w:rsidRPr="00F1580E">
              <w:rPr>
                <w:b/>
              </w:rPr>
              <w:fldChar w:fldCharType="separate"/>
            </w:r>
            <w:r w:rsidR="00F52F17" w:rsidRPr="00F52F17">
              <w:rPr>
                <w:b/>
              </w:rPr>
              <w:t>CDU Amenities Limited</w:t>
            </w:r>
            <w:r w:rsidRPr="00F1580E">
              <w:rPr>
                <w:b/>
              </w:rPr>
              <w:fldChar w:fldCharType="end"/>
            </w:r>
          </w:p>
        </w:tc>
        <w:tc>
          <w:tcPr>
            <w:tcW w:w="1185" w:type="dxa"/>
            <w:vAlign w:val="bottom"/>
          </w:tcPr>
          <w:p w14:paraId="179F5B89" w14:textId="77777777" w:rsidR="00F1580E" w:rsidRPr="00F1580E" w:rsidRDefault="00F1580E" w:rsidP="00F1580E">
            <w:pPr>
              <w:rPr>
                <w:b/>
              </w:rPr>
            </w:pPr>
          </w:p>
        </w:tc>
      </w:tr>
      <w:tr w:rsidR="00F1580E" w:rsidRPr="00F30939" w14:paraId="79883665" w14:textId="77777777" w:rsidTr="005C602C">
        <w:trPr>
          <w:cantSplit/>
        </w:trPr>
        <w:tc>
          <w:tcPr>
            <w:tcW w:w="7362" w:type="dxa"/>
          </w:tcPr>
          <w:p w14:paraId="2F881D1F" w14:textId="0BCC834D" w:rsidR="00F1580E" w:rsidRPr="00F30939" w:rsidRDefault="00084F8F" w:rsidP="00F1580E">
            <w:pPr>
              <w:pStyle w:val="BodyTextFirstIndent"/>
              <w:ind w:left="318" w:firstLine="0"/>
            </w:pPr>
            <w:r>
              <w:fldChar w:fldCharType="begin"/>
            </w:r>
            <w:r>
              <w:instrText xml:space="preserve"> REF _Ref53555166 \h </w:instrText>
            </w:r>
            <w:r>
              <w:fldChar w:fldCharType="separate"/>
            </w:r>
            <w:r w:rsidR="00F52F17" w:rsidRPr="000D515D">
              <w:t xml:space="preserve">Audit Findings and Analysis of the Financial Statements for the Year Ended </w:t>
            </w:r>
            <w:r w:rsidR="00F52F17">
              <w:t>31 December 2020</w:t>
            </w:r>
            <w:r>
              <w:fldChar w:fldCharType="end"/>
            </w:r>
          </w:p>
        </w:tc>
        <w:tc>
          <w:tcPr>
            <w:tcW w:w="1185" w:type="dxa"/>
            <w:vAlign w:val="bottom"/>
          </w:tcPr>
          <w:p w14:paraId="13D1FA9E" w14:textId="09219301" w:rsidR="00F1580E" w:rsidRPr="00F30939" w:rsidRDefault="00084F8F" w:rsidP="00F1580E">
            <w:pPr>
              <w:jc w:val="center"/>
            </w:pPr>
            <w:r>
              <w:fldChar w:fldCharType="begin"/>
            </w:r>
            <w:r>
              <w:instrText xml:space="preserve"> PAGEREF _Ref53555166 \h </w:instrText>
            </w:r>
            <w:r>
              <w:fldChar w:fldCharType="separate"/>
            </w:r>
            <w:r w:rsidR="00F52F17">
              <w:rPr>
                <w:noProof/>
              </w:rPr>
              <w:t>16</w:t>
            </w:r>
            <w:r>
              <w:fldChar w:fldCharType="end"/>
            </w:r>
          </w:p>
        </w:tc>
      </w:tr>
      <w:tr w:rsidR="00F1580E" w:rsidRPr="00F1580E" w14:paraId="205DFA60" w14:textId="77777777" w:rsidTr="005C602C">
        <w:trPr>
          <w:cantSplit/>
        </w:trPr>
        <w:tc>
          <w:tcPr>
            <w:tcW w:w="7362" w:type="dxa"/>
          </w:tcPr>
          <w:p w14:paraId="7D4C1824" w14:textId="32B4F4AB" w:rsidR="00F1580E" w:rsidRPr="004D3C54" w:rsidRDefault="00F1580E" w:rsidP="00F1580E">
            <w:pPr>
              <w:rPr>
                <w:b/>
              </w:rPr>
            </w:pPr>
            <w:r w:rsidRPr="00F1580E">
              <w:rPr>
                <w:b/>
              </w:rPr>
              <w:fldChar w:fldCharType="begin"/>
            </w:r>
            <w:r w:rsidRPr="00F1580E">
              <w:rPr>
                <w:b/>
              </w:rPr>
              <w:instrText xml:space="preserve"> REF _Ref44944232 \h </w:instrText>
            </w:r>
            <w:r>
              <w:rPr>
                <w:b/>
              </w:rPr>
              <w:instrText xml:space="preserve"> \* MERGEFORMAT </w:instrText>
            </w:r>
            <w:r w:rsidRPr="00F1580E">
              <w:rPr>
                <w:b/>
              </w:rPr>
            </w:r>
            <w:r w:rsidRPr="00F1580E">
              <w:rPr>
                <w:b/>
              </w:rPr>
              <w:fldChar w:fldCharType="separate"/>
            </w:r>
            <w:r w:rsidR="00F52F17" w:rsidRPr="00F52F17">
              <w:rPr>
                <w:b/>
              </w:rPr>
              <w:t>Charles Darwin University</w:t>
            </w:r>
            <w:r w:rsidRPr="00F1580E">
              <w:rPr>
                <w:b/>
              </w:rPr>
              <w:fldChar w:fldCharType="end"/>
            </w:r>
          </w:p>
        </w:tc>
        <w:tc>
          <w:tcPr>
            <w:tcW w:w="1185" w:type="dxa"/>
            <w:vAlign w:val="bottom"/>
          </w:tcPr>
          <w:p w14:paraId="6B4710D7" w14:textId="77777777" w:rsidR="00F1580E" w:rsidRPr="00F1580E" w:rsidRDefault="00F1580E" w:rsidP="00F1580E">
            <w:pPr>
              <w:rPr>
                <w:b/>
              </w:rPr>
            </w:pPr>
          </w:p>
        </w:tc>
      </w:tr>
      <w:tr w:rsidR="00F1580E" w:rsidRPr="00F30939" w14:paraId="0B931E6C" w14:textId="77777777" w:rsidTr="005C602C">
        <w:trPr>
          <w:cantSplit/>
        </w:trPr>
        <w:tc>
          <w:tcPr>
            <w:tcW w:w="7362" w:type="dxa"/>
          </w:tcPr>
          <w:p w14:paraId="1ACED43A" w14:textId="3A2F9A7E" w:rsidR="00F1580E" w:rsidRPr="00F30939" w:rsidRDefault="00084F8F" w:rsidP="00F1580E">
            <w:pPr>
              <w:pStyle w:val="BodyTextFirstIndent"/>
              <w:ind w:left="318" w:firstLine="0"/>
            </w:pPr>
            <w:r>
              <w:fldChar w:fldCharType="begin"/>
            </w:r>
            <w:r>
              <w:instrText xml:space="preserve"> REF _Ref34309445 \h </w:instrText>
            </w:r>
            <w:r>
              <w:fldChar w:fldCharType="separate"/>
            </w:r>
            <w:r w:rsidR="00F52F17" w:rsidRPr="000D515D">
              <w:t xml:space="preserve">Audit Findings and Analysis of the Financial Statements for the Year Ended </w:t>
            </w:r>
            <w:r w:rsidR="00F52F17">
              <w:t xml:space="preserve">31 December </w:t>
            </w:r>
            <w:r>
              <w:fldChar w:fldCharType="end"/>
            </w:r>
          </w:p>
        </w:tc>
        <w:tc>
          <w:tcPr>
            <w:tcW w:w="1185" w:type="dxa"/>
            <w:vAlign w:val="bottom"/>
          </w:tcPr>
          <w:p w14:paraId="0BB0755D" w14:textId="6587D151" w:rsidR="00F1580E" w:rsidRPr="00F30939" w:rsidRDefault="00084F8F" w:rsidP="00F1580E">
            <w:pPr>
              <w:jc w:val="center"/>
            </w:pPr>
            <w:r>
              <w:fldChar w:fldCharType="begin"/>
            </w:r>
            <w:r>
              <w:instrText xml:space="preserve"> PAGEREF _Ref34309445 \h </w:instrText>
            </w:r>
            <w:r>
              <w:fldChar w:fldCharType="separate"/>
            </w:r>
            <w:r w:rsidR="00F52F17">
              <w:rPr>
                <w:noProof/>
              </w:rPr>
              <w:t>8</w:t>
            </w:r>
            <w:r>
              <w:fldChar w:fldCharType="end"/>
            </w:r>
          </w:p>
        </w:tc>
      </w:tr>
      <w:tr w:rsidR="00F1580E" w:rsidRPr="00F1580E" w14:paraId="04724153" w14:textId="77777777" w:rsidTr="005C602C">
        <w:trPr>
          <w:cantSplit/>
        </w:trPr>
        <w:tc>
          <w:tcPr>
            <w:tcW w:w="7362" w:type="dxa"/>
          </w:tcPr>
          <w:p w14:paraId="505AE880" w14:textId="6032C412" w:rsidR="00F1580E" w:rsidRPr="00F1580E" w:rsidRDefault="00F1580E" w:rsidP="00F1580E">
            <w:pPr>
              <w:rPr>
                <w:b/>
              </w:rPr>
            </w:pPr>
            <w:r w:rsidRPr="00F1580E">
              <w:rPr>
                <w:b/>
              </w:rPr>
              <w:fldChar w:fldCharType="begin"/>
            </w:r>
            <w:r w:rsidRPr="00F1580E">
              <w:rPr>
                <w:b/>
              </w:rPr>
              <w:instrText xml:space="preserve"> REF _Ref34309266 \h </w:instrText>
            </w:r>
            <w:r>
              <w:rPr>
                <w:b/>
              </w:rPr>
              <w:instrText xml:space="preserve"> \* MERGEFORMAT </w:instrText>
            </w:r>
            <w:r w:rsidRPr="00F1580E">
              <w:rPr>
                <w:b/>
              </w:rPr>
            </w:r>
            <w:r w:rsidRPr="00F1580E">
              <w:rPr>
                <w:b/>
              </w:rPr>
              <w:fldChar w:fldCharType="separate"/>
            </w:r>
            <w:r w:rsidR="00F52F17" w:rsidRPr="00F52F17">
              <w:rPr>
                <w:b/>
              </w:rPr>
              <w:t>Charles Darwin University Foundation</w:t>
            </w:r>
            <w:r w:rsidRPr="00F1580E">
              <w:rPr>
                <w:b/>
              </w:rPr>
              <w:fldChar w:fldCharType="end"/>
            </w:r>
          </w:p>
        </w:tc>
        <w:tc>
          <w:tcPr>
            <w:tcW w:w="1185" w:type="dxa"/>
            <w:vAlign w:val="bottom"/>
          </w:tcPr>
          <w:p w14:paraId="4A96561C" w14:textId="77777777" w:rsidR="00F1580E" w:rsidRPr="00F1580E" w:rsidRDefault="00F1580E" w:rsidP="00F1580E">
            <w:pPr>
              <w:rPr>
                <w:b/>
              </w:rPr>
            </w:pPr>
          </w:p>
        </w:tc>
      </w:tr>
      <w:tr w:rsidR="00F1580E" w:rsidRPr="00F30939" w14:paraId="56E875BA" w14:textId="77777777" w:rsidTr="005C602C">
        <w:trPr>
          <w:cantSplit/>
        </w:trPr>
        <w:tc>
          <w:tcPr>
            <w:tcW w:w="7362" w:type="dxa"/>
          </w:tcPr>
          <w:p w14:paraId="4A98C734" w14:textId="66C8B7E9" w:rsidR="00F1580E" w:rsidRPr="00F30939" w:rsidRDefault="00084F8F" w:rsidP="00F1580E">
            <w:pPr>
              <w:pStyle w:val="BodyTextFirstIndent"/>
              <w:ind w:left="318" w:firstLine="0"/>
            </w:pPr>
            <w:r>
              <w:fldChar w:fldCharType="begin"/>
            </w:r>
            <w:r>
              <w:instrText xml:space="preserve"> REF _Ref34309462 \h </w:instrText>
            </w:r>
            <w:r>
              <w:fldChar w:fldCharType="separate"/>
            </w:r>
            <w:r w:rsidR="00F52F17" w:rsidRPr="000D515D">
              <w:t xml:space="preserve">Audit Findings and Analysis of the Financial Statements for the Year Ended </w:t>
            </w:r>
            <w:r w:rsidR="00F52F17">
              <w:t>31 December 2020</w:t>
            </w:r>
            <w:r>
              <w:fldChar w:fldCharType="end"/>
            </w:r>
          </w:p>
        </w:tc>
        <w:tc>
          <w:tcPr>
            <w:tcW w:w="1185" w:type="dxa"/>
            <w:vAlign w:val="bottom"/>
          </w:tcPr>
          <w:p w14:paraId="621EE949" w14:textId="010A49C8" w:rsidR="00F1580E" w:rsidRPr="00F30939" w:rsidRDefault="00084F8F" w:rsidP="00F1580E">
            <w:pPr>
              <w:jc w:val="center"/>
            </w:pPr>
            <w:r>
              <w:fldChar w:fldCharType="begin"/>
            </w:r>
            <w:r>
              <w:instrText xml:space="preserve"> PAGEREF _Ref34309462 \h </w:instrText>
            </w:r>
            <w:r>
              <w:fldChar w:fldCharType="separate"/>
            </w:r>
            <w:r w:rsidR="00F52F17">
              <w:rPr>
                <w:noProof/>
              </w:rPr>
              <w:t>20</w:t>
            </w:r>
            <w:r>
              <w:fldChar w:fldCharType="end"/>
            </w:r>
          </w:p>
        </w:tc>
      </w:tr>
      <w:tr w:rsidR="00F1580E" w:rsidRPr="00F1580E" w14:paraId="5C1FAE23" w14:textId="77777777" w:rsidTr="005C602C">
        <w:trPr>
          <w:cantSplit/>
        </w:trPr>
        <w:tc>
          <w:tcPr>
            <w:tcW w:w="7362" w:type="dxa"/>
          </w:tcPr>
          <w:p w14:paraId="2E40B5C4" w14:textId="32D57DD7" w:rsidR="00F1580E" w:rsidRPr="004D3C54" w:rsidRDefault="00F1580E" w:rsidP="00F1580E">
            <w:pPr>
              <w:rPr>
                <w:b/>
              </w:rPr>
            </w:pPr>
            <w:r w:rsidRPr="00F1580E">
              <w:rPr>
                <w:b/>
              </w:rPr>
              <w:fldChar w:fldCharType="begin"/>
            </w:r>
            <w:r w:rsidRPr="00F1580E">
              <w:rPr>
                <w:b/>
              </w:rPr>
              <w:instrText xml:space="preserve"> REF _Ref68861642 \h </w:instrText>
            </w:r>
            <w:r>
              <w:rPr>
                <w:b/>
              </w:rPr>
              <w:instrText xml:space="preserve"> \* MERGEFORMAT </w:instrText>
            </w:r>
            <w:r w:rsidRPr="00F1580E">
              <w:rPr>
                <w:b/>
              </w:rPr>
            </w:r>
            <w:r w:rsidRPr="00F1580E">
              <w:rPr>
                <w:b/>
              </w:rPr>
              <w:fldChar w:fldCharType="separate"/>
            </w:r>
            <w:r w:rsidR="00F52F17" w:rsidRPr="00F52F17">
              <w:rPr>
                <w:b/>
              </w:rPr>
              <w:t>Cobourg Peninsula Sanctuary and Marine Park Board</w:t>
            </w:r>
            <w:r w:rsidRPr="00F1580E">
              <w:rPr>
                <w:b/>
              </w:rPr>
              <w:fldChar w:fldCharType="end"/>
            </w:r>
          </w:p>
        </w:tc>
        <w:tc>
          <w:tcPr>
            <w:tcW w:w="1185" w:type="dxa"/>
            <w:vAlign w:val="bottom"/>
          </w:tcPr>
          <w:p w14:paraId="0389E4EB" w14:textId="77777777" w:rsidR="00F1580E" w:rsidRPr="00F1580E" w:rsidRDefault="00F1580E" w:rsidP="00F1580E">
            <w:pPr>
              <w:rPr>
                <w:b/>
              </w:rPr>
            </w:pPr>
          </w:p>
        </w:tc>
      </w:tr>
      <w:tr w:rsidR="00F1580E" w:rsidRPr="00F30939" w14:paraId="3D31254E" w14:textId="77777777" w:rsidTr="005C602C">
        <w:trPr>
          <w:cantSplit/>
        </w:trPr>
        <w:tc>
          <w:tcPr>
            <w:tcW w:w="7362" w:type="dxa"/>
          </w:tcPr>
          <w:p w14:paraId="752E2EB0" w14:textId="5F51ED67" w:rsidR="00F1580E" w:rsidRPr="00F30939" w:rsidRDefault="00084F8F" w:rsidP="00F1580E">
            <w:pPr>
              <w:pStyle w:val="BodyTextFirstIndent"/>
              <w:ind w:left="318" w:firstLine="0"/>
            </w:pPr>
            <w:r>
              <w:fldChar w:fldCharType="begin"/>
            </w:r>
            <w:r>
              <w:instrText xml:space="preserve"> REF _Ref58243385 \h </w:instrText>
            </w:r>
            <w:r>
              <w:fldChar w:fldCharType="separate"/>
            </w:r>
            <w:r w:rsidR="00F52F17" w:rsidRPr="000D515D">
              <w:t xml:space="preserve">Audit Findings and Analysis of the Financial Statements for the Year Ended 30 June </w:t>
            </w:r>
            <w:r w:rsidR="00F52F17">
              <w:t>2020</w:t>
            </w:r>
            <w:r>
              <w:fldChar w:fldCharType="end"/>
            </w:r>
          </w:p>
        </w:tc>
        <w:tc>
          <w:tcPr>
            <w:tcW w:w="1185" w:type="dxa"/>
            <w:vAlign w:val="bottom"/>
          </w:tcPr>
          <w:p w14:paraId="07C21F23" w14:textId="50E92855" w:rsidR="00F1580E" w:rsidRPr="00F30939" w:rsidRDefault="00084F8F" w:rsidP="00F1580E">
            <w:pPr>
              <w:jc w:val="center"/>
            </w:pPr>
            <w:r>
              <w:fldChar w:fldCharType="begin"/>
            </w:r>
            <w:r>
              <w:instrText xml:space="preserve"> PAGEREF _Ref58243385 \h </w:instrText>
            </w:r>
            <w:r>
              <w:fldChar w:fldCharType="separate"/>
            </w:r>
            <w:r w:rsidR="00F52F17">
              <w:rPr>
                <w:noProof/>
              </w:rPr>
              <w:t>24</w:t>
            </w:r>
            <w:r>
              <w:fldChar w:fldCharType="end"/>
            </w:r>
          </w:p>
        </w:tc>
      </w:tr>
      <w:tr w:rsidR="004008E9" w:rsidRPr="00F30939" w14:paraId="795083CC" w14:textId="77777777" w:rsidTr="005C602C">
        <w:trPr>
          <w:cantSplit/>
        </w:trPr>
        <w:tc>
          <w:tcPr>
            <w:tcW w:w="7362" w:type="dxa"/>
          </w:tcPr>
          <w:p w14:paraId="34126446" w14:textId="77777777" w:rsidR="004008E9" w:rsidRPr="004D3C54" w:rsidRDefault="004008E9" w:rsidP="004008E9">
            <w:pPr>
              <w:rPr>
                <w:b/>
              </w:rPr>
            </w:pPr>
            <w:r w:rsidRPr="004D3C54">
              <w:rPr>
                <w:b/>
              </w:rPr>
              <w:t>Department of</w:t>
            </w:r>
            <w:r>
              <w:rPr>
                <w:b/>
              </w:rPr>
              <w:t xml:space="preserve"> Corporate and Digital Development</w:t>
            </w:r>
          </w:p>
        </w:tc>
        <w:tc>
          <w:tcPr>
            <w:tcW w:w="1185" w:type="dxa"/>
            <w:vAlign w:val="bottom"/>
          </w:tcPr>
          <w:p w14:paraId="409D9B02" w14:textId="77777777" w:rsidR="004008E9" w:rsidRPr="00F30939" w:rsidRDefault="004008E9" w:rsidP="004008E9">
            <w:pPr>
              <w:jc w:val="center"/>
            </w:pPr>
          </w:p>
        </w:tc>
      </w:tr>
      <w:tr w:rsidR="00297734" w:rsidRPr="00F30939" w14:paraId="4437E9DE" w14:textId="77777777" w:rsidTr="00443CD8">
        <w:trPr>
          <w:cantSplit/>
        </w:trPr>
        <w:tc>
          <w:tcPr>
            <w:tcW w:w="7362" w:type="dxa"/>
          </w:tcPr>
          <w:p w14:paraId="1B514691" w14:textId="4333D7AA" w:rsidR="00297734" w:rsidRPr="004D3C54" w:rsidRDefault="00297734" w:rsidP="00443CD8">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180CF5A1" w14:textId="1AFEB330" w:rsidR="00297734" w:rsidRPr="00F30939" w:rsidRDefault="00297734" w:rsidP="00443CD8">
            <w:pPr>
              <w:jc w:val="center"/>
            </w:pPr>
            <w:r>
              <w:fldChar w:fldCharType="begin"/>
            </w:r>
            <w:r>
              <w:instrText xml:space="preserve"> PAGEREF _Ref78888323 \h </w:instrText>
            </w:r>
            <w:r>
              <w:fldChar w:fldCharType="separate"/>
            </w:r>
            <w:r w:rsidR="00F52F17">
              <w:rPr>
                <w:noProof/>
              </w:rPr>
              <w:t>50</w:t>
            </w:r>
            <w:r>
              <w:fldChar w:fldCharType="end"/>
            </w:r>
          </w:p>
        </w:tc>
      </w:tr>
      <w:tr w:rsidR="005851A7" w:rsidRPr="00F30939" w14:paraId="7D65C4FE" w14:textId="77777777" w:rsidTr="00443CD8">
        <w:trPr>
          <w:cantSplit/>
        </w:trPr>
        <w:tc>
          <w:tcPr>
            <w:tcW w:w="7362" w:type="dxa"/>
          </w:tcPr>
          <w:p w14:paraId="3013D552" w14:textId="385DE327" w:rsidR="005851A7" w:rsidRDefault="005851A7" w:rsidP="005851A7">
            <w:pPr>
              <w:pStyle w:val="BodyTextFirstIndent"/>
              <w:ind w:left="318" w:firstLine="0"/>
              <w:rPr>
                <w:b/>
              </w:rPr>
            </w:pPr>
            <w:r>
              <w:rPr>
                <w:b/>
              </w:rPr>
              <w:fldChar w:fldCharType="begin"/>
            </w:r>
            <w:r>
              <w:rPr>
                <w:b/>
              </w:rPr>
              <w:instrText xml:space="preserve"> REF Closedown \h </w:instrText>
            </w:r>
            <w:r>
              <w:rPr>
                <w:b/>
              </w:rPr>
            </w:r>
            <w:r>
              <w:rPr>
                <w:b/>
              </w:rPr>
              <w:fldChar w:fldCharType="separate"/>
            </w:r>
            <w:r w:rsidR="00F52F17">
              <w:t>Close-down leave</w:t>
            </w:r>
            <w:r>
              <w:rPr>
                <w:b/>
              </w:rPr>
              <w:fldChar w:fldCharType="end"/>
            </w:r>
          </w:p>
        </w:tc>
        <w:tc>
          <w:tcPr>
            <w:tcW w:w="1185" w:type="dxa"/>
            <w:vAlign w:val="bottom"/>
          </w:tcPr>
          <w:p w14:paraId="03EB854E" w14:textId="265E45BA" w:rsidR="005851A7" w:rsidRDefault="005851A7" w:rsidP="005851A7">
            <w:pPr>
              <w:jc w:val="center"/>
            </w:pPr>
            <w:r>
              <w:fldChar w:fldCharType="begin"/>
            </w:r>
            <w:r>
              <w:instrText xml:space="preserve"> PAGEREF _Ref79990850 \h </w:instrText>
            </w:r>
            <w:r>
              <w:fldChar w:fldCharType="separate"/>
            </w:r>
            <w:r w:rsidR="00F52F17">
              <w:rPr>
                <w:noProof/>
              </w:rPr>
              <w:t>59</w:t>
            </w:r>
            <w:r>
              <w:fldChar w:fldCharType="end"/>
            </w:r>
          </w:p>
        </w:tc>
      </w:tr>
      <w:tr w:rsidR="0025700B" w:rsidRPr="00F30939" w14:paraId="154B4924" w14:textId="77777777" w:rsidTr="005C602C">
        <w:trPr>
          <w:cantSplit/>
        </w:trPr>
        <w:tc>
          <w:tcPr>
            <w:tcW w:w="7362" w:type="dxa"/>
          </w:tcPr>
          <w:p w14:paraId="10EC37B4" w14:textId="492AAF8A" w:rsidR="0025700B" w:rsidRPr="00F30939" w:rsidRDefault="0025700B" w:rsidP="00672BA8">
            <w:pPr>
              <w:pStyle w:val="BodyTextFirstIndent"/>
              <w:ind w:left="318" w:firstLine="0"/>
            </w:pPr>
            <w:r>
              <w:fldChar w:fldCharType="begin"/>
            </w:r>
            <w:r>
              <w:instrText xml:space="preserve"> REF _Ref74894097 \h </w:instrText>
            </w:r>
            <w:r>
              <w:fldChar w:fldCharType="separate"/>
            </w:r>
            <w:r w:rsidR="00F52F17" w:rsidRPr="0004605C">
              <w:t>Identity and Access Management</w:t>
            </w:r>
            <w:r w:rsidR="00F52F17">
              <w:t xml:space="preserve"> System </w:t>
            </w:r>
            <w:r w:rsidR="00F52F17" w:rsidRPr="0004605C">
              <w:t>(IAMS) Review</w:t>
            </w:r>
            <w:r>
              <w:fldChar w:fldCharType="end"/>
            </w:r>
          </w:p>
        </w:tc>
        <w:tc>
          <w:tcPr>
            <w:tcW w:w="1185" w:type="dxa"/>
            <w:vAlign w:val="bottom"/>
          </w:tcPr>
          <w:p w14:paraId="5121B5E1" w14:textId="78E0FFF3" w:rsidR="0025700B" w:rsidRPr="00F30939" w:rsidRDefault="0025700B" w:rsidP="00672BA8">
            <w:pPr>
              <w:jc w:val="center"/>
            </w:pPr>
            <w:r>
              <w:fldChar w:fldCharType="begin"/>
            </w:r>
            <w:r>
              <w:instrText xml:space="preserve"> PAGEREF _Ref74894097 \h </w:instrText>
            </w:r>
            <w:r>
              <w:fldChar w:fldCharType="separate"/>
            </w:r>
            <w:r w:rsidR="00F52F17">
              <w:rPr>
                <w:noProof/>
              </w:rPr>
              <w:t>45</w:t>
            </w:r>
            <w:r>
              <w:fldChar w:fldCharType="end"/>
            </w:r>
          </w:p>
        </w:tc>
      </w:tr>
      <w:tr w:rsidR="004008E9" w:rsidRPr="00F30939" w14:paraId="35BF55F5" w14:textId="77777777" w:rsidTr="005C602C">
        <w:trPr>
          <w:cantSplit/>
        </w:trPr>
        <w:tc>
          <w:tcPr>
            <w:tcW w:w="7362" w:type="dxa"/>
          </w:tcPr>
          <w:p w14:paraId="20DD34C7" w14:textId="0A74D8B2" w:rsidR="004008E9" w:rsidRPr="00F30939" w:rsidRDefault="0025700B" w:rsidP="004008E9">
            <w:pPr>
              <w:pStyle w:val="BodyTextFirstIndent"/>
              <w:ind w:left="318" w:firstLine="0"/>
            </w:pPr>
            <w:r>
              <w:fldChar w:fldCharType="begin"/>
            </w:r>
            <w:r>
              <w:instrText xml:space="preserve"> REF _Ref74894751 \h </w:instrText>
            </w:r>
            <w:r>
              <w:fldChar w:fldCharType="separate"/>
            </w:r>
            <w:r w:rsidR="00F52F17" w:rsidRPr="0097651E">
              <w:t xml:space="preserve">Integrated Revenue Application </w:t>
            </w:r>
            <w:r w:rsidR="00F52F17">
              <w:t>(INTRA) Review</w:t>
            </w:r>
            <w:r>
              <w:fldChar w:fldCharType="end"/>
            </w:r>
          </w:p>
        </w:tc>
        <w:tc>
          <w:tcPr>
            <w:tcW w:w="1185" w:type="dxa"/>
            <w:vAlign w:val="bottom"/>
          </w:tcPr>
          <w:p w14:paraId="613E7FF2" w14:textId="7020C268" w:rsidR="004008E9" w:rsidRPr="00F30939" w:rsidRDefault="0025700B" w:rsidP="004008E9">
            <w:pPr>
              <w:jc w:val="center"/>
            </w:pPr>
            <w:r>
              <w:fldChar w:fldCharType="begin"/>
            </w:r>
            <w:r>
              <w:instrText xml:space="preserve"> PAGEREF _Ref74894751 \h </w:instrText>
            </w:r>
            <w:r>
              <w:fldChar w:fldCharType="separate"/>
            </w:r>
            <w:r w:rsidR="00F52F17">
              <w:rPr>
                <w:noProof/>
              </w:rPr>
              <w:t>48</w:t>
            </w:r>
            <w:r>
              <w:fldChar w:fldCharType="end"/>
            </w:r>
          </w:p>
        </w:tc>
      </w:tr>
      <w:tr w:rsidR="008C6C5C" w:rsidRPr="00F30939" w14:paraId="3E3BB05A" w14:textId="77777777" w:rsidTr="005C602C">
        <w:trPr>
          <w:cantSplit/>
        </w:trPr>
        <w:tc>
          <w:tcPr>
            <w:tcW w:w="7362" w:type="dxa"/>
          </w:tcPr>
          <w:p w14:paraId="09E5F07E" w14:textId="5F9FC1B6" w:rsidR="008C6C5C" w:rsidRPr="004D3C54" w:rsidRDefault="008C6C5C" w:rsidP="008C6C5C">
            <w:pPr>
              <w:rPr>
                <w:b/>
              </w:rPr>
            </w:pPr>
            <w:r w:rsidRPr="004D3C54">
              <w:rPr>
                <w:b/>
              </w:rPr>
              <w:t>Department of</w:t>
            </w:r>
            <w:r>
              <w:rPr>
                <w:b/>
              </w:rPr>
              <w:t xml:space="preserve"> Education</w:t>
            </w:r>
          </w:p>
        </w:tc>
        <w:tc>
          <w:tcPr>
            <w:tcW w:w="1185" w:type="dxa"/>
            <w:vAlign w:val="bottom"/>
          </w:tcPr>
          <w:p w14:paraId="5547CACB" w14:textId="77777777" w:rsidR="008C6C5C" w:rsidRPr="00F30939" w:rsidRDefault="008C6C5C" w:rsidP="004008E9">
            <w:pPr>
              <w:jc w:val="center"/>
            </w:pPr>
          </w:p>
        </w:tc>
      </w:tr>
      <w:tr w:rsidR="00750599" w:rsidRPr="00F30939" w14:paraId="037F5122" w14:textId="77777777" w:rsidTr="005C602C">
        <w:trPr>
          <w:cantSplit/>
        </w:trPr>
        <w:tc>
          <w:tcPr>
            <w:tcW w:w="7362" w:type="dxa"/>
          </w:tcPr>
          <w:p w14:paraId="0A91FF7F" w14:textId="065A2E73" w:rsidR="00750599" w:rsidRPr="004D3C54" w:rsidRDefault="00750599" w:rsidP="00750599">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1E03667B" w14:textId="47E70F49" w:rsidR="00750599" w:rsidRPr="00F30939" w:rsidRDefault="00750599" w:rsidP="00750599">
            <w:pPr>
              <w:jc w:val="center"/>
            </w:pPr>
            <w:r>
              <w:fldChar w:fldCharType="begin"/>
            </w:r>
            <w:r>
              <w:instrText xml:space="preserve"> PAGEREF _Ref78888323 \h </w:instrText>
            </w:r>
            <w:r>
              <w:fldChar w:fldCharType="separate"/>
            </w:r>
            <w:r w:rsidR="00F52F17">
              <w:rPr>
                <w:noProof/>
              </w:rPr>
              <w:t>50</w:t>
            </w:r>
            <w:r>
              <w:fldChar w:fldCharType="end"/>
            </w:r>
          </w:p>
        </w:tc>
      </w:tr>
      <w:tr w:rsidR="005851A7" w:rsidRPr="00F30939" w14:paraId="1B04501A" w14:textId="77777777" w:rsidTr="005C602C">
        <w:trPr>
          <w:cantSplit/>
        </w:trPr>
        <w:tc>
          <w:tcPr>
            <w:tcW w:w="7362" w:type="dxa"/>
          </w:tcPr>
          <w:p w14:paraId="60FF7D20" w14:textId="0ECC5D09" w:rsidR="005851A7" w:rsidRDefault="005851A7" w:rsidP="005851A7">
            <w:pPr>
              <w:pStyle w:val="BodyTextFirstIndent"/>
              <w:ind w:left="318" w:firstLine="0"/>
              <w:rPr>
                <w:b/>
              </w:rPr>
            </w:pPr>
            <w:r>
              <w:rPr>
                <w:b/>
              </w:rPr>
              <w:fldChar w:fldCharType="begin"/>
            </w:r>
            <w:r>
              <w:rPr>
                <w:b/>
              </w:rPr>
              <w:instrText xml:space="preserve"> REF Closedown \h </w:instrText>
            </w:r>
            <w:r>
              <w:rPr>
                <w:b/>
              </w:rPr>
            </w:r>
            <w:r>
              <w:rPr>
                <w:b/>
              </w:rPr>
              <w:fldChar w:fldCharType="separate"/>
            </w:r>
            <w:r w:rsidR="00F52F17">
              <w:t>Close-down leave</w:t>
            </w:r>
            <w:r>
              <w:rPr>
                <w:b/>
              </w:rPr>
              <w:fldChar w:fldCharType="end"/>
            </w:r>
          </w:p>
        </w:tc>
        <w:tc>
          <w:tcPr>
            <w:tcW w:w="1185" w:type="dxa"/>
            <w:vAlign w:val="bottom"/>
          </w:tcPr>
          <w:p w14:paraId="447015E2" w14:textId="6A266FA8" w:rsidR="005851A7" w:rsidRDefault="005851A7" w:rsidP="005851A7">
            <w:pPr>
              <w:jc w:val="center"/>
            </w:pPr>
            <w:r>
              <w:fldChar w:fldCharType="begin"/>
            </w:r>
            <w:r>
              <w:instrText xml:space="preserve"> PAGEREF _Ref79990850 \h </w:instrText>
            </w:r>
            <w:r>
              <w:fldChar w:fldCharType="separate"/>
            </w:r>
            <w:r w:rsidR="00F52F17">
              <w:rPr>
                <w:noProof/>
              </w:rPr>
              <w:t>59</w:t>
            </w:r>
            <w:r>
              <w:fldChar w:fldCharType="end"/>
            </w:r>
          </w:p>
        </w:tc>
      </w:tr>
      <w:tr w:rsidR="004008E9" w:rsidRPr="00F30939" w14:paraId="05E7DAF9" w14:textId="77777777" w:rsidTr="005C602C">
        <w:trPr>
          <w:cantSplit/>
        </w:trPr>
        <w:tc>
          <w:tcPr>
            <w:tcW w:w="7362" w:type="dxa"/>
          </w:tcPr>
          <w:p w14:paraId="4EA99A0E" w14:textId="77777777" w:rsidR="004008E9" w:rsidRPr="004D3C54" w:rsidRDefault="004008E9" w:rsidP="004008E9">
            <w:pPr>
              <w:rPr>
                <w:b/>
              </w:rPr>
            </w:pPr>
            <w:r w:rsidRPr="004D3C54">
              <w:rPr>
                <w:b/>
              </w:rPr>
              <w:t>Department of</w:t>
            </w:r>
            <w:r>
              <w:rPr>
                <w:b/>
              </w:rPr>
              <w:t xml:space="preserve"> Environment, Parks and Water Security</w:t>
            </w:r>
          </w:p>
        </w:tc>
        <w:tc>
          <w:tcPr>
            <w:tcW w:w="1185" w:type="dxa"/>
            <w:vAlign w:val="bottom"/>
          </w:tcPr>
          <w:p w14:paraId="5B87DAF5" w14:textId="77777777" w:rsidR="004008E9" w:rsidRPr="00F30939" w:rsidRDefault="004008E9" w:rsidP="004008E9">
            <w:pPr>
              <w:jc w:val="center"/>
            </w:pPr>
          </w:p>
        </w:tc>
      </w:tr>
      <w:tr w:rsidR="00750599" w:rsidRPr="00F30939" w14:paraId="62852172" w14:textId="77777777" w:rsidTr="005C602C">
        <w:trPr>
          <w:cantSplit/>
        </w:trPr>
        <w:tc>
          <w:tcPr>
            <w:tcW w:w="7362" w:type="dxa"/>
          </w:tcPr>
          <w:p w14:paraId="64F918B0" w14:textId="6C529FF1" w:rsidR="00750599" w:rsidRPr="004D3C54" w:rsidRDefault="00750599" w:rsidP="00750599">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4334FAC5" w14:textId="6ECE54B1" w:rsidR="00750599" w:rsidRPr="00F30939" w:rsidRDefault="00750599" w:rsidP="00750599">
            <w:pPr>
              <w:jc w:val="center"/>
            </w:pPr>
            <w:r>
              <w:fldChar w:fldCharType="begin"/>
            </w:r>
            <w:r>
              <w:instrText xml:space="preserve"> PAGEREF _Ref78888323 \h </w:instrText>
            </w:r>
            <w:r>
              <w:fldChar w:fldCharType="separate"/>
            </w:r>
            <w:r w:rsidR="00F52F17">
              <w:rPr>
                <w:noProof/>
              </w:rPr>
              <w:t>50</w:t>
            </w:r>
            <w:r>
              <w:fldChar w:fldCharType="end"/>
            </w:r>
          </w:p>
        </w:tc>
      </w:tr>
      <w:tr w:rsidR="005851A7" w:rsidRPr="00F30939" w14:paraId="6D4F0744" w14:textId="77777777" w:rsidTr="005C602C">
        <w:trPr>
          <w:cantSplit/>
        </w:trPr>
        <w:tc>
          <w:tcPr>
            <w:tcW w:w="7362" w:type="dxa"/>
          </w:tcPr>
          <w:p w14:paraId="41343A9F" w14:textId="1FEF7E5F" w:rsidR="005851A7" w:rsidRDefault="005851A7" w:rsidP="005851A7">
            <w:pPr>
              <w:pStyle w:val="BodyTextFirstIndent"/>
              <w:ind w:left="318" w:firstLine="0"/>
              <w:rPr>
                <w:b/>
              </w:rPr>
            </w:pPr>
            <w:r>
              <w:rPr>
                <w:b/>
              </w:rPr>
              <w:fldChar w:fldCharType="begin"/>
            </w:r>
            <w:r>
              <w:rPr>
                <w:b/>
              </w:rPr>
              <w:instrText xml:space="preserve"> REF Closedown \h </w:instrText>
            </w:r>
            <w:r>
              <w:rPr>
                <w:b/>
              </w:rPr>
            </w:r>
            <w:r>
              <w:rPr>
                <w:b/>
              </w:rPr>
              <w:fldChar w:fldCharType="separate"/>
            </w:r>
            <w:r w:rsidR="00F52F17">
              <w:t>Close-down leave</w:t>
            </w:r>
            <w:r>
              <w:rPr>
                <w:b/>
              </w:rPr>
              <w:fldChar w:fldCharType="end"/>
            </w:r>
          </w:p>
        </w:tc>
        <w:tc>
          <w:tcPr>
            <w:tcW w:w="1185" w:type="dxa"/>
            <w:vAlign w:val="bottom"/>
          </w:tcPr>
          <w:p w14:paraId="0BB9ADD9" w14:textId="5D7083F0" w:rsidR="005851A7" w:rsidRDefault="005851A7" w:rsidP="005851A7">
            <w:pPr>
              <w:jc w:val="center"/>
            </w:pPr>
            <w:r>
              <w:fldChar w:fldCharType="begin"/>
            </w:r>
            <w:r>
              <w:instrText xml:space="preserve"> PAGEREF _Ref79990850 \h </w:instrText>
            </w:r>
            <w:r>
              <w:fldChar w:fldCharType="separate"/>
            </w:r>
            <w:r w:rsidR="00F52F17">
              <w:rPr>
                <w:noProof/>
              </w:rPr>
              <w:t>59</w:t>
            </w:r>
            <w:r>
              <w:fldChar w:fldCharType="end"/>
            </w:r>
          </w:p>
        </w:tc>
      </w:tr>
      <w:tr w:rsidR="00297734" w:rsidRPr="00F30939" w14:paraId="0829F614" w14:textId="77777777" w:rsidTr="005C602C">
        <w:trPr>
          <w:cantSplit/>
        </w:trPr>
        <w:tc>
          <w:tcPr>
            <w:tcW w:w="7362" w:type="dxa"/>
          </w:tcPr>
          <w:p w14:paraId="1ABFC733" w14:textId="2239B540" w:rsidR="00297734" w:rsidRDefault="00297734" w:rsidP="00297734">
            <w:pPr>
              <w:pStyle w:val="BodyTextFirstIndent"/>
              <w:ind w:left="318" w:firstLine="0"/>
              <w:rPr>
                <w:b/>
              </w:rPr>
            </w:pPr>
            <w:r>
              <w:fldChar w:fldCharType="begin"/>
            </w:r>
            <w:r>
              <w:instrText xml:space="preserve"> REF Fuel_card \h </w:instrText>
            </w:r>
            <w:r>
              <w:fldChar w:fldCharType="separate"/>
            </w:r>
            <w:r w:rsidR="00F52F17">
              <w:t>Fuel Card Purchases</w:t>
            </w:r>
            <w:r>
              <w:fldChar w:fldCharType="end"/>
            </w:r>
          </w:p>
        </w:tc>
        <w:tc>
          <w:tcPr>
            <w:tcW w:w="1185" w:type="dxa"/>
            <w:vAlign w:val="bottom"/>
          </w:tcPr>
          <w:p w14:paraId="4A49B177" w14:textId="49750A7B" w:rsidR="00297734" w:rsidRDefault="005851A7" w:rsidP="00297734">
            <w:pPr>
              <w:jc w:val="center"/>
            </w:pPr>
            <w:r>
              <w:fldChar w:fldCharType="begin"/>
            </w:r>
            <w:r>
              <w:instrText xml:space="preserve"> PAGEREF _Ref79990791 \h </w:instrText>
            </w:r>
            <w:r>
              <w:fldChar w:fldCharType="separate"/>
            </w:r>
            <w:r w:rsidR="00F52F17">
              <w:rPr>
                <w:noProof/>
              </w:rPr>
              <w:t>80</w:t>
            </w:r>
            <w:r>
              <w:fldChar w:fldCharType="end"/>
            </w:r>
          </w:p>
        </w:tc>
      </w:tr>
      <w:tr w:rsidR="008C6C5C" w:rsidRPr="00F30939" w14:paraId="4BC75288" w14:textId="77777777" w:rsidTr="005C602C">
        <w:trPr>
          <w:cantSplit/>
        </w:trPr>
        <w:tc>
          <w:tcPr>
            <w:tcW w:w="7362" w:type="dxa"/>
          </w:tcPr>
          <w:p w14:paraId="145BAADE" w14:textId="77777777" w:rsidR="008C6C5C" w:rsidRPr="004D3C54" w:rsidRDefault="008C6C5C" w:rsidP="004008E9">
            <w:pPr>
              <w:rPr>
                <w:b/>
              </w:rPr>
            </w:pPr>
            <w:r>
              <w:rPr>
                <w:b/>
              </w:rPr>
              <w:t>Department of Health</w:t>
            </w:r>
          </w:p>
        </w:tc>
        <w:tc>
          <w:tcPr>
            <w:tcW w:w="1185" w:type="dxa"/>
            <w:vAlign w:val="bottom"/>
          </w:tcPr>
          <w:p w14:paraId="1BB6B841" w14:textId="77777777" w:rsidR="008C6C5C" w:rsidRPr="00F30939" w:rsidRDefault="008C6C5C" w:rsidP="004008E9">
            <w:pPr>
              <w:jc w:val="center"/>
            </w:pPr>
          </w:p>
        </w:tc>
      </w:tr>
      <w:tr w:rsidR="00750599" w:rsidRPr="00F30939" w14:paraId="275616A3" w14:textId="77777777" w:rsidTr="005C602C">
        <w:trPr>
          <w:cantSplit/>
        </w:trPr>
        <w:tc>
          <w:tcPr>
            <w:tcW w:w="7362" w:type="dxa"/>
          </w:tcPr>
          <w:p w14:paraId="6AFB2939" w14:textId="2CA2B8E2" w:rsidR="00750599" w:rsidRPr="004D3C54" w:rsidRDefault="00750599" w:rsidP="00750599">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40696BB7" w14:textId="5CBD86F3" w:rsidR="00750599" w:rsidRPr="00F30939" w:rsidRDefault="00750599" w:rsidP="00750599">
            <w:pPr>
              <w:jc w:val="center"/>
            </w:pPr>
            <w:r>
              <w:fldChar w:fldCharType="begin"/>
            </w:r>
            <w:r>
              <w:instrText xml:space="preserve"> PAGEREF _Ref78888323 \h </w:instrText>
            </w:r>
            <w:r>
              <w:fldChar w:fldCharType="separate"/>
            </w:r>
            <w:r w:rsidR="00F52F17">
              <w:rPr>
                <w:noProof/>
              </w:rPr>
              <w:t>50</w:t>
            </w:r>
            <w:r>
              <w:fldChar w:fldCharType="end"/>
            </w:r>
          </w:p>
        </w:tc>
      </w:tr>
    </w:tbl>
    <w:p w14:paraId="3A003D03" w14:textId="70A5D247" w:rsidR="00F05C0F" w:rsidRDefault="00F05C0F"/>
    <w:p w14:paraId="2480D2E0" w14:textId="5101F578" w:rsidR="00F05C0F" w:rsidRDefault="00F05C0F" w:rsidP="00F05C0F">
      <w:pPr>
        <w:pStyle w:val="Heading1-continued"/>
      </w:pPr>
      <w:r w:rsidRPr="00F05C0F">
        <w:t>Contents by Entity</w:t>
      </w:r>
      <w:r>
        <w:t xml:space="preserve"> cont…</w:t>
      </w:r>
    </w:p>
    <w:tbl>
      <w:tblPr>
        <w:tblW w:w="0" w:type="auto"/>
        <w:tblLook w:val="04A0" w:firstRow="1" w:lastRow="0" w:firstColumn="1" w:lastColumn="0" w:noHBand="0" w:noVBand="1"/>
      </w:tblPr>
      <w:tblGrid>
        <w:gridCol w:w="7362"/>
        <w:gridCol w:w="1185"/>
      </w:tblGrid>
      <w:tr w:rsidR="008C6C5C" w:rsidRPr="00F30939" w14:paraId="3091B68D" w14:textId="77777777" w:rsidTr="002E7B17">
        <w:trPr>
          <w:cantSplit/>
          <w:tblHeader/>
        </w:trPr>
        <w:tc>
          <w:tcPr>
            <w:tcW w:w="7362" w:type="dxa"/>
          </w:tcPr>
          <w:p w14:paraId="4665DCA6" w14:textId="1F3CBD38" w:rsidR="008C6C5C" w:rsidRPr="004D3C54" w:rsidRDefault="008C6C5C" w:rsidP="005C602C">
            <w:pPr>
              <w:keepNext/>
              <w:rPr>
                <w:b/>
              </w:rPr>
            </w:pPr>
            <w:r>
              <w:rPr>
                <w:b/>
              </w:rPr>
              <w:t>Department of Industry, Tourism and Trade</w:t>
            </w:r>
          </w:p>
        </w:tc>
        <w:tc>
          <w:tcPr>
            <w:tcW w:w="1185" w:type="dxa"/>
            <w:vAlign w:val="bottom"/>
          </w:tcPr>
          <w:p w14:paraId="4CCEB20F" w14:textId="77777777" w:rsidR="008C6C5C" w:rsidRPr="00F30939" w:rsidRDefault="008C6C5C" w:rsidP="005C602C">
            <w:pPr>
              <w:keepNext/>
              <w:jc w:val="center"/>
            </w:pPr>
          </w:p>
        </w:tc>
      </w:tr>
      <w:tr w:rsidR="00750599" w:rsidRPr="00F30939" w14:paraId="0F1FD8E8" w14:textId="77777777" w:rsidTr="005C602C">
        <w:trPr>
          <w:cantSplit/>
        </w:trPr>
        <w:tc>
          <w:tcPr>
            <w:tcW w:w="7362" w:type="dxa"/>
          </w:tcPr>
          <w:p w14:paraId="29E2D39A" w14:textId="6C0F59D5" w:rsidR="00750599" w:rsidRPr="004D3C54" w:rsidRDefault="00750599" w:rsidP="00750599">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7DDC7FCD" w14:textId="389FAB4F" w:rsidR="00750599" w:rsidRPr="00F30939" w:rsidRDefault="00750599" w:rsidP="00750599">
            <w:pPr>
              <w:jc w:val="center"/>
            </w:pPr>
            <w:r>
              <w:fldChar w:fldCharType="begin"/>
            </w:r>
            <w:r>
              <w:instrText xml:space="preserve"> PAGEREF _Ref78888323 \h </w:instrText>
            </w:r>
            <w:r>
              <w:fldChar w:fldCharType="separate"/>
            </w:r>
            <w:r w:rsidR="00F52F17">
              <w:rPr>
                <w:noProof/>
              </w:rPr>
              <w:t>50</w:t>
            </w:r>
            <w:r>
              <w:fldChar w:fldCharType="end"/>
            </w:r>
          </w:p>
        </w:tc>
      </w:tr>
      <w:tr w:rsidR="005851A7" w:rsidRPr="00F30939" w14:paraId="347111AE" w14:textId="77777777" w:rsidTr="005C602C">
        <w:trPr>
          <w:cantSplit/>
        </w:trPr>
        <w:tc>
          <w:tcPr>
            <w:tcW w:w="7362" w:type="dxa"/>
          </w:tcPr>
          <w:p w14:paraId="57FF6A48" w14:textId="5FE3083E" w:rsidR="005851A7" w:rsidRDefault="005851A7" w:rsidP="005851A7">
            <w:pPr>
              <w:pStyle w:val="BodyTextFirstIndent"/>
              <w:ind w:left="318" w:firstLine="0"/>
              <w:rPr>
                <w:b/>
              </w:rPr>
            </w:pPr>
            <w:r>
              <w:rPr>
                <w:b/>
              </w:rPr>
              <w:fldChar w:fldCharType="begin"/>
            </w:r>
            <w:r>
              <w:rPr>
                <w:b/>
              </w:rPr>
              <w:instrText xml:space="preserve"> REF Closedown \h </w:instrText>
            </w:r>
            <w:r>
              <w:rPr>
                <w:b/>
              </w:rPr>
            </w:r>
            <w:r>
              <w:rPr>
                <w:b/>
              </w:rPr>
              <w:fldChar w:fldCharType="separate"/>
            </w:r>
            <w:r w:rsidR="00F52F17">
              <w:t>Close-down leave</w:t>
            </w:r>
            <w:r>
              <w:rPr>
                <w:b/>
              </w:rPr>
              <w:fldChar w:fldCharType="end"/>
            </w:r>
          </w:p>
        </w:tc>
        <w:tc>
          <w:tcPr>
            <w:tcW w:w="1185" w:type="dxa"/>
            <w:vAlign w:val="bottom"/>
          </w:tcPr>
          <w:p w14:paraId="7C9D2A6A" w14:textId="1D13D604" w:rsidR="005851A7" w:rsidRDefault="005851A7" w:rsidP="005851A7">
            <w:pPr>
              <w:jc w:val="center"/>
            </w:pPr>
            <w:r>
              <w:fldChar w:fldCharType="begin"/>
            </w:r>
            <w:r>
              <w:instrText xml:space="preserve"> PAGEREF _Ref79990850 \h </w:instrText>
            </w:r>
            <w:r>
              <w:fldChar w:fldCharType="separate"/>
            </w:r>
            <w:r w:rsidR="00F52F17">
              <w:rPr>
                <w:noProof/>
              </w:rPr>
              <w:t>59</w:t>
            </w:r>
            <w:r>
              <w:fldChar w:fldCharType="end"/>
            </w:r>
          </w:p>
        </w:tc>
      </w:tr>
      <w:tr w:rsidR="008C6C5C" w:rsidRPr="00F30939" w14:paraId="440A16F5" w14:textId="77777777" w:rsidTr="005C602C">
        <w:trPr>
          <w:cantSplit/>
        </w:trPr>
        <w:tc>
          <w:tcPr>
            <w:tcW w:w="7362" w:type="dxa"/>
          </w:tcPr>
          <w:p w14:paraId="0AF3AA05" w14:textId="3FE996BC" w:rsidR="008C6C5C" w:rsidRPr="004D3C54" w:rsidRDefault="008C6C5C" w:rsidP="008C6C5C">
            <w:pPr>
              <w:rPr>
                <w:b/>
              </w:rPr>
            </w:pPr>
            <w:r>
              <w:rPr>
                <w:b/>
              </w:rPr>
              <w:t>Department of Infrastructure, Planning and Logistics</w:t>
            </w:r>
          </w:p>
        </w:tc>
        <w:tc>
          <w:tcPr>
            <w:tcW w:w="1185" w:type="dxa"/>
            <w:vAlign w:val="bottom"/>
          </w:tcPr>
          <w:p w14:paraId="40CE43C1" w14:textId="77777777" w:rsidR="008C6C5C" w:rsidRPr="00F30939" w:rsidRDefault="008C6C5C" w:rsidP="004008E9">
            <w:pPr>
              <w:jc w:val="center"/>
            </w:pPr>
          </w:p>
        </w:tc>
      </w:tr>
      <w:tr w:rsidR="00750599" w:rsidRPr="00F30939" w14:paraId="74910FE8" w14:textId="77777777" w:rsidTr="005C602C">
        <w:trPr>
          <w:cantSplit/>
        </w:trPr>
        <w:tc>
          <w:tcPr>
            <w:tcW w:w="7362" w:type="dxa"/>
          </w:tcPr>
          <w:p w14:paraId="46B473CC" w14:textId="45476991" w:rsidR="00750599" w:rsidRPr="004D3C54" w:rsidRDefault="00750599" w:rsidP="00750599">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13CB2D2F" w14:textId="0DB1C975" w:rsidR="00750599" w:rsidRPr="00F30939" w:rsidRDefault="00750599" w:rsidP="00750599">
            <w:pPr>
              <w:jc w:val="center"/>
            </w:pPr>
            <w:r>
              <w:fldChar w:fldCharType="begin"/>
            </w:r>
            <w:r>
              <w:instrText xml:space="preserve"> PAGEREF _Ref78888323 \h </w:instrText>
            </w:r>
            <w:r>
              <w:fldChar w:fldCharType="separate"/>
            </w:r>
            <w:r w:rsidR="00F52F17">
              <w:rPr>
                <w:noProof/>
              </w:rPr>
              <w:t>50</w:t>
            </w:r>
            <w:r>
              <w:fldChar w:fldCharType="end"/>
            </w:r>
          </w:p>
        </w:tc>
      </w:tr>
      <w:tr w:rsidR="005851A7" w:rsidRPr="00F30939" w14:paraId="06FEA819" w14:textId="77777777" w:rsidTr="005C602C">
        <w:trPr>
          <w:cantSplit/>
        </w:trPr>
        <w:tc>
          <w:tcPr>
            <w:tcW w:w="7362" w:type="dxa"/>
          </w:tcPr>
          <w:p w14:paraId="72E7106C" w14:textId="7D6C1876" w:rsidR="005851A7" w:rsidRDefault="005851A7" w:rsidP="005851A7">
            <w:pPr>
              <w:pStyle w:val="BodyTextFirstIndent"/>
              <w:ind w:left="318" w:firstLine="0"/>
              <w:rPr>
                <w:b/>
              </w:rPr>
            </w:pPr>
            <w:r>
              <w:rPr>
                <w:b/>
              </w:rPr>
              <w:fldChar w:fldCharType="begin"/>
            </w:r>
            <w:r>
              <w:rPr>
                <w:b/>
              </w:rPr>
              <w:instrText xml:space="preserve"> REF Closedown \h </w:instrText>
            </w:r>
            <w:r>
              <w:rPr>
                <w:b/>
              </w:rPr>
            </w:r>
            <w:r>
              <w:rPr>
                <w:b/>
              </w:rPr>
              <w:fldChar w:fldCharType="separate"/>
            </w:r>
            <w:r w:rsidR="00F52F17">
              <w:t>Close-down leave</w:t>
            </w:r>
            <w:r>
              <w:rPr>
                <w:b/>
              </w:rPr>
              <w:fldChar w:fldCharType="end"/>
            </w:r>
          </w:p>
        </w:tc>
        <w:tc>
          <w:tcPr>
            <w:tcW w:w="1185" w:type="dxa"/>
            <w:vAlign w:val="bottom"/>
          </w:tcPr>
          <w:p w14:paraId="256DF938" w14:textId="338F263C" w:rsidR="005851A7" w:rsidRDefault="005851A7" w:rsidP="005851A7">
            <w:pPr>
              <w:jc w:val="center"/>
            </w:pPr>
            <w:r>
              <w:fldChar w:fldCharType="begin"/>
            </w:r>
            <w:r>
              <w:instrText xml:space="preserve"> PAGEREF _Ref79990850 \h </w:instrText>
            </w:r>
            <w:r>
              <w:fldChar w:fldCharType="separate"/>
            </w:r>
            <w:r w:rsidR="00F52F17">
              <w:rPr>
                <w:noProof/>
              </w:rPr>
              <w:t>59</w:t>
            </w:r>
            <w:r>
              <w:fldChar w:fldCharType="end"/>
            </w:r>
          </w:p>
        </w:tc>
      </w:tr>
      <w:tr w:rsidR="008C6C5C" w:rsidRPr="00F30939" w14:paraId="0FB2F279" w14:textId="77777777" w:rsidTr="005C602C">
        <w:trPr>
          <w:cantSplit/>
        </w:trPr>
        <w:tc>
          <w:tcPr>
            <w:tcW w:w="7362" w:type="dxa"/>
          </w:tcPr>
          <w:p w14:paraId="75701904" w14:textId="16F217AD" w:rsidR="008C6C5C" w:rsidRPr="004D3C54" w:rsidRDefault="008C6C5C" w:rsidP="0025700B">
            <w:pPr>
              <w:keepNext/>
              <w:rPr>
                <w:b/>
              </w:rPr>
            </w:pPr>
            <w:r>
              <w:rPr>
                <w:b/>
              </w:rPr>
              <w:t>Department of Territory Families, Housing and Communities</w:t>
            </w:r>
          </w:p>
        </w:tc>
        <w:tc>
          <w:tcPr>
            <w:tcW w:w="1185" w:type="dxa"/>
            <w:vAlign w:val="bottom"/>
          </w:tcPr>
          <w:p w14:paraId="687C9D7F" w14:textId="77777777" w:rsidR="008C6C5C" w:rsidRPr="00F30939" w:rsidRDefault="008C6C5C" w:rsidP="0025700B">
            <w:pPr>
              <w:keepNext/>
              <w:jc w:val="center"/>
            </w:pPr>
          </w:p>
        </w:tc>
      </w:tr>
      <w:tr w:rsidR="00750599" w:rsidRPr="00F30939" w14:paraId="588DDB6B" w14:textId="77777777" w:rsidTr="005C602C">
        <w:trPr>
          <w:cantSplit/>
        </w:trPr>
        <w:tc>
          <w:tcPr>
            <w:tcW w:w="7362" w:type="dxa"/>
          </w:tcPr>
          <w:p w14:paraId="097EBF6F" w14:textId="6F36BB7C" w:rsidR="00750599" w:rsidRPr="004D3C54" w:rsidRDefault="00750599" w:rsidP="00750599">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5E82BCB2" w14:textId="651438A7" w:rsidR="00750599" w:rsidRPr="00F30939" w:rsidRDefault="00750599" w:rsidP="00750599">
            <w:pPr>
              <w:jc w:val="center"/>
            </w:pPr>
            <w:r>
              <w:fldChar w:fldCharType="begin"/>
            </w:r>
            <w:r>
              <w:instrText xml:space="preserve"> PAGEREF _Ref78888323 \h </w:instrText>
            </w:r>
            <w:r>
              <w:fldChar w:fldCharType="separate"/>
            </w:r>
            <w:r w:rsidR="00F52F17">
              <w:rPr>
                <w:noProof/>
              </w:rPr>
              <w:t>50</w:t>
            </w:r>
            <w:r>
              <w:fldChar w:fldCharType="end"/>
            </w:r>
          </w:p>
        </w:tc>
      </w:tr>
      <w:tr w:rsidR="005851A7" w:rsidRPr="00F30939" w14:paraId="765248AE" w14:textId="77777777" w:rsidTr="005C602C">
        <w:trPr>
          <w:cantSplit/>
        </w:trPr>
        <w:tc>
          <w:tcPr>
            <w:tcW w:w="7362" w:type="dxa"/>
          </w:tcPr>
          <w:p w14:paraId="7233F993" w14:textId="2D2B042B" w:rsidR="005851A7" w:rsidRDefault="005851A7" w:rsidP="005851A7">
            <w:pPr>
              <w:pStyle w:val="BodyTextFirstIndent"/>
              <w:ind w:left="318" w:firstLine="0"/>
              <w:rPr>
                <w:b/>
              </w:rPr>
            </w:pPr>
            <w:r>
              <w:rPr>
                <w:b/>
              </w:rPr>
              <w:fldChar w:fldCharType="begin"/>
            </w:r>
            <w:r>
              <w:rPr>
                <w:b/>
              </w:rPr>
              <w:instrText xml:space="preserve"> REF Closedown \h </w:instrText>
            </w:r>
            <w:r>
              <w:rPr>
                <w:b/>
              </w:rPr>
            </w:r>
            <w:r>
              <w:rPr>
                <w:b/>
              </w:rPr>
              <w:fldChar w:fldCharType="separate"/>
            </w:r>
            <w:r w:rsidR="00F52F17">
              <w:t>Close-down leave</w:t>
            </w:r>
            <w:r>
              <w:rPr>
                <w:b/>
              </w:rPr>
              <w:fldChar w:fldCharType="end"/>
            </w:r>
          </w:p>
        </w:tc>
        <w:tc>
          <w:tcPr>
            <w:tcW w:w="1185" w:type="dxa"/>
            <w:vAlign w:val="bottom"/>
          </w:tcPr>
          <w:p w14:paraId="4EFA606E" w14:textId="01CF111F" w:rsidR="005851A7" w:rsidRDefault="005851A7" w:rsidP="005851A7">
            <w:pPr>
              <w:jc w:val="center"/>
            </w:pPr>
            <w:r>
              <w:fldChar w:fldCharType="begin"/>
            </w:r>
            <w:r>
              <w:instrText xml:space="preserve"> PAGEREF _Ref79990850 \h </w:instrText>
            </w:r>
            <w:r>
              <w:fldChar w:fldCharType="separate"/>
            </w:r>
            <w:r w:rsidR="00F52F17">
              <w:rPr>
                <w:noProof/>
              </w:rPr>
              <w:t>59</w:t>
            </w:r>
            <w:r>
              <w:fldChar w:fldCharType="end"/>
            </w:r>
          </w:p>
        </w:tc>
      </w:tr>
      <w:tr w:rsidR="004008E9" w:rsidRPr="00F30939" w14:paraId="51B0306B" w14:textId="77777777" w:rsidTr="005C602C">
        <w:trPr>
          <w:cantSplit/>
        </w:trPr>
        <w:tc>
          <w:tcPr>
            <w:tcW w:w="7362" w:type="dxa"/>
          </w:tcPr>
          <w:p w14:paraId="3515E2CA" w14:textId="77777777" w:rsidR="004008E9" w:rsidRPr="004D3C54" w:rsidRDefault="004008E9" w:rsidP="004008E9">
            <w:pPr>
              <w:rPr>
                <w:b/>
              </w:rPr>
            </w:pPr>
            <w:r w:rsidRPr="004D3C54">
              <w:rPr>
                <w:b/>
              </w:rPr>
              <w:t>Department of</w:t>
            </w:r>
            <w:r>
              <w:rPr>
                <w:b/>
              </w:rPr>
              <w:t xml:space="preserve"> the Attorney-General and Justice</w:t>
            </w:r>
          </w:p>
        </w:tc>
        <w:tc>
          <w:tcPr>
            <w:tcW w:w="1185" w:type="dxa"/>
            <w:vAlign w:val="bottom"/>
          </w:tcPr>
          <w:p w14:paraId="23AA273E" w14:textId="77777777" w:rsidR="004008E9" w:rsidRPr="00F30939" w:rsidRDefault="004008E9" w:rsidP="004008E9">
            <w:pPr>
              <w:jc w:val="center"/>
            </w:pPr>
          </w:p>
        </w:tc>
      </w:tr>
      <w:tr w:rsidR="00750599" w:rsidRPr="00F30939" w14:paraId="20290CAD" w14:textId="77777777" w:rsidTr="005C602C">
        <w:trPr>
          <w:cantSplit/>
        </w:trPr>
        <w:tc>
          <w:tcPr>
            <w:tcW w:w="7362" w:type="dxa"/>
          </w:tcPr>
          <w:p w14:paraId="6F3E49DE" w14:textId="1BCBE472" w:rsidR="00750599" w:rsidRPr="004D3C54" w:rsidRDefault="00750599" w:rsidP="00750599">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43A4B10D" w14:textId="5898F74C" w:rsidR="00750599" w:rsidRPr="00F30939" w:rsidRDefault="00750599" w:rsidP="00750599">
            <w:pPr>
              <w:jc w:val="center"/>
            </w:pPr>
            <w:r>
              <w:fldChar w:fldCharType="begin"/>
            </w:r>
            <w:r>
              <w:instrText xml:space="preserve"> PAGEREF _Ref78888323 \h </w:instrText>
            </w:r>
            <w:r>
              <w:fldChar w:fldCharType="separate"/>
            </w:r>
            <w:r w:rsidR="00F52F17">
              <w:rPr>
                <w:noProof/>
              </w:rPr>
              <w:t>50</w:t>
            </w:r>
            <w:r>
              <w:fldChar w:fldCharType="end"/>
            </w:r>
          </w:p>
        </w:tc>
      </w:tr>
      <w:tr w:rsidR="004008E9" w:rsidRPr="00F30939" w14:paraId="2D5D588A" w14:textId="77777777" w:rsidTr="005C602C">
        <w:trPr>
          <w:cantSplit/>
        </w:trPr>
        <w:tc>
          <w:tcPr>
            <w:tcW w:w="7362" w:type="dxa"/>
          </w:tcPr>
          <w:p w14:paraId="61D8113A" w14:textId="77777777" w:rsidR="004008E9" w:rsidRPr="004D3C54" w:rsidRDefault="004008E9" w:rsidP="004008E9">
            <w:pPr>
              <w:rPr>
                <w:b/>
              </w:rPr>
            </w:pPr>
            <w:r w:rsidRPr="004D3C54">
              <w:rPr>
                <w:b/>
              </w:rPr>
              <w:t>Department of</w:t>
            </w:r>
            <w:r>
              <w:rPr>
                <w:b/>
              </w:rPr>
              <w:t xml:space="preserve"> the Chief Minister and Cabinet</w:t>
            </w:r>
          </w:p>
        </w:tc>
        <w:tc>
          <w:tcPr>
            <w:tcW w:w="1185" w:type="dxa"/>
            <w:vAlign w:val="bottom"/>
          </w:tcPr>
          <w:p w14:paraId="3919C9BE" w14:textId="77777777" w:rsidR="004008E9" w:rsidRPr="00F30939" w:rsidRDefault="004008E9" w:rsidP="004008E9">
            <w:pPr>
              <w:jc w:val="center"/>
            </w:pPr>
          </w:p>
        </w:tc>
      </w:tr>
      <w:tr w:rsidR="00750599" w:rsidRPr="00F30939" w14:paraId="0A7A6CE5" w14:textId="77777777" w:rsidTr="005C602C">
        <w:trPr>
          <w:cantSplit/>
        </w:trPr>
        <w:tc>
          <w:tcPr>
            <w:tcW w:w="7362" w:type="dxa"/>
          </w:tcPr>
          <w:p w14:paraId="711A69CA" w14:textId="3B0A7696" w:rsidR="00750599" w:rsidRPr="004D3C54" w:rsidRDefault="00750599" w:rsidP="00750599">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1D596B69" w14:textId="5023E1EF" w:rsidR="00750599" w:rsidRPr="00F30939" w:rsidRDefault="00750599" w:rsidP="00750599">
            <w:pPr>
              <w:jc w:val="center"/>
            </w:pPr>
            <w:r>
              <w:fldChar w:fldCharType="begin"/>
            </w:r>
            <w:r>
              <w:instrText xml:space="preserve"> PAGEREF _Ref78888323 \h </w:instrText>
            </w:r>
            <w:r>
              <w:fldChar w:fldCharType="separate"/>
            </w:r>
            <w:r w:rsidR="00F52F17">
              <w:rPr>
                <w:noProof/>
              </w:rPr>
              <w:t>50</w:t>
            </w:r>
            <w:r>
              <w:fldChar w:fldCharType="end"/>
            </w:r>
          </w:p>
        </w:tc>
      </w:tr>
      <w:tr w:rsidR="005851A7" w:rsidRPr="00F30939" w14:paraId="6B800740" w14:textId="77777777" w:rsidTr="005C602C">
        <w:trPr>
          <w:cantSplit/>
        </w:trPr>
        <w:tc>
          <w:tcPr>
            <w:tcW w:w="7362" w:type="dxa"/>
          </w:tcPr>
          <w:p w14:paraId="227F0CA7" w14:textId="67D757B5" w:rsidR="005851A7" w:rsidRDefault="005851A7" w:rsidP="005851A7">
            <w:pPr>
              <w:pStyle w:val="BodyTextFirstIndent"/>
              <w:ind w:left="318" w:firstLine="0"/>
              <w:rPr>
                <w:b/>
              </w:rPr>
            </w:pPr>
            <w:r>
              <w:rPr>
                <w:b/>
              </w:rPr>
              <w:fldChar w:fldCharType="begin"/>
            </w:r>
            <w:r>
              <w:rPr>
                <w:b/>
              </w:rPr>
              <w:instrText xml:space="preserve"> REF Closedown \h </w:instrText>
            </w:r>
            <w:r>
              <w:rPr>
                <w:b/>
              </w:rPr>
            </w:r>
            <w:r>
              <w:rPr>
                <w:b/>
              </w:rPr>
              <w:fldChar w:fldCharType="separate"/>
            </w:r>
            <w:r w:rsidR="00F52F17">
              <w:t>Close-down leave</w:t>
            </w:r>
            <w:r>
              <w:rPr>
                <w:b/>
              </w:rPr>
              <w:fldChar w:fldCharType="end"/>
            </w:r>
          </w:p>
        </w:tc>
        <w:tc>
          <w:tcPr>
            <w:tcW w:w="1185" w:type="dxa"/>
            <w:vAlign w:val="bottom"/>
          </w:tcPr>
          <w:p w14:paraId="7F153430" w14:textId="5831ABBF" w:rsidR="005851A7" w:rsidRDefault="005851A7" w:rsidP="005851A7">
            <w:pPr>
              <w:jc w:val="center"/>
            </w:pPr>
            <w:r>
              <w:fldChar w:fldCharType="begin"/>
            </w:r>
            <w:r>
              <w:instrText xml:space="preserve"> PAGEREF _Ref79990850 \h </w:instrText>
            </w:r>
            <w:r>
              <w:fldChar w:fldCharType="separate"/>
            </w:r>
            <w:r w:rsidR="00F52F17">
              <w:rPr>
                <w:noProof/>
              </w:rPr>
              <w:t>59</w:t>
            </w:r>
            <w:r>
              <w:fldChar w:fldCharType="end"/>
            </w:r>
          </w:p>
        </w:tc>
      </w:tr>
      <w:tr w:rsidR="004008E9" w:rsidRPr="00F30939" w14:paraId="0D788EA0" w14:textId="77777777" w:rsidTr="005C602C">
        <w:trPr>
          <w:cantSplit/>
        </w:trPr>
        <w:tc>
          <w:tcPr>
            <w:tcW w:w="7362" w:type="dxa"/>
          </w:tcPr>
          <w:p w14:paraId="15B04730" w14:textId="77777777" w:rsidR="004008E9" w:rsidRPr="004D3C54" w:rsidRDefault="004008E9" w:rsidP="004008E9">
            <w:pPr>
              <w:rPr>
                <w:b/>
              </w:rPr>
            </w:pPr>
            <w:r w:rsidRPr="004D3C54">
              <w:rPr>
                <w:b/>
              </w:rPr>
              <w:t>Department of</w:t>
            </w:r>
            <w:r>
              <w:rPr>
                <w:b/>
              </w:rPr>
              <w:t xml:space="preserve"> the Legislative Assembly</w:t>
            </w:r>
          </w:p>
        </w:tc>
        <w:tc>
          <w:tcPr>
            <w:tcW w:w="1185" w:type="dxa"/>
            <w:vAlign w:val="bottom"/>
          </w:tcPr>
          <w:p w14:paraId="26A7C68B" w14:textId="77777777" w:rsidR="004008E9" w:rsidRPr="00F30939" w:rsidRDefault="004008E9" w:rsidP="004008E9">
            <w:pPr>
              <w:jc w:val="center"/>
            </w:pPr>
          </w:p>
        </w:tc>
      </w:tr>
      <w:tr w:rsidR="00750599" w:rsidRPr="00F30939" w14:paraId="5B00242C" w14:textId="77777777" w:rsidTr="005C602C">
        <w:trPr>
          <w:cantSplit/>
        </w:trPr>
        <w:tc>
          <w:tcPr>
            <w:tcW w:w="7362" w:type="dxa"/>
          </w:tcPr>
          <w:p w14:paraId="65045894" w14:textId="5F7C762B" w:rsidR="00750599" w:rsidRPr="004D3C54" w:rsidRDefault="00750599" w:rsidP="00750599">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72C71867" w14:textId="3857F4A8" w:rsidR="00750599" w:rsidRPr="00F30939" w:rsidRDefault="00750599" w:rsidP="00750599">
            <w:pPr>
              <w:jc w:val="center"/>
            </w:pPr>
            <w:r>
              <w:fldChar w:fldCharType="begin"/>
            </w:r>
            <w:r>
              <w:instrText xml:space="preserve"> PAGEREF _Ref78888323 \h </w:instrText>
            </w:r>
            <w:r>
              <w:fldChar w:fldCharType="separate"/>
            </w:r>
            <w:r w:rsidR="00F52F17">
              <w:rPr>
                <w:noProof/>
              </w:rPr>
              <w:t>50</w:t>
            </w:r>
            <w:r>
              <w:fldChar w:fldCharType="end"/>
            </w:r>
          </w:p>
        </w:tc>
      </w:tr>
      <w:tr w:rsidR="005851A7" w:rsidRPr="00F30939" w14:paraId="15AFC361" w14:textId="77777777" w:rsidTr="005C602C">
        <w:trPr>
          <w:cantSplit/>
        </w:trPr>
        <w:tc>
          <w:tcPr>
            <w:tcW w:w="7362" w:type="dxa"/>
          </w:tcPr>
          <w:p w14:paraId="691295D8" w14:textId="01DDC9E3" w:rsidR="005851A7" w:rsidRDefault="005851A7" w:rsidP="005851A7">
            <w:pPr>
              <w:pStyle w:val="BodyTextFirstIndent"/>
              <w:ind w:left="318" w:firstLine="0"/>
              <w:rPr>
                <w:b/>
              </w:rPr>
            </w:pPr>
            <w:r>
              <w:rPr>
                <w:b/>
              </w:rPr>
              <w:fldChar w:fldCharType="begin"/>
            </w:r>
            <w:r>
              <w:rPr>
                <w:b/>
              </w:rPr>
              <w:instrText xml:space="preserve"> REF Closedown \h </w:instrText>
            </w:r>
            <w:r>
              <w:rPr>
                <w:b/>
              </w:rPr>
            </w:r>
            <w:r>
              <w:rPr>
                <w:b/>
              </w:rPr>
              <w:fldChar w:fldCharType="separate"/>
            </w:r>
            <w:r w:rsidR="00F52F17">
              <w:t>Close-down leave</w:t>
            </w:r>
            <w:r>
              <w:rPr>
                <w:b/>
              </w:rPr>
              <w:fldChar w:fldCharType="end"/>
            </w:r>
          </w:p>
        </w:tc>
        <w:tc>
          <w:tcPr>
            <w:tcW w:w="1185" w:type="dxa"/>
            <w:vAlign w:val="bottom"/>
          </w:tcPr>
          <w:p w14:paraId="090B685F" w14:textId="13CA6A05" w:rsidR="005851A7" w:rsidRDefault="005851A7" w:rsidP="005851A7">
            <w:pPr>
              <w:jc w:val="center"/>
            </w:pPr>
            <w:r>
              <w:fldChar w:fldCharType="begin"/>
            </w:r>
            <w:r>
              <w:instrText xml:space="preserve"> PAGEREF _Ref79990850 \h </w:instrText>
            </w:r>
            <w:r>
              <w:fldChar w:fldCharType="separate"/>
            </w:r>
            <w:r w:rsidR="00F52F17">
              <w:rPr>
                <w:noProof/>
              </w:rPr>
              <w:t>59</w:t>
            </w:r>
            <w:r>
              <w:fldChar w:fldCharType="end"/>
            </w:r>
          </w:p>
        </w:tc>
      </w:tr>
      <w:tr w:rsidR="008C6C5C" w:rsidRPr="00F30939" w14:paraId="5EA8B5AA" w14:textId="77777777" w:rsidTr="005C602C">
        <w:trPr>
          <w:cantSplit/>
        </w:trPr>
        <w:tc>
          <w:tcPr>
            <w:tcW w:w="7362" w:type="dxa"/>
          </w:tcPr>
          <w:p w14:paraId="0C018486" w14:textId="645E48BB" w:rsidR="008C6C5C" w:rsidRPr="004D3C54" w:rsidRDefault="008C6C5C" w:rsidP="008C6C5C">
            <w:pPr>
              <w:rPr>
                <w:b/>
              </w:rPr>
            </w:pPr>
            <w:r>
              <w:rPr>
                <w:b/>
              </w:rPr>
              <w:t>Department of Treasury and Finance</w:t>
            </w:r>
          </w:p>
        </w:tc>
        <w:tc>
          <w:tcPr>
            <w:tcW w:w="1185" w:type="dxa"/>
            <w:vAlign w:val="bottom"/>
          </w:tcPr>
          <w:p w14:paraId="3145D27C" w14:textId="77777777" w:rsidR="008C6C5C" w:rsidRPr="00F30939" w:rsidRDefault="008C6C5C" w:rsidP="004008E9">
            <w:pPr>
              <w:jc w:val="center"/>
            </w:pPr>
          </w:p>
        </w:tc>
      </w:tr>
      <w:tr w:rsidR="00750599" w:rsidRPr="00F30939" w14:paraId="72D8BD33" w14:textId="77777777" w:rsidTr="005C602C">
        <w:trPr>
          <w:cantSplit/>
        </w:trPr>
        <w:tc>
          <w:tcPr>
            <w:tcW w:w="7362" w:type="dxa"/>
          </w:tcPr>
          <w:p w14:paraId="0573AC1C" w14:textId="5CD1AF1E" w:rsidR="00750599" w:rsidRPr="004D3C54" w:rsidRDefault="00750599" w:rsidP="005C602C">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419E5968" w14:textId="4381999A" w:rsidR="00750599" w:rsidRPr="00F30939" w:rsidRDefault="00750599" w:rsidP="005C602C">
            <w:pPr>
              <w:jc w:val="center"/>
            </w:pPr>
            <w:r>
              <w:fldChar w:fldCharType="begin"/>
            </w:r>
            <w:r>
              <w:instrText xml:space="preserve"> PAGEREF _Ref78888323 \h </w:instrText>
            </w:r>
            <w:r>
              <w:fldChar w:fldCharType="separate"/>
            </w:r>
            <w:r w:rsidR="00F52F17">
              <w:rPr>
                <w:noProof/>
              </w:rPr>
              <w:t>50</w:t>
            </w:r>
            <w:r>
              <w:fldChar w:fldCharType="end"/>
            </w:r>
          </w:p>
        </w:tc>
      </w:tr>
      <w:tr w:rsidR="005851A7" w:rsidRPr="00F30939" w14:paraId="1CA3DF63" w14:textId="77777777" w:rsidTr="005C602C">
        <w:trPr>
          <w:cantSplit/>
        </w:trPr>
        <w:tc>
          <w:tcPr>
            <w:tcW w:w="7362" w:type="dxa"/>
          </w:tcPr>
          <w:p w14:paraId="55156B67" w14:textId="14F1600E" w:rsidR="005851A7" w:rsidRDefault="005851A7" w:rsidP="005851A7">
            <w:pPr>
              <w:pStyle w:val="BodyTextFirstIndent"/>
              <w:ind w:left="318" w:firstLine="0"/>
              <w:rPr>
                <w:b/>
              </w:rPr>
            </w:pPr>
            <w:r>
              <w:rPr>
                <w:b/>
              </w:rPr>
              <w:fldChar w:fldCharType="begin"/>
            </w:r>
            <w:r>
              <w:rPr>
                <w:b/>
              </w:rPr>
              <w:instrText xml:space="preserve"> REF Closedown \h </w:instrText>
            </w:r>
            <w:r>
              <w:rPr>
                <w:b/>
              </w:rPr>
            </w:r>
            <w:r>
              <w:rPr>
                <w:b/>
              </w:rPr>
              <w:fldChar w:fldCharType="separate"/>
            </w:r>
            <w:r w:rsidR="00F52F17">
              <w:t>Close-down leave</w:t>
            </w:r>
            <w:r>
              <w:rPr>
                <w:b/>
              </w:rPr>
              <w:fldChar w:fldCharType="end"/>
            </w:r>
          </w:p>
        </w:tc>
        <w:tc>
          <w:tcPr>
            <w:tcW w:w="1185" w:type="dxa"/>
            <w:vAlign w:val="bottom"/>
          </w:tcPr>
          <w:p w14:paraId="31C639CB" w14:textId="675CDFEA" w:rsidR="005851A7" w:rsidRDefault="005851A7" w:rsidP="005851A7">
            <w:pPr>
              <w:jc w:val="center"/>
            </w:pPr>
            <w:r>
              <w:fldChar w:fldCharType="begin"/>
            </w:r>
            <w:r>
              <w:instrText xml:space="preserve"> PAGEREF _Ref79990850 \h </w:instrText>
            </w:r>
            <w:r>
              <w:fldChar w:fldCharType="separate"/>
            </w:r>
            <w:r w:rsidR="00F52F17">
              <w:rPr>
                <w:noProof/>
              </w:rPr>
              <w:t>59</w:t>
            </w:r>
            <w:r>
              <w:fldChar w:fldCharType="end"/>
            </w:r>
          </w:p>
        </w:tc>
      </w:tr>
      <w:tr w:rsidR="00750599" w:rsidRPr="00F30939" w14:paraId="548313B0" w14:textId="77777777" w:rsidTr="005C602C">
        <w:trPr>
          <w:cantSplit/>
        </w:trPr>
        <w:tc>
          <w:tcPr>
            <w:tcW w:w="7362" w:type="dxa"/>
          </w:tcPr>
          <w:p w14:paraId="1639D2BB" w14:textId="721FA4D1" w:rsidR="00750599" w:rsidRPr="00F30939" w:rsidRDefault="00750599" w:rsidP="00750599">
            <w:pPr>
              <w:pStyle w:val="BodyTextFirstIndent"/>
              <w:ind w:left="318" w:firstLine="0"/>
            </w:pPr>
            <w:r>
              <w:fldChar w:fldCharType="begin"/>
            </w:r>
            <w:r>
              <w:instrText xml:space="preserve"> REF Fuel_card \h </w:instrText>
            </w:r>
            <w:r>
              <w:fldChar w:fldCharType="separate"/>
            </w:r>
            <w:r w:rsidR="00F52F17">
              <w:t>Fuel Card Purchases</w:t>
            </w:r>
            <w:r>
              <w:fldChar w:fldCharType="end"/>
            </w:r>
          </w:p>
        </w:tc>
        <w:tc>
          <w:tcPr>
            <w:tcW w:w="1185" w:type="dxa"/>
            <w:vAlign w:val="bottom"/>
          </w:tcPr>
          <w:p w14:paraId="4355FACB" w14:textId="610F9410" w:rsidR="00750599" w:rsidRPr="00F30939" w:rsidRDefault="005851A7" w:rsidP="00750599">
            <w:pPr>
              <w:jc w:val="center"/>
            </w:pPr>
            <w:r>
              <w:fldChar w:fldCharType="begin"/>
            </w:r>
            <w:r>
              <w:instrText xml:space="preserve"> PAGEREF _Ref79990791 \h </w:instrText>
            </w:r>
            <w:r>
              <w:fldChar w:fldCharType="separate"/>
            </w:r>
            <w:r w:rsidR="00F52F17">
              <w:rPr>
                <w:noProof/>
              </w:rPr>
              <w:t>80</w:t>
            </w:r>
            <w:r>
              <w:fldChar w:fldCharType="end"/>
            </w:r>
          </w:p>
        </w:tc>
      </w:tr>
      <w:tr w:rsidR="004008E9" w:rsidRPr="00F1580E" w14:paraId="4809206C" w14:textId="77777777" w:rsidTr="005C602C">
        <w:trPr>
          <w:cantSplit/>
        </w:trPr>
        <w:tc>
          <w:tcPr>
            <w:tcW w:w="7362" w:type="dxa"/>
          </w:tcPr>
          <w:p w14:paraId="06B308F8" w14:textId="42E9609C" w:rsidR="004008E9" w:rsidRPr="00F1580E" w:rsidRDefault="004008E9" w:rsidP="004008E9">
            <w:pPr>
              <w:rPr>
                <w:b/>
              </w:rPr>
            </w:pPr>
            <w:r w:rsidRPr="00F1580E">
              <w:rPr>
                <w:b/>
              </w:rPr>
              <w:fldChar w:fldCharType="begin"/>
            </w:r>
            <w:r w:rsidRPr="00F1580E">
              <w:rPr>
                <w:b/>
              </w:rPr>
              <w:instrText xml:space="preserve"> REF _Ref58244009 \h </w:instrText>
            </w:r>
            <w:r>
              <w:rPr>
                <w:b/>
              </w:rPr>
              <w:instrText xml:space="preserve"> \* MERGEFORMAT </w:instrText>
            </w:r>
            <w:r w:rsidRPr="00F1580E">
              <w:rPr>
                <w:b/>
              </w:rPr>
            </w:r>
            <w:r w:rsidRPr="00F1580E">
              <w:rPr>
                <w:b/>
              </w:rPr>
              <w:fldChar w:fldCharType="separate"/>
            </w:r>
            <w:r w:rsidR="00F52F17" w:rsidRPr="00F52F17">
              <w:rPr>
                <w:b/>
              </w:rPr>
              <w:t>Jabiru Town Development Authority</w:t>
            </w:r>
            <w:r w:rsidRPr="00F1580E">
              <w:rPr>
                <w:b/>
              </w:rPr>
              <w:fldChar w:fldCharType="end"/>
            </w:r>
          </w:p>
        </w:tc>
        <w:tc>
          <w:tcPr>
            <w:tcW w:w="1185" w:type="dxa"/>
            <w:vAlign w:val="bottom"/>
          </w:tcPr>
          <w:p w14:paraId="1D6BB4F0" w14:textId="77777777" w:rsidR="004008E9" w:rsidRPr="00F1580E" w:rsidRDefault="004008E9" w:rsidP="004008E9">
            <w:pPr>
              <w:rPr>
                <w:b/>
              </w:rPr>
            </w:pPr>
          </w:p>
        </w:tc>
      </w:tr>
      <w:tr w:rsidR="004008E9" w:rsidRPr="00F30939" w14:paraId="6D9394F9" w14:textId="77777777" w:rsidTr="005C602C">
        <w:trPr>
          <w:cantSplit/>
        </w:trPr>
        <w:tc>
          <w:tcPr>
            <w:tcW w:w="7362" w:type="dxa"/>
          </w:tcPr>
          <w:p w14:paraId="212DA2C8" w14:textId="0A8C203C" w:rsidR="004008E9" w:rsidRPr="00F30939" w:rsidRDefault="004008E9" w:rsidP="004008E9">
            <w:pPr>
              <w:pStyle w:val="BodyTextFirstIndent"/>
              <w:ind w:left="318" w:firstLine="0"/>
            </w:pPr>
            <w:r>
              <w:fldChar w:fldCharType="begin"/>
            </w:r>
            <w:r>
              <w:instrText xml:space="preserve"> REF _Ref32922771 \h </w:instrText>
            </w:r>
            <w:r>
              <w:fldChar w:fldCharType="separate"/>
            </w:r>
            <w:r w:rsidR="00F52F17" w:rsidRPr="000D515D">
              <w:t xml:space="preserve">Audit Findings and Analysis of the Financial Statements for the Year Ended </w:t>
            </w:r>
            <w:r w:rsidR="00F52F17">
              <w:t>30 June 2020</w:t>
            </w:r>
            <w:r>
              <w:fldChar w:fldCharType="end"/>
            </w:r>
          </w:p>
        </w:tc>
        <w:tc>
          <w:tcPr>
            <w:tcW w:w="1185" w:type="dxa"/>
            <w:vAlign w:val="bottom"/>
          </w:tcPr>
          <w:p w14:paraId="6ECA9A6F" w14:textId="488FDD52" w:rsidR="004008E9" w:rsidRPr="00F30939" w:rsidRDefault="004008E9" w:rsidP="004008E9">
            <w:pPr>
              <w:jc w:val="center"/>
            </w:pPr>
            <w:r>
              <w:fldChar w:fldCharType="begin"/>
            </w:r>
            <w:r>
              <w:instrText xml:space="preserve"> PAGEREF _Ref32922771 \h </w:instrText>
            </w:r>
            <w:r>
              <w:fldChar w:fldCharType="separate"/>
            </w:r>
            <w:r w:rsidR="00F52F17">
              <w:rPr>
                <w:noProof/>
              </w:rPr>
              <w:t>29</w:t>
            </w:r>
            <w:r>
              <w:fldChar w:fldCharType="end"/>
            </w:r>
          </w:p>
        </w:tc>
      </w:tr>
      <w:tr w:rsidR="004008E9" w:rsidRPr="00F1580E" w14:paraId="49D8BD4C" w14:textId="77777777" w:rsidTr="005C602C">
        <w:trPr>
          <w:cantSplit/>
        </w:trPr>
        <w:tc>
          <w:tcPr>
            <w:tcW w:w="7362" w:type="dxa"/>
          </w:tcPr>
          <w:p w14:paraId="3F23972A" w14:textId="72F5CE8A" w:rsidR="004008E9" w:rsidRPr="004D3C54" w:rsidRDefault="004008E9" w:rsidP="00F74707">
            <w:pPr>
              <w:rPr>
                <w:b/>
              </w:rPr>
            </w:pPr>
            <w:r w:rsidRPr="00F1580E">
              <w:rPr>
                <w:b/>
              </w:rPr>
              <w:fldChar w:fldCharType="begin"/>
            </w:r>
            <w:r w:rsidRPr="00F1580E">
              <w:rPr>
                <w:b/>
              </w:rPr>
              <w:instrText xml:space="preserve"> REF _Ref34309281 \h </w:instrText>
            </w:r>
            <w:r>
              <w:rPr>
                <w:b/>
              </w:rPr>
              <w:instrText xml:space="preserve"> \* MERGEFORMAT </w:instrText>
            </w:r>
            <w:r w:rsidRPr="00F1580E">
              <w:rPr>
                <w:b/>
              </w:rPr>
            </w:r>
            <w:r w:rsidRPr="00F1580E">
              <w:rPr>
                <w:b/>
              </w:rPr>
              <w:fldChar w:fldCharType="separate"/>
            </w:r>
            <w:r w:rsidR="00F52F17" w:rsidRPr="00F52F17">
              <w:rPr>
                <w:b/>
              </w:rPr>
              <w:t>Menzies School of Health Research</w:t>
            </w:r>
            <w:r w:rsidRPr="00F1580E">
              <w:rPr>
                <w:b/>
              </w:rPr>
              <w:fldChar w:fldCharType="end"/>
            </w:r>
          </w:p>
        </w:tc>
        <w:tc>
          <w:tcPr>
            <w:tcW w:w="1185" w:type="dxa"/>
            <w:vAlign w:val="bottom"/>
          </w:tcPr>
          <w:p w14:paraId="536AF8D4" w14:textId="77777777" w:rsidR="004008E9" w:rsidRPr="00F1580E" w:rsidRDefault="004008E9" w:rsidP="00F74707">
            <w:pPr>
              <w:rPr>
                <w:b/>
              </w:rPr>
            </w:pPr>
          </w:p>
        </w:tc>
      </w:tr>
      <w:tr w:rsidR="004008E9" w:rsidRPr="00F30939" w14:paraId="2C67D751" w14:textId="77777777" w:rsidTr="005C602C">
        <w:trPr>
          <w:cantSplit/>
        </w:trPr>
        <w:tc>
          <w:tcPr>
            <w:tcW w:w="7362" w:type="dxa"/>
          </w:tcPr>
          <w:p w14:paraId="1AE2F61C" w14:textId="0BF116E6" w:rsidR="004008E9" w:rsidRPr="00F30939" w:rsidRDefault="004008E9" w:rsidP="00F74707">
            <w:pPr>
              <w:pStyle w:val="BodyTextFirstIndent"/>
              <w:ind w:left="318" w:firstLine="0"/>
            </w:pPr>
            <w:r>
              <w:fldChar w:fldCharType="begin"/>
            </w:r>
            <w:r>
              <w:instrText xml:space="preserve"> REF _Ref34309489 \h </w:instrText>
            </w:r>
            <w:r>
              <w:fldChar w:fldCharType="separate"/>
            </w:r>
            <w:r w:rsidR="00F52F17" w:rsidRPr="000D515D">
              <w:t xml:space="preserve">Audit Findings and Analysis of the Financial Statements for the Year Ended </w:t>
            </w:r>
            <w:r w:rsidR="00F52F17">
              <w:t>31 December 2020</w:t>
            </w:r>
            <w:r>
              <w:fldChar w:fldCharType="end"/>
            </w:r>
          </w:p>
        </w:tc>
        <w:tc>
          <w:tcPr>
            <w:tcW w:w="1185" w:type="dxa"/>
            <w:vAlign w:val="bottom"/>
          </w:tcPr>
          <w:p w14:paraId="1008606C" w14:textId="42155559" w:rsidR="004008E9" w:rsidRPr="00F30939" w:rsidRDefault="004008E9" w:rsidP="00F74707">
            <w:pPr>
              <w:jc w:val="center"/>
            </w:pPr>
            <w:r>
              <w:fldChar w:fldCharType="begin"/>
            </w:r>
            <w:r>
              <w:instrText xml:space="preserve"> PAGEREF _Ref34309489 \h </w:instrText>
            </w:r>
            <w:r>
              <w:fldChar w:fldCharType="separate"/>
            </w:r>
            <w:r w:rsidR="00F52F17">
              <w:rPr>
                <w:noProof/>
              </w:rPr>
              <w:t>34</w:t>
            </w:r>
            <w:r>
              <w:fldChar w:fldCharType="end"/>
            </w:r>
          </w:p>
        </w:tc>
      </w:tr>
      <w:tr w:rsidR="004008E9" w:rsidRPr="00F1580E" w14:paraId="139ECEC4" w14:textId="77777777" w:rsidTr="005C602C">
        <w:trPr>
          <w:cantSplit/>
        </w:trPr>
        <w:tc>
          <w:tcPr>
            <w:tcW w:w="7362" w:type="dxa"/>
          </w:tcPr>
          <w:p w14:paraId="4B556BFD" w14:textId="312208ED" w:rsidR="004008E9" w:rsidRPr="00F1580E" w:rsidRDefault="004008E9" w:rsidP="004008E9">
            <w:pPr>
              <w:rPr>
                <w:b/>
              </w:rPr>
            </w:pPr>
            <w:r w:rsidRPr="00F1580E">
              <w:rPr>
                <w:b/>
              </w:rPr>
              <w:fldChar w:fldCharType="begin"/>
            </w:r>
            <w:r w:rsidRPr="00F1580E">
              <w:rPr>
                <w:b/>
              </w:rPr>
              <w:instrText xml:space="preserve"> REF _Ref58243359 \h </w:instrText>
            </w:r>
            <w:r>
              <w:rPr>
                <w:b/>
              </w:rPr>
              <w:instrText xml:space="preserve"> \* MERGEFORMAT </w:instrText>
            </w:r>
            <w:r w:rsidRPr="00F1580E">
              <w:rPr>
                <w:b/>
              </w:rPr>
            </w:r>
            <w:r w:rsidRPr="00F1580E">
              <w:rPr>
                <w:b/>
              </w:rPr>
              <w:fldChar w:fldCharType="separate"/>
            </w:r>
            <w:r w:rsidR="00F52F17" w:rsidRPr="00F52F17">
              <w:rPr>
                <w:b/>
              </w:rPr>
              <w:t>Nitmiluk (Katherine Gorge) National Park Board</w:t>
            </w:r>
            <w:r w:rsidRPr="00F1580E">
              <w:rPr>
                <w:b/>
              </w:rPr>
              <w:fldChar w:fldCharType="end"/>
            </w:r>
          </w:p>
        </w:tc>
        <w:tc>
          <w:tcPr>
            <w:tcW w:w="1185" w:type="dxa"/>
            <w:vAlign w:val="bottom"/>
          </w:tcPr>
          <w:p w14:paraId="271CB6D5" w14:textId="77777777" w:rsidR="004008E9" w:rsidRPr="00F1580E" w:rsidRDefault="004008E9" w:rsidP="004008E9">
            <w:pPr>
              <w:rPr>
                <w:b/>
              </w:rPr>
            </w:pPr>
          </w:p>
        </w:tc>
      </w:tr>
      <w:tr w:rsidR="004008E9" w:rsidRPr="00F30939" w14:paraId="3C91E457" w14:textId="77777777" w:rsidTr="005C602C">
        <w:trPr>
          <w:cantSplit/>
        </w:trPr>
        <w:tc>
          <w:tcPr>
            <w:tcW w:w="7362" w:type="dxa"/>
          </w:tcPr>
          <w:p w14:paraId="4E6EF052" w14:textId="6BAD8552" w:rsidR="004008E9" w:rsidRPr="00F30939" w:rsidRDefault="004008E9" w:rsidP="004008E9">
            <w:pPr>
              <w:pStyle w:val="BodyTextFirstIndent"/>
              <w:ind w:left="318" w:firstLine="0"/>
            </w:pPr>
            <w:r>
              <w:fldChar w:fldCharType="begin"/>
            </w:r>
            <w:r>
              <w:instrText xml:space="preserve"> REF _Ref58243398 \h </w:instrText>
            </w:r>
            <w:r>
              <w:fldChar w:fldCharType="separate"/>
            </w:r>
            <w:r w:rsidR="00F52F17" w:rsidRPr="000D515D">
              <w:t xml:space="preserve">Audit Findings and Analysis of the Financial Statements for the Year Ended </w:t>
            </w:r>
            <w:r w:rsidR="00F52F17">
              <w:t>30 June 2020</w:t>
            </w:r>
            <w:r>
              <w:fldChar w:fldCharType="end"/>
            </w:r>
          </w:p>
        </w:tc>
        <w:tc>
          <w:tcPr>
            <w:tcW w:w="1185" w:type="dxa"/>
            <w:vAlign w:val="bottom"/>
          </w:tcPr>
          <w:p w14:paraId="11065FB2" w14:textId="13622E26" w:rsidR="004008E9" w:rsidRPr="00F30939" w:rsidRDefault="004008E9" w:rsidP="004008E9">
            <w:pPr>
              <w:jc w:val="center"/>
            </w:pPr>
            <w:r>
              <w:fldChar w:fldCharType="begin"/>
            </w:r>
            <w:r>
              <w:instrText xml:space="preserve"> PAGEREF _Ref58243398 \h </w:instrText>
            </w:r>
            <w:r>
              <w:fldChar w:fldCharType="separate"/>
            </w:r>
            <w:r w:rsidR="00F52F17">
              <w:rPr>
                <w:noProof/>
              </w:rPr>
              <w:t>37</w:t>
            </w:r>
            <w:r>
              <w:fldChar w:fldCharType="end"/>
            </w:r>
          </w:p>
        </w:tc>
      </w:tr>
      <w:tr w:rsidR="008C6C5C" w:rsidRPr="00F30939" w14:paraId="5FB37053" w14:textId="77777777" w:rsidTr="005C602C">
        <w:trPr>
          <w:cantSplit/>
        </w:trPr>
        <w:tc>
          <w:tcPr>
            <w:tcW w:w="7362" w:type="dxa"/>
          </w:tcPr>
          <w:p w14:paraId="0B72962F" w14:textId="7DFA5103" w:rsidR="008C6C5C" w:rsidRPr="004D3C54" w:rsidRDefault="008C6C5C" w:rsidP="004008E9">
            <w:pPr>
              <w:rPr>
                <w:b/>
              </w:rPr>
            </w:pPr>
            <w:r>
              <w:rPr>
                <w:b/>
              </w:rPr>
              <w:t>Northern Territory Electoral Commission</w:t>
            </w:r>
          </w:p>
        </w:tc>
        <w:tc>
          <w:tcPr>
            <w:tcW w:w="1185" w:type="dxa"/>
            <w:vAlign w:val="bottom"/>
          </w:tcPr>
          <w:p w14:paraId="45F83FC6" w14:textId="77777777" w:rsidR="008C6C5C" w:rsidRPr="00F30939" w:rsidRDefault="008C6C5C" w:rsidP="004008E9">
            <w:pPr>
              <w:jc w:val="center"/>
            </w:pPr>
          </w:p>
        </w:tc>
      </w:tr>
      <w:tr w:rsidR="00750599" w:rsidRPr="00F30939" w14:paraId="24583183" w14:textId="77777777" w:rsidTr="005C602C">
        <w:trPr>
          <w:cantSplit/>
        </w:trPr>
        <w:tc>
          <w:tcPr>
            <w:tcW w:w="7362" w:type="dxa"/>
          </w:tcPr>
          <w:p w14:paraId="1BB801DD" w14:textId="50FE56A0" w:rsidR="00750599" w:rsidRPr="004D3C54" w:rsidRDefault="00750599" w:rsidP="00750599">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7D2C3773" w14:textId="744DD6D5" w:rsidR="00750599" w:rsidRPr="00F30939" w:rsidRDefault="00750599" w:rsidP="00750599">
            <w:pPr>
              <w:jc w:val="center"/>
            </w:pPr>
            <w:r>
              <w:fldChar w:fldCharType="begin"/>
            </w:r>
            <w:r>
              <w:instrText xml:space="preserve"> PAGEREF _Ref78888323 \h </w:instrText>
            </w:r>
            <w:r>
              <w:fldChar w:fldCharType="separate"/>
            </w:r>
            <w:r w:rsidR="00F52F17">
              <w:rPr>
                <w:noProof/>
              </w:rPr>
              <w:t>50</w:t>
            </w:r>
            <w:r>
              <w:fldChar w:fldCharType="end"/>
            </w:r>
          </w:p>
        </w:tc>
      </w:tr>
    </w:tbl>
    <w:p w14:paraId="636F46C7" w14:textId="10EB5CF6" w:rsidR="00F05C0F" w:rsidRDefault="00F05C0F"/>
    <w:p w14:paraId="789390C8" w14:textId="77777777" w:rsidR="00F05C0F" w:rsidRDefault="00F05C0F" w:rsidP="00F05C0F">
      <w:pPr>
        <w:pStyle w:val="Heading1-continued"/>
      </w:pPr>
      <w:r w:rsidRPr="00F05C0F">
        <w:t>Contents by Entity</w:t>
      </w:r>
      <w:r>
        <w:t xml:space="preserve"> cont…</w:t>
      </w:r>
    </w:p>
    <w:tbl>
      <w:tblPr>
        <w:tblW w:w="0" w:type="auto"/>
        <w:tblLook w:val="04A0" w:firstRow="1" w:lastRow="0" w:firstColumn="1" w:lastColumn="0" w:noHBand="0" w:noVBand="1"/>
      </w:tblPr>
      <w:tblGrid>
        <w:gridCol w:w="7362"/>
        <w:gridCol w:w="1185"/>
      </w:tblGrid>
      <w:tr w:rsidR="004008E9" w:rsidRPr="00F30939" w14:paraId="7A41E3B1" w14:textId="77777777" w:rsidTr="002E7B17">
        <w:trPr>
          <w:cantSplit/>
          <w:tblHeader/>
        </w:trPr>
        <w:tc>
          <w:tcPr>
            <w:tcW w:w="7362" w:type="dxa"/>
          </w:tcPr>
          <w:p w14:paraId="0CFD6492" w14:textId="77777777" w:rsidR="004008E9" w:rsidRPr="004D3C54" w:rsidRDefault="004008E9" w:rsidP="00750599">
            <w:pPr>
              <w:keepNext/>
              <w:rPr>
                <w:b/>
              </w:rPr>
            </w:pPr>
            <w:r>
              <w:rPr>
                <w:b/>
              </w:rPr>
              <w:t>Northern Territory Legal Aid Commission</w:t>
            </w:r>
          </w:p>
        </w:tc>
        <w:tc>
          <w:tcPr>
            <w:tcW w:w="1185" w:type="dxa"/>
            <w:vAlign w:val="bottom"/>
          </w:tcPr>
          <w:p w14:paraId="7007E750" w14:textId="77777777" w:rsidR="004008E9" w:rsidRPr="00F30939" w:rsidRDefault="004008E9" w:rsidP="00750599">
            <w:pPr>
              <w:keepNext/>
              <w:jc w:val="center"/>
            </w:pPr>
          </w:p>
        </w:tc>
      </w:tr>
      <w:tr w:rsidR="005851A7" w:rsidRPr="00F30939" w14:paraId="24497DC9" w14:textId="77777777" w:rsidTr="005C602C">
        <w:trPr>
          <w:cantSplit/>
        </w:trPr>
        <w:tc>
          <w:tcPr>
            <w:tcW w:w="7362" w:type="dxa"/>
          </w:tcPr>
          <w:p w14:paraId="224077E1" w14:textId="4EDF1958" w:rsidR="005851A7" w:rsidRDefault="005851A7" w:rsidP="005851A7">
            <w:pPr>
              <w:pStyle w:val="BodyTextFirstIndent"/>
              <w:keepNext/>
              <w:ind w:left="318" w:firstLine="0"/>
              <w:rPr>
                <w:b/>
              </w:rPr>
            </w:pPr>
            <w:r>
              <w:rPr>
                <w:b/>
              </w:rPr>
              <w:fldChar w:fldCharType="begin"/>
            </w:r>
            <w:r>
              <w:rPr>
                <w:b/>
              </w:rPr>
              <w:instrText xml:space="preserve"> REF Closedown \h </w:instrText>
            </w:r>
            <w:r>
              <w:rPr>
                <w:b/>
              </w:rPr>
            </w:r>
            <w:r>
              <w:rPr>
                <w:b/>
              </w:rPr>
              <w:fldChar w:fldCharType="separate"/>
            </w:r>
            <w:r w:rsidR="00F52F17">
              <w:t>Close-down leave</w:t>
            </w:r>
            <w:r>
              <w:rPr>
                <w:b/>
              </w:rPr>
              <w:fldChar w:fldCharType="end"/>
            </w:r>
          </w:p>
        </w:tc>
        <w:tc>
          <w:tcPr>
            <w:tcW w:w="1185" w:type="dxa"/>
            <w:vAlign w:val="bottom"/>
          </w:tcPr>
          <w:p w14:paraId="1E43A624" w14:textId="1D56FD30" w:rsidR="005851A7" w:rsidRDefault="005851A7" w:rsidP="005851A7">
            <w:pPr>
              <w:keepNext/>
              <w:jc w:val="center"/>
            </w:pPr>
            <w:r>
              <w:fldChar w:fldCharType="begin"/>
            </w:r>
            <w:r>
              <w:instrText xml:space="preserve"> PAGEREF _Ref79990850 \h </w:instrText>
            </w:r>
            <w:r>
              <w:fldChar w:fldCharType="separate"/>
            </w:r>
            <w:r w:rsidR="00F52F17">
              <w:rPr>
                <w:noProof/>
              </w:rPr>
              <w:t>59</w:t>
            </w:r>
            <w:r>
              <w:fldChar w:fldCharType="end"/>
            </w:r>
          </w:p>
        </w:tc>
      </w:tr>
      <w:tr w:rsidR="00750599" w:rsidRPr="00F30939" w14:paraId="6A587C36" w14:textId="77777777" w:rsidTr="005C602C">
        <w:trPr>
          <w:cantSplit/>
        </w:trPr>
        <w:tc>
          <w:tcPr>
            <w:tcW w:w="7362" w:type="dxa"/>
          </w:tcPr>
          <w:p w14:paraId="4CC8F26A" w14:textId="0C5486B9" w:rsidR="00750599" w:rsidRPr="00F30939" w:rsidRDefault="00750599" w:rsidP="00750599">
            <w:pPr>
              <w:pStyle w:val="BodyTextFirstIndent"/>
              <w:ind w:left="318" w:firstLine="0"/>
            </w:pPr>
            <w:r>
              <w:fldChar w:fldCharType="begin"/>
            </w:r>
            <w:r>
              <w:instrText xml:space="preserve"> REF Fuel_card \h </w:instrText>
            </w:r>
            <w:r>
              <w:fldChar w:fldCharType="separate"/>
            </w:r>
            <w:r w:rsidR="00F52F17">
              <w:t>Fuel Card Purchases</w:t>
            </w:r>
            <w:r>
              <w:fldChar w:fldCharType="end"/>
            </w:r>
          </w:p>
        </w:tc>
        <w:tc>
          <w:tcPr>
            <w:tcW w:w="1185" w:type="dxa"/>
            <w:vAlign w:val="bottom"/>
          </w:tcPr>
          <w:p w14:paraId="5408A2C0" w14:textId="0903F36C" w:rsidR="00750599" w:rsidRPr="00F30939" w:rsidRDefault="005851A7" w:rsidP="00750599">
            <w:pPr>
              <w:jc w:val="center"/>
            </w:pPr>
            <w:r>
              <w:fldChar w:fldCharType="begin"/>
            </w:r>
            <w:r>
              <w:instrText xml:space="preserve"> PAGEREF _Ref79990791 \h </w:instrText>
            </w:r>
            <w:r>
              <w:fldChar w:fldCharType="separate"/>
            </w:r>
            <w:r w:rsidR="00F52F17">
              <w:rPr>
                <w:noProof/>
              </w:rPr>
              <w:t>80</w:t>
            </w:r>
            <w:r>
              <w:fldChar w:fldCharType="end"/>
            </w:r>
          </w:p>
        </w:tc>
      </w:tr>
      <w:tr w:rsidR="008C6C5C" w:rsidRPr="00F30939" w14:paraId="10C85C10" w14:textId="77777777" w:rsidTr="005C602C">
        <w:trPr>
          <w:cantSplit/>
        </w:trPr>
        <w:tc>
          <w:tcPr>
            <w:tcW w:w="7362" w:type="dxa"/>
          </w:tcPr>
          <w:p w14:paraId="2FF344EA" w14:textId="5F1A4B14" w:rsidR="008C6C5C" w:rsidRPr="004D3C54" w:rsidRDefault="008C6C5C" w:rsidP="004008E9">
            <w:pPr>
              <w:rPr>
                <w:b/>
              </w:rPr>
            </w:pPr>
            <w:r>
              <w:rPr>
                <w:b/>
              </w:rPr>
              <w:t>Northern Territory Police</w:t>
            </w:r>
            <w:r w:rsidR="004008E9">
              <w:rPr>
                <w:b/>
              </w:rPr>
              <w:t>,</w:t>
            </w:r>
            <w:r>
              <w:rPr>
                <w:b/>
              </w:rPr>
              <w:t xml:space="preserve"> Fire and Emergency Services</w:t>
            </w:r>
          </w:p>
        </w:tc>
        <w:tc>
          <w:tcPr>
            <w:tcW w:w="1185" w:type="dxa"/>
            <w:vAlign w:val="bottom"/>
          </w:tcPr>
          <w:p w14:paraId="22A78C91" w14:textId="77777777" w:rsidR="008C6C5C" w:rsidRPr="00F30939" w:rsidRDefault="008C6C5C" w:rsidP="004008E9">
            <w:pPr>
              <w:jc w:val="center"/>
            </w:pPr>
          </w:p>
        </w:tc>
      </w:tr>
      <w:tr w:rsidR="00750599" w:rsidRPr="00F30939" w14:paraId="3C0CE4E9" w14:textId="77777777" w:rsidTr="005C602C">
        <w:trPr>
          <w:cantSplit/>
        </w:trPr>
        <w:tc>
          <w:tcPr>
            <w:tcW w:w="7362" w:type="dxa"/>
          </w:tcPr>
          <w:p w14:paraId="6225CDC7" w14:textId="7D0809E7" w:rsidR="00750599" w:rsidRPr="004D3C54" w:rsidRDefault="00750599" w:rsidP="00750599">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5F5431F1" w14:textId="5D3074BB" w:rsidR="00750599" w:rsidRPr="00F30939" w:rsidRDefault="00750599" w:rsidP="00750599">
            <w:pPr>
              <w:jc w:val="center"/>
            </w:pPr>
            <w:r>
              <w:fldChar w:fldCharType="begin"/>
            </w:r>
            <w:r>
              <w:instrText xml:space="preserve"> PAGEREF _Ref78888323 \h </w:instrText>
            </w:r>
            <w:r>
              <w:fldChar w:fldCharType="separate"/>
            </w:r>
            <w:r w:rsidR="00F52F17">
              <w:rPr>
                <w:noProof/>
              </w:rPr>
              <w:t>50</w:t>
            </w:r>
            <w:r>
              <w:fldChar w:fldCharType="end"/>
            </w:r>
          </w:p>
        </w:tc>
      </w:tr>
      <w:tr w:rsidR="004008E9" w:rsidRPr="00F1580E" w14:paraId="15A88C96" w14:textId="77777777" w:rsidTr="005C602C">
        <w:trPr>
          <w:cantSplit/>
        </w:trPr>
        <w:tc>
          <w:tcPr>
            <w:tcW w:w="7362" w:type="dxa"/>
          </w:tcPr>
          <w:p w14:paraId="748AC818" w14:textId="14963CF1" w:rsidR="004008E9" w:rsidRPr="004D3C54" w:rsidRDefault="004008E9" w:rsidP="004008E9">
            <w:pPr>
              <w:rPr>
                <w:b/>
              </w:rPr>
            </w:pPr>
            <w:r w:rsidRPr="00F1580E">
              <w:rPr>
                <w:b/>
              </w:rPr>
              <w:fldChar w:fldCharType="begin"/>
            </w:r>
            <w:r w:rsidRPr="00F1580E">
              <w:rPr>
                <w:b/>
              </w:rPr>
              <w:instrText xml:space="preserve"> REF _Ref16255721 \h </w:instrText>
            </w:r>
            <w:r>
              <w:rPr>
                <w:b/>
              </w:rPr>
              <w:instrText xml:space="preserve"> \* MERGEFORMAT </w:instrText>
            </w:r>
            <w:r w:rsidRPr="00F1580E">
              <w:rPr>
                <w:b/>
              </w:rPr>
            </w:r>
            <w:r w:rsidRPr="00F1580E">
              <w:rPr>
                <w:b/>
              </w:rPr>
              <w:fldChar w:fldCharType="separate"/>
            </w:r>
            <w:r w:rsidR="00F52F17" w:rsidRPr="00F52F17">
              <w:rPr>
                <w:b/>
              </w:rPr>
              <w:t>Northern Territory Police Supplementary Benefit Scheme</w:t>
            </w:r>
            <w:r w:rsidRPr="00F1580E">
              <w:rPr>
                <w:b/>
              </w:rPr>
              <w:fldChar w:fldCharType="end"/>
            </w:r>
          </w:p>
        </w:tc>
        <w:tc>
          <w:tcPr>
            <w:tcW w:w="1185" w:type="dxa"/>
            <w:vAlign w:val="bottom"/>
          </w:tcPr>
          <w:p w14:paraId="0B2B42A6" w14:textId="77777777" w:rsidR="004008E9" w:rsidRPr="00F1580E" w:rsidRDefault="004008E9" w:rsidP="004008E9">
            <w:pPr>
              <w:rPr>
                <w:b/>
              </w:rPr>
            </w:pPr>
          </w:p>
        </w:tc>
      </w:tr>
      <w:tr w:rsidR="004008E9" w:rsidRPr="00F30939" w14:paraId="784F3D55" w14:textId="77777777" w:rsidTr="005C602C">
        <w:trPr>
          <w:cantSplit/>
        </w:trPr>
        <w:tc>
          <w:tcPr>
            <w:tcW w:w="7362" w:type="dxa"/>
          </w:tcPr>
          <w:p w14:paraId="7E260565" w14:textId="1463FFE4" w:rsidR="004008E9" w:rsidRPr="00F30939" w:rsidRDefault="004008E9" w:rsidP="004008E9">
            <w:pPr>
              <w:pStyle w:val="BodyTextFirstIndent"/>
              <w:ind w:left="318" w:firstLine="0"/>
            </w:pPr>
            <w:r>
              <w:fldChar w:fldCharType="begin"/>
            </w:r>
            <w:r>
              <w:instrText xml:space="preserve"> REF _Ref58243404 \h </w:instrText>
            </w:r>
            <w:r>
              <w:fldChar w:fldCharType="separate"/>
            </w:r>
            <w:r w:rsidR="00F52F17" w:rsidRPr="000D515D">
              <w:t xml:space="preserve">Audit Findings and Analysis of the Financial Statements for the Year Ended </w:t>
            </w:r>
            <w:r w:rsidR="00F52F17">
              <w:t>30 June 2020</w:t>
            </w:r>
            <w:r>
              <w:fldChar w:fldCharType="end"/>
            </w:r>
          </w:p>
        </w:tc>
        <w:tc>
          <w:tcPr>
            <w:tcW w:w="1185" w:type="dxa"/>
            <w:vAlign w:val="bottom"/>
          </w:tcPr>
          <w:p w14:paraId="13A9E8A8" w14:textId="0A34D858" w:rsidR="004008E9" w:rsidRPr="00F30939" w:rsidRDefault="004008E9" w:rsidP="004008E9">
            <w:pPr>
              <w:jc w:val="center"/>
            </w:pPr>
            <w:r>
              <w:fldChar w:fldCharType="begin"/>
            </w:r>
            <w:r>
              <w:instrText xml:space="preserve"> PAGEREF _Ref58243404 \h </w:instrText>
            </w:r>
            <w:r>
              <w:fldChar w:fldCharType="separate"/>
            </w:r>
            <w:r w:rsidR="00F52F17">
              <w:rPr>
                <w:noProof/>
              </w:rPr>
              <w:t>41</w:t>
            </w:r>
            <w:r>
              <w:fldChar w:fldCharType="end"/>
            </w:r>
          </w:p>
        </w:tc>
      </w:tr>
      <w:tr w:rsidR="008C6C5C" w:rsidRPr="00F30939" w14:paraId="6BB3F908" w14:textId="77777777" w:rsidTr="005C602C">
        <w:trPr>
          <w:cantSplit/>
        </w:trPr>
        <w:tc>
          <w:tcPr>
            <w:tcW w:w="7362" w:type="dxa"/>
          </w:tcPr>
          <w:p w14:paraId="5333296A" w14:textId="77777777" w:rsidR="008C6C5C" w:rsidRPr="004D3C54" w:rsidRDefault="008C6C5C" w:rsidP="004008E9">
            <w:pPr>
              <w:rPr>
                <w:b/>
              </w:rPr>
            </w:pPr>
            <w:r>
              <w:rPr>
                <w:b/>
              </w:rPr>
              <w:t>Office of the Independent Commissioner Against Corruption</w:t>
            </w:r>
          </w:p>
        </w:tc>
        <w:tc>
          <w:tcPr>
            <w:tcW w:w="1185" w:type="dxa"/>
            <w:vAlign w:val="bottom"/>
          </w:tcPr>
          <w:p w14:paraId="6CC8BAD2" w14:textId="77777777" w:rsidR="008C6C5C" w:rsidRPr="00F30939" w:rsidRDefault="008C6C5C" w:rsidP="004008E9">
            <w:pPr>
              <w:jc w:val="center"/>
            </w:pPr>
          </w:p>
        </w:tc>
      </w:tr>
      <w:tr w:rsidR="00750599" w:rsidRPr="00F30939" w14:paraId="54BCFA15" w14:textId="77777777" w:rsidTr="005C602C">
        <w:trPr>
          <w:cantSplit/>
        </w:trPr>
        <w:tc>
          <w:tcPr>
            <w:tcW w:w="7362" w:type="dxa"/>
          </w:tcPr>
          <w:p w14:paraId="3E060AC3" w14:textId="21691765" w:rsidR="00750599" w:rsidRPr="004D3C54" w:rsidRDefault="00750599" w:rsidP="00750599">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08D7AAB8" w14:textId="1149A699" w:rsidR="00750599" w:rsidRPr="00F30939" w:rsidRDefault="00750599" w:rsidP="00750599">
            <w:pPr>
              <w:jc w:val="center"/>
            </w:pPr>
            <w:r>
              <w:fldChar w:fldCharType="begin"/>
            </w:r>
            <w:r>
              <w:instrText xml:space="preserve"> PAGEREF _Ref78888323 \h </w:instrText>
            </w:r>
            <w:r>
              <w:fldChar w:fldCharType="separate"/>
            </w:r>
            <w:r w:rsidR="00F52F17">
              <w:rPr>
                <w:noProof/>
              </w:rPr>
              <w:t>50</w:t>
            </w:r>
            <w:r>
              <w:fldChar w:fldCharType="end"/>
            </w:r>
          </w:p>
        </w:tc>
      </w:tr>
      <w:tr w:rsidR="005851A7" w:rsidRPr="00F30939" w14:paraId="538EFE29" w14:textId="77777777" w:rsidTr="005C602C">
        <w:trPr>
          <w:cantSplit/>
        </w:trPr>
        <w:tc>
          <w:tcPr>
            <w:tcW w:w="7362" w:type="dxa"/>
          </w:tcPr>
          <w:p w14:paraId="7A6B50F2" w14:textId="328BA7CC" w:rsidR="005851A7" w:rsidRDefault="005851A7" w:rsidP="005851A7">
            <w:pPr>
              <w:pStyle w:val="BodyTextFirstIndent"/>
              <w:ind w:left="318" w:firstLine="0"/>
              <w:rPr>
                <w:b/>
              </w:rPr>
            </w:pPr>
            <w:r>
              <w:rPr>
                <w:b/>
              </w:rPr>
              <w:fldChar w:fldCharType="begin"/>
            </w:r>
            <w:r>
              <w:rPr>
                <w:b/>
              </w:rPr>
              <w:instrText xml:space="preserve"> REF Closedown \h </w:instrText>
            </w:r>
            <w:r>
              <w:rPr>
                <w:b/>
              </w:rPr>
            </w:r>
            <w:r>
              <w:rPr>
                <w:b/>
              </w:rPr>
              <w:fldChar w:fldCharType="separate"/>
            </w:r>
            <w:r w:rsidR="00F52F17">
              <w:t>Close-down leave</w:t>
            </w:r>
            <w:r>
              <w:rPr>
                <w:b/>
              </w:rPr>
              <w:fldChar w:fldCharType="end"/>
            </w:r>
          </w:p>
        </w:tc>
        <w:tc>
          <w:tcPr>
            <w:tcW w:w="1185" w:type="dxa"/>
            <w:vAlign w:val="bottom"/>
          </w:tcPr>
          <w:p w14:paraId="020D4EA7" w14:textId="4DE7242A" w:rsidR="005851A7" w:rsidRDefault="005851A7" w:rsidP="005851A7">
            <w:pPr>
              <w:jc w:val="center"/>
            </w:pPr>
            <w:r>
              <w:fldChar w:fldCharType="begin"/>
            </w:r>
            <w:r>
              <w:instrText xml:space="preserve"> PAGEREF _Ref79990850 \h </w:instrText>
            </w:r>
            <w:r>
              <w:fldChar w:fldCharType="separate"/>
            </w:r>
            <w:r w:rsidR="00F52F17">
              <w:rPr>
                <w:noProof/>
              </w:rPr>
              <w:t>59</w:t>
            </w:r>
            <w:r>
              <w:fldChar w:fldCharType="end"/>
            </w:r>
          </w:p>
        </w:tc>
      </w:tr>
      <w:tr w:rsidR="008C6C5C" w:rsidRPr="00F30939" w14:paraId="798FD076" w14:textId="77777777" w:rsidTr="005C602C">
        <w:trPr>
          <w:cantSplit/>
        </w:trPr>
        <w:tc>
          <w:tcPr>
            <w:tcW w:w="7362" w:type="dxa"/>
          </w:tcPr>
          <w:p w14:paraId="13610B73" w14:textId="17DC82CE" w:rsidR="008C6C5C" w:rsidRPr="004D3C54" w:rsidRDefault="008C6C5C" w:rsidP="004008E9">
            <w:pPr>
              <w:rPr>
                <w:b/>
              </w:rPr>
            </w:pPr>
            <w:r>
              <w:rPr>
                <w:b/>
              </w:rPr>
              <w:t>Ombudsman’s Office</w:t>
            </w:r>
          </w:p>
        </w:tc>
        <w:tc>
          <w:tcPr>
            <w:tcW w:w="1185" w:type="dxa"/>
            <w:vAlign w:val="bottom"/>
          </w:tcPr>
          <w:p w14:paraId="0D00FA52" w14:textId="77777777" w:rsidR="008C6C5C" w:rsidRPr="00F30939" w:rsidRDefault="008C6C5C" w:rsidP="004008E9">
            <w:pPr>
              <w:jc w:val="center"/>
            </w:pPr>
          </w:p>
        </w:tc>
      </w:tr>
      <w:tr w:rsidR="00750599" w:rsidRPr="00F30939" w14:paraId="7E55B5D4" w14:textId="77777777" w:rsidTr="005C602C">
        <w:trPr>
          <w:cantSplit/>
        </w:trPr>
        <w:tc>
          <w:tcPr>
            <w:tcW w:w="7362" w:type="dxa"/>
          </w:tcPr>
          <w:p w14:paraId="1CDA8062" w14:textId="4CC4025C" w:rsidR="00750599" w:rsidRPr="004D3C54" w:rsidRDefault="00750599" w:rsidP="00750599">
            <w:pPr>
              <w:pStyle w:val="BodyTextFirstIndent"/>
              <w:ind w:left="318" w:firstLine="0"/>
              <w:rPr>
                <w:b/>
              </w:rPr>
            </w:pPr>
            <w:r>
              <w:rPr>
                <w:b/>
              </w:rPr>
              <w:fldChar w:fldCharType="begin"/>
            </w:r>
            <w:r>
              <w:rPr>
                <w:b/>
              </w:rPr>
              <w:instrText xml:space="preserve"> REF ACA \h </w:instrText>
            </w:r>
            <w:r>
              <w:rPr>
                <w:b/>
              </w:rPr>
            </w:r>
            <w:r>
              <w:rPr>
                <w:b/>
              </w:rPr>
              <w:fldChar w:fldCharType="separate"/>
            </w:r>
            <w:r w:rsidR="00F52F17">
              <w:t>Agency Compliance Audit</w:t>
            </w:r>
            <w:r>
              <w:rPr>
                <w:b/>
              </w:rPr>
              <w:fldChar w:fldCharType="end"/>
            </w:r>
          </w:p>
        </w:tc>
        <w:tc>
          <w:tcPr>
            <w:tcW w:w="1185" w:type="dxa"/>
            <w:vAlign w:val="bottom"/>
          </w:tcPr>
          <w:p w14:paraId="057BED92" w14:textId="6335AF6A" w:rsidR="00750599" w:rsidRPr="00F30939" w:rsidRDefault="00750599" w:rsidP="00750599">
            <w:pPr>
              <w:jc w:val="center"/>
            </w:pPr>
            <w:r>
              <w:fldChar w:fldCharType="begin"/>
            </w:r>
            <w:r>
              <w:instrText xml:space="preserve"> PAGEREF _Ref78888323 \h </w:instrText>
            </w:r>
            <w:r>
              <w:fldChar w:fldCharType="separate"/>
            </w:r>
            <w:r w:rsidR="00F52F17">
              <w:rPr>
                <w:noProof/>
              </w:rPr>
              <w:t>50</w:t>
            </w:r>
            <w:r>
              <w:fldChar w:fldCharType="end"/>
            </w:r>
          </w:p>
        </w:tc>
      </w:tr>
      <w:tr w:rsidR="00750599" w:rsidRPr="00F30939" w14:paraId="077B2E60" w14:textId="77777777" w:rsidTr="005C602C">
        <w:trPr>
          <w:cantSplit/>
        </w:trPr>
        <w:tc>
          <w:tcPr>
            <w:tcW w:w="7362" w:type="dxa"/>
          </w:tcPr>
          <w:p w14:paraId="1F4F56D9" w14:textId="04EE2569" w:rsidR="00750599" w:rsidRDefault="00750599" w:rsidP="00750599">
            <w:pPr>
              <w:pStyle w:val="BodyTextFirstIndent"/>
              <w:ind w:left="318" w:firstLine="0"/>
              <w:rPr>
                <w:b/>
              </w:rPr>
            </w:pPr>
            <w:r>
              <w:rPr>
                <w:b/>
              </w:rPr>
              <w:fldChar w:fldCharType="begin"/>
            </w:r>
            <w:r>
              <w:rPr>
                <w:b/>
              </w:rPr>
              <w:instrText xml:space="preserve"> REF Closedown \h </w:instrText>
            </w:r>
            <w:r>
              <w:rPr>
                <w:b/>
              </w:rPr>
            </w:r>
            <w:r>
              <w:rPr>
                <w:b/>
              </w:rPr>
              <w:fldChar w:fldCharType="separate"/>
            </w:r>
            <w:r w:rsidR="00F52F17">
              <w:t>Close-down leave</w:t>
            </w:r>
            <w:r>
              <w:rPr>
                <w:b/>
              </w:rPr>
              <w:fldChar w:fldCharType="end"/>
            </w:r>
          </w:p>
        </w:tc>
        <w:tc>
          <w:tcPr>
            <w:tcW w:w="1185" w:type="dxa"/>
            <w:vAlign w:val="bottom"/>
          </w:tcPr>
          <w:p w14:paraId="41C396C0" w14:textId="7A332EED" w:rsidR="00750599" w:rsidRDefault="005851A7" w:rsidP="00750599">
            <w:pPr>
              <w:jc w:val="center"/>
            </w:pPr>
            <w:r>
              <w:fldChar w:fldCharType="begin"/>
            </w:r>
            <w:r>
              <w:instrText xml:space="preserve"> PAGEREF _Ref79990850 \h </w:instrText>
            </w:r>
            <w:r>
              <w:fldChar w:fldCharType="separate"/>
            </w:r>
            <w:r w:rsidR="00F52F17">
              <w:rPr>
                <w:noProof/>
              </w:rPr>
              <w:t>59</w:t>
            </w:r>
            <w:r>
              <w:fldChar w:fldCharType="end"/>
            </w:r>
          </w:p>
        </w:tc>
      </w:tr>
      <w:tr w:rsidR="00A34297" w:rsidRPr="00F30939" w14:paraId="4B29DB25" w14:textId="77777777" w:rsidTr="005C602C">
        <w:trPr>
          <w:cantSplit/>
        </w:trPr>
        <w:tc>
          <w:tcPr>
            <w:tcW w:w="7362" w:type="dxa"/>
          </w:tcPr>
          <w:p w14:paraId="60181AD6" w14:textId="77777777" w:rsidR="00A34297" w:rsidRPr="004D3C54" w:rsidRDefault="00A34297" w:rsidP="00121B5A">
            <w:pPr>
              <w:keepNext/>
              <w:rPr>
                <w:b/>
              </w:rPr>
            </w:pPr>
            <w:r>
              <w:rPr>
                <w:b/>
              </w:rPr>
              <w:t>Power Generation Corporation</w:t>
            </w:r>
          </w:p>
        </w:tc>
        <w:tc>
          <w:tcPr>
            <w:tcW w:w="1185" w:type="dxa"/>
            <w:vAlign w:val="bottom"/>
          </w:tcPr>
          <w:p w14:paraId="17CA68F9" w14:textId="77777777" w:rsidR="00A34297" w:rsidRPr="00F30939" w:rsidRDefault="00A34297" w:rsidP="00121B5A">
            <w:pPr>
              <w:keepNext/>
              <w:jc w:val="center"/>
            </w:pPr>
          </w:p>
        </w:tc>
      </w:tr>
      <w:tr w:rsidR="00750599" w:rsidRPr="00F30939" w14:paraId="5CD1886E" w14:textId="77777777" w:rsidTr="005C602C">
        <w:trPr>
          <w:cantSplit/>
        </w:trPr>
        <w:tc>
          <w:tcPr>
            <w:tcW w:w="7362" w:type="dxa"/>
          </w:tcPr>
          <w:p w14:paraId="1FC8E73F" w14:textId="6BD38FD0" w:rsidR="00750599" w:rsidRPr="00F30939" w:rsidRDefault="00750599" w:rsidP="00750599">
            <w:pPr>
              <w:pStyle w:val="BodyTextFirstIndent"/>
              <w:ind w:left="318" w:firstLine="0"/>
            </w:pPr>
            <w:r>
              <w:fldChar w:fldCharType="begin"/>
            </w:r>
            <w:r>
              <w:instrText xml:space="preserve"> REF Fuel_card \h </w:instrText>
            </w:r>
            <w:r>
              <w:fldChar w:fldCharType="separate"/>
            </w:r>
            <w:r w:rsidR="00F52F17">
              <w:t>Fuel Card Purchases</w:t>
            </w:r>
            <w:r>
              <w:fldChar w:fldCharType="end"/>
            </w:r>
          </w:p>
        </w:tc>
        <w:tc>
          <w:tcPr>
            <w:tcW w:w="1185" w:type="dxa"/>
            <w:vAlign w:val="bottom"/>
          </w:tcPr>
          <w:p w14:paraId="795C1654" w14:textId="117FEB63" w:rsidR="00750599" w:rsidRPr="00F30939" w:rsidRDefault="005851A7" w:rsidP="00750599">
            <w:pPr>
              <w:jc w:val="center"/>
            </w:pPr>
            <w:r>
              <w:fldChar w:fldCharType="begin"/>
            </w:r>
            <w:r>
              <w:instrText xml:space="preserve"> PAGEREF _Ref79990791 \h </w:instrText>
            </w:r>
            <w:r>
              <w:fldChar w:fldCharType="separate"/>
            </w:r>
            <w:r w:rsidR="00F52F17">
              <w:rPr>
                <w:noProof/>
              </w:rPr>
              <w:t>80</w:t>
            </w:r>
            <w:r>
              <w:fldChar w:fldCharType="end"/>
            </w:r>
          </w:p>
        </w:tc>
      </w:tr>
      <w:tr w:rsidR="00A34297" w:rsidRPr="00F30939" w14:paraId="0A5794A2" w14:textId="77777777" w:rsidTr="005C602C">
        <w:trPr>
          <w:cantSplit/>
        </w:trPr>
        <w:tc>
          <w:tcPr>
            <w:tcW w:w="7362" w:type="dxa"/>
          </w:tcPr>
          <w:p w14:paraId="148312DB" w14:textId="77777777" w:rsidR="00A34297" w:rsidRPr="004D3C54" w:rsidRDefault="00A34297" w:rsidP="00A34297">
            <w:pPr>
              <w:keepNext/>
              <w:rPr>
                <w:b/>
              </w:rPr>
            </w:pPr>
            <w:r>
              <w:rPr>
                <w:b/>
              </w:rPr>
              <w:t>Territory Wildlife Parks</w:t>
            </w:r>
          </w:p>
        </w:tc>
        <w:tc>
          <w:tcPr>
            <w:tcW w:w="1185" w:type="dxa"/>
            <w:vAlign w:val="bottom"/>
          </w:tcPr>
          <w:p w14:paraId="0377146F" w14:textId="77777777" w:rsidR="00A34297" w:rsidRPr="00F30939" w:rsidRDefault="00A34297" w:rsidP="00A34297">
            <w:pPr>
              <w:keepNext/>
              <w:jc w:val="center"/>
            </w:pPr>
          </w:p>
        </w:tc>
      </w:tr>
      <w:tr w:rsidR="005C602C" w:rsidRPr="00F30939" w14:paraId="66DCA16A" w14:textId="77777777" w:rsidTr="005C602C">
        <w:trPr>
          <w:cantSplit/>
        </w:trPr>
        <w:tc>
          <w:tcPr>
            <w:tcW w:w="7362" w:type="dxa"/>
          </w:tcPr>
          <w:p w14:paraId="2D27AD64" w14:textId="06FBCC7C" w:rsidR="005C602C" w:rsidRPr="00F30939" w:rsidRDefault="00750599" w:rsidP="005C602C">
            <w:pPr>
              <w:pStyle w:val="BodyTextFirstIndent"/>
              <w:ind w:left="318" w:firstLine="0"/>
            </w:pPr>
            <w:r>
              <w:fldChar w:fldCharType="begin"/>
            </w:r>
            <w:r>
              <w:instrText xml:space="preserve"> REF Fuel_card \h </w:instrText>
            </w:r>
            <w:r>
              <w:fldChar w:fldCharType="separate"/>
            </w:r>
            <w:r w:rsidR="00F52F17">
              <w:t>Fuel Card Purchases</w:t>
            </w:r>
            <w:r>
              <w:fldChar w:fldCharType="end"/>
            </w:r>
          </w:p>
        </w:tc>
        <w:tc>
          <w:tcPr>
            <w:tcW w:w="1185" w:type="dxa"/>
            <w:vAlign w:val="bottom"/>
          </w:tcPr>
          <w:p w14:paraId="6633A8B9" w14:textId="2E7A85FE" w:rsidR="005C602C" w:rsidRPr="00F30939" w:rsidRDefault="005851A7" w:rsidP="005C602C">
            <w:pPr>
              <w:jc w:val="center"/>
            </w:pPr>
            <w:r>
              <w:fldChar w:fldCharType="begin"/>
            </w:r>
            <w:r>
              <w:instrText xml:space="preserve"> PAGEREF _Ref79990791 \h </w:instrText>
            </w:r>
            <w:r>
              <w:fldChar w:fldCharType="separate"/>
            </w:r>
            <w:r w:rsidR="00F52F17">
              <w:rPr>
                <w:noProof/>
              </w:rPr>
              <w:t>80</w:t>
            </w:r>
            <w:r>
              <w:fldChar w:fldCharType="end"/>
            </w:r>
          </w:p>
        </w:tc>
      </w:tr>
    </w:tbl>
    <w:p w14:paraId="72C9D068" w14:textId="77777777" w:rsidR="00291341" w:rsidRPr="00F30939" w:rsidRDefault="00291341" w:rsidP="00011A13"/>
    <w:sectPr w:rsidR="00291341" w:rsidRPr="00F30939" w:rsidSect="005645CE">
      <w:headerReference w:type="first" r:id="rId27"/>
      <w:footerReference w:type="first" r:id="rId28"/>
      <w:pgSz w:w="11906" w:h="16838" w:code="9"/>
      <w:pgMar w:top="1440" w:right="1440" w:bottom="1440" w:left="1440" w:header="709" w:footer="280"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A1213" w14:textId="77777777" w:rsidR="00BE415F" w:rsidRDefault="00BE415F" w:rsidP="00821E9E">
      <w:pPr>
        <w:spacing w:after="0" w:line="240" w:lineRule="auto"/>
      </w:pPr>
      <w:r>
        <w:separator/>
      </w:r>
    </w:p>
    <w:p w14:paraId="1FA44656" w14:textId="77777777" w:rsidR="00BE415F" w:rsidRDefault="00BE415F"/>
  </w:endnote>
  <w:endnote w:type="continuationSeparator" w:id="0">
    <w:p w14:paraId="19977610" w14:textId="77777777" w:rsidR="00BE415F" w:rsidRDefault="00BE415F" w:rsidP="0082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59"/>
    <w:family w:val="auto"/>
    <w:pitch w:val="variable"/>
    <w:sig w:usb0="01020000"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30AF" w14:textId="533C1B25" w:rsidR="00BE415F" w:rsidRPr="003F5414" w:rsidRDefault="00F52F17" w:rsidP="003F5414">
    <w:pPr>
      <w:pStyle w:val="Footer"/>
      <w:tabs>
        <w:tab w:val="right" w:pos="8364"/>
      </w:tabs>
      <w:rPr>
        <w:color w:val="009292"/>
        <w:sz w:val="18"/>
      </w:rPr>
    </w:pPr>
    <w:sdt>
      <w:sdtPr>
        <w:rPr>
          <w:color w:val="009292"/>
          <w:sz w:val="18"/>
        </w:rPr>
        <w:id w:val="1131751456"/>
        <w:docPartObj>
          <w:docPartGallery w:val="Page Numbers (Top of Page)"/>
          <w:docPartUnique/>
        </w:docPartObj>
      </w:sdtPr>
      <w:sdtEndPr/>
      <w:sdtContent>
        <w:r w:rsidR="00BE415F" w:rsidRPr="00205822">
          <w:rPr>
            <w:color w:val="009292"/>
            <w:sz w:val="18"/>
          </w:rPr>
          <w:t xml:space="preserve">Page </w:t>
        </w:r>
        <w:r w:rsidR="00BE415F" w:rsidRPr="00205822">
          <w:rPr>
            <w:color w:val="009292"/>
            <w:sz w:val="18"/>
          </w:rPr>
          <w:fldChar w:fldCharType="begin"/>
        </w:r>
        <w:r w:rsidR="00BE415F" w:rsidRPr="00205822">
          <w:rPr>
            <w:color w:val="009292"/>
            <w:sz w:val="18"/>
          </w:rPr>
          <w:instrText xml:space="preserve"> PAGE </w:instrText>
        </w:r>
        <w:r w:rsidR="00BE415F" w:rsidRPr="00205822">
          <w:rPr>
            <w:color w:val="009292"/>
            <w:sz w:val="18"/>
          </w:rPr>
          <w:fldChar w:fldCharType="separate"/>
        </w:r>
        <w:r>
          <w:rPr>
            <w:noProof/>
            <w:color w:val="009292"/>
            <w:sz w:val="18"/>
          </w:rPr>
          <w:t>6</w:t>
        </w:r>
        <w:r w:rsidR="00BE415F" w:rsidRPr="00205822">
          <w:rPr>
            <w:color w:val="009292"/>
            <w:sz w:val="18"/>
          </w:rPr>
          <w:fldChar w:fldCharType="end"/>
        </w:r>
        <w:r w:rsidR="00BE415F" w:rsidRPr="00205822">
          <w:rPr>
            <w:color w:val="009292"/>
            <w:sz w:val="18"/>
          </w:rPr>
          <w:t xml:space="preserve"> of </w:t>
        </w:r>
        <w:r w:rsidR="00BE415F" w:rsidRPr="00205822">
          <w:rPr>
            <w:color w:val="009292"/>
            <w:sz w:val="18"/>
          </w:rPr>
          <w:fldChar w:fldCharType="begin"/>
        </w:r>
        <w:r w:rsidR="00BE415F" w:rsidRPr="00205822">
          <w:rPr>
            <w:color w:val="009292"/>
            <w:sz w:val="18"/>
          </w:rPr>
          <w:instrText xml:space="preserve"> NUMPAGES  </w:instrText>
        </w:r>
        <w:r w:rsidR="00BE415F" w:rsidRPr="00205822">
          <w:rPr>
            <w:color w:val="009292"/>
            <w:sz w:val="18"/>
          </w:rPr>
          <w:fldChar w:fldCharType="separate"/>
        </w:r>
        <w:r>
          <w:rPr>
            <w:noProof/>
            <w:color w:val="009292"/>
            <w:sz w:val="18"/>
          </w:rPr>
          <w:t>107</w:t>
        </w:r>
        <w:r w:rsidR="00BE415F" w:rsidRPr="00205822">
          <w:rPr>
            <w:color w:val="009292"/>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1CB3" w14:textId="0CEA0D4F" w:rsidR="00BE415F" w:rsidRPr="00205822" w:rsidRDefault="00F52F17" w:rsidP="00FE3DA3">
    <w:pPr>
      <w:pStyle w:val="Footer"/>
      <w:tabs>
        <w:tab w:val="right" w:pos="8364"/>
      </w:tabs>
      <w:jc w:val="right"/>
      <w:rPr>
        <w:color w:val="009292"/>
        <w:sz w:val="18"/>
      </w:rPr>
    </w:pPr>
    <w:sdt>
      <w:sdtPr>
        <w:rPr>
          <w:color w:val="009292"/>
          <w:sz w:val="18"/>
        </w:rPr>
        <w:id w:val="57595472"/>
        <w:docPartObj>
          <w:docPartGallery w:val="Page Numbers (Top of Page)"/>
          <w:docPartUnique/>
        </w:docPartObj>
      </w:sdtPr>
      <w:sdtEndPr/>
      <w:sdtContent>
        <w:r w:rsidR="00BE415F" w:rsidRPr="00205822">
          <w:rPr>
            <w:color w:val="009292"/>
            <w:sz w:val="18"/>
          </w:rPr>
          <w:t xml:space="preserve">Page </w:t>
        </w:r>
        <w:r w:rsidR="00BE415F" w:rsidRPr="00205822">
          <w:rPr>
            <w:color w:val="009292"/>
            <w:sz w:val="18"/>
          </w:rPr>
          <w:fldChar w:fldCharType="begin"/>
        </w:r>
        <w:r w:rsidR="00BE415F" w:rsidRPr="00205822">
          <w:rPr>
            <w:color w:val="009292"/>
            <w:sz w:val="18"/>
          </w:rPr>
          <w:instrText xml:space="preserve"> PAGE </w:instrText>
        </w:r>
        <w:r w:rsidR="00BE415F" w:rsidRPr="00205822">
          <w:rPr>
            <w:color w:val="009292"/>
            <w:sz w:val="18"/>
          </w:rPr>
          <w:fldChar w:fldCharType="separate"/>
        </w:r>
        <w:r>
          <w:rPr>
            <w:noProof/>
            <w:color w:val="009292"/>
            <w:sz w:val="18"/>
          </w:rPr>
          <w:t>107</w:t>
        </w:r>
        <w:r w:rsidR="00BE415F" w:rsidRPr="00205822">
          <w:rPr>
            <w:color w:val="009292"/>
            <w:sz w:val="18"/>
          </w:rPr>
          <w:fldChar w:fldCharType="end"/>
        </w:r>
        <w:r w:rsidR="00BE415F" w:rsidRPr="00205822">
          <w:rPr>
            <w:color w:val="009292"/>
            <w:sz w:val="18"/>
          </w:rPr>
          <w:t xml:space="preserve"> of </w:t>
        </w:r>
        <w:r w:rsidR="00BE415F" w:rsidRPr="00205822">
          <w:rPr>
            <w:color w:val="009292"/>
            <w:sz w:val="18"/>
          </w:rPr>
          <w:fldChar w:fldCharType="begin"/>
        </w:r>
        <w:r w:rsidR="00BE415F" w:rsidRPr="00205822">
          <w:rPr>
            <w:color w:val="009292"/>
            <w:sz w:val="18"/>
          </w:rPr>
          <w:instrText xml:space="preserve"> NUMPAGES  </w:instrText>
        </w:r>
        <w:r w:rsidR="00BE415F" w:rsidRPr="00205822">
          <w:rPr>
            <w:color w:val="009292"/>
            <w:sz w:val="18"/>
          </w:rPr>
          <w:fldChar w:fldCharType="separate"/>
        </w:r>
        <w:r>
          <w:rPr>
            <w:noProof/>
            <w:color w:val="009292"/>
            <w:sz w:val="18"/>
          </w:rPr>
          <w:t>107</w:t>
        </w:r>
        <w:r w:rsidR="00BE415F" w:rsidRPr="00205822">
          <w:rPr>
            <w:color w:val="009292"/>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AE3B" w14:textId="77777777" w:rsidR="00BE415F" w:rsidRPr="00566A3D" w:rsidRDefault="00BE415F" w:rsidP="005645CE">
    <w:pPr>
      <w:ind w:left="-284"/>
      <w:jc w:val="center"/>
    </w:pPr>
    <w:r>
      <w:rPr>
        <w:noProof/>
        <w:lang w:val="en-GB" w:eastAsia="en-GB"/>
      </w:rPr>
      <mc:AlternateContent>
        <mc:Choice Requires="wps">
          <w:drawing>
            <wp:anchor distT="0" distB="0" distL="114300" distR="114300" simplePos="0" relativeHeight="251673600" behindDoc="0" locked="0" layoutInCell="1" allowOverlap="1" wp14:anchorId="4BBE9BFB" wp14:editId="6A72D947">
              <wp:simplePos x="0" y="0"/>
              <wp:positionH relativeFrom="page">
                <wp:posOffset>0</wp:posOffset>
              </wp:positionH>
              <wp:positionV relativeFrom="page">
                <wp:posOffset>9926320</wp:posOffset>
              </wp:positionV>
              <wp:extent cx="7545600" cy="0"/>
              <wp:effectExtent l="0" t="0" r="36830" b="19050"/>
              <wp:wrapNone/>
              <wp:docPr id="26" name="Line 8" descr="Horizontal line to identify footer"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9C290" id="Line 8" o:spid="_x0000_s1026" alt="Title: Horizontal line - Description: Horizontal line to identify footer"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1.6pt" to="594.15pt,7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">
              <w10:wrap anchorx="page" anchory="page"/>
            </v:line>
          </w:pict>
        </mc:Fallback>
      </mc:AlternateContent>
    </w:r>
    <w:r w:rsidRPr="007C138D">
      <w:rPr>
        <w:rFonts w:cs="Arial"/>
        <w:b/>
        <w:i/>
        <w:color w:val="7F7F7F"/>
      </w:rPr>
      <w:t xml:space="preserve">Our Purpose – To </w:t>
    </w:r>
    <w:r>
      <w:rPr>
        <w:rFonts w:cs="Arial"/>
        <w:b/>
        <w:i/>
        <w:color w:val="7F7F7F"/>
      </w:rPr>
      <w:t>assist Parliament in the oversight of the performance of the NT Government by providing independent analysis through the conduct of audits and reviews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A4C83" w14:textId="77777777" w:rsidR="00BE415F" w:rsidRDefault="00BE415F" w:rsidP="00564D66">
      <w:pPr>
        <w:spacing w:after="0" w:line="240" w:lineRule="auto"/>
      </w:pPr>
      <w:r>
        <w:separator/>
      </w:r>
    </w:p>
  </w:footnote>
  <w:footnote w:type="continuationSeparator" w:id="0">
    <w:p w14:paraId="39925AD0" w14:textId="77777777" w:rsidR="00BE415F" w:rsidRDefault="00BE415F" w:rsidP="00821E9E">
      <w:pPr>
        <w:spacing w:after="0" w:line="240" w:lineRule="auto"/>
      </w:pPr>
      <w:r>
        <w:continuationSeparator/>
      </w:r>
    </w:p>
  </w:footnote>
  <w:footnote w:id="1">
    <w:p w14:paraId="4D3C7990" w14:textId="77777777" w:rsidR="00BE415F" w:rsidRDefault="00BE415F" w:rsidP="00852039">
      <w:pPr>
        <w:pStyle w:val="FootnoteText"/>
      </w:pPr>
      <w:r>
        <w:rPr>
          <w:rStyle w:val="FootnoteReference"/>
        </w:rPr>
        <w:footnoteRef/>
      </w:r>
      <w:r>
        <w:t xml:space="preserve"> </w:t>
      </w:r>
      <w:r w:rsidRPr="00852039">
        <w:t>https://ntgcentral.nt.gov.au/my-job/leave-entitlements/christmas-closedown</w:t>
      </w:r>
    </w:p>
  </w:footnote>
  <w:footnote w:id="2">
    <w:p w14:paraId="7EDDEAFD" w14:textId="51A0523A" w:rsidR="00BE415F" w:rsidRDefault="00BE415F">
      <w:pPr>
        <w:pStyle w:val="FootnoteText"/>
      </w:pPr>
      <w:r>
        <w:rPr>
          <w:rStyle w:val="FootnoteReference"/>
        </w:rPr>
        <w:footnoteRef/>
      </w:r>
      <w:r>
        <w:t xml:space="preserve"> </w:t>
      </w:r>
      <w:r w:rsidRPr="00A328F6">
        <w:t>https://ntgcentral.nt.gov.au/my-job/work-life-balance/overtime-and-time-off-in-lieu</w:t>
      </w:r>
    </w:p>
  </w:footnote>
  <w:footnote w:id="3">
    <w:p w14:paraId="207D5E76" w14:textId="77777777" w:rsidR="00BE415F" w:rsidRDefault="00BE415F" w:rsidP="004308BA">
      <w:pPr>
        <w:pStyle w:val="FootnoteText"/>
      </w:pPr>
      <w:r>
        <w:rPr>
          <w:rStyle w:val="FootnoteReference"/>
        </w:rPr>
        <w:footnoteRef/>
      </w:r>
      <w:r>
        <w:t xml:space="preserve"> </w:t>
      </w:r>
      <w:r w:rsidRPr="007101AE">
        <w:t>https://ntgcentral.nt.gov.au/my-job/work-life-balance/flextime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8E6EB" w14:textId="77777777" w:rsidR="00BE415F" w:rsidRPr="00205822" w:rsidRDefault="00BE415F" w:rsidP="003F5414">
    <w:pPr>
      <w:spacing w:after="0" w:line="240" w:lineRule="auto"/>
      <w:ind w:left="-284"/>
      <w:rPr>
        <w:rFonts w:ascii="Arial Bold" w:hAnsi="Arial Bold"/>
        <w:b/>
        <w:color w:val="009292"/>
        <w:sz w:val="18"/>
      </w:rPr>
    </w:pPr>
    <w:r>
      <w:rPr>
        <w:rFonts w:ascii="Arial Bold" w:hAnsi="Arial Bold"/>
        <w:b/>
        <w:color w:val="009292"/>
        <w:sz w:val="18"/>
      </w:rPr>
      <w:t>Auditor</w:t>
    </w:r>
    <w:r>
      <w:rPr>
        <w:rFonts w:ascii="Arial Bold" w:hAnsi="Arial Bold"/>
        <w:b/>
        <w:color w:val="009292"/>
        <w:sz w:val="18"/>
      </w:rPr>
      <w:noBreakHyphen/>
      <w:t>General</w:t>
    </w:r>
    <w:r w:rsidRPr="00205822">
      <w:rPr>
        <w:rFonts w:ascii="Arial Bold" w:hAnsi="Arial Bold"/>
        <w:b/>
        <w:color w:val="009292"/>
        <w:sz w:val="18"/>
      </w:rPr>
      <w:t xml:space="preserve"> for the Northern Territory</w:t>
    </w:r>
    <w:r>
      <w:rPr>
        <w:rFonts w:ascii="Arial Bold" w:hAnsi="Arial Bold"/>
        <w:b/>
        <w:color w:val="009292"/>
        <w:sz w:val="18"/>
      </w:rPr>
      <w:br/>
    </w:r>
    <w:r w:rsidRPr="006F199E">
      <w:rPr>
        <w:color w:val="009292"/>
        <w:sz w:val="18"/>
      </w:rPr>
      <w:t>August 2021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9BAC6" w14:textId="77777777" w:rsidR="00BE415F" w:rsidRPr="00205822" w:rsidRDefault="00BE415F" w:rsidP="00205822">
    <w:pPr>
      <w:spacing w:after="0" w:line="240" w:lineRule="auto"/>
      <w:jc w:val="right"/>
      <w:rPr>
        <w:rFonts w:ascii="Arial Bold" w:hAnsi="Arial Bold"/>
        <w:b/>
        <w:color w:val="009292"/>
        <w:sz w:val="18"/>
      </w:rPr>
    </w:pPr>
    <w:r>
      <w:rPr>
        <w:rFonts w:ascii="Arial Bold" w:hAnsi="Arial Bold"/>
        <w:b/>
        <w:color w:val="009292"/>
        <w:sz w:val="18"/>
      </w:rPr>
      <w:t>Auditor</w:t>
    </w:r>
    <w:r>
      <w:rPr>
        <w:rFonts w:ascii="Arial Bold" w:hAnsi="Arial Bold"/>
        <w:b/>
        <w:color w:val="009292"/>
        <w:sz w:val="18"/>
      </w:rPr>
      <w:noBreakHyphen/>
      <w:t>General</w:t>
    </w:r>
    <w:r w:rsidRPr="00205822">
      <w:rPr>
        <w:rFonts w:ascii="Arial Bold" w:hAnsi="Arial Bold"/>
        <w:b/>
        <w:color w:val="009292"/>
        <w:sz w:val="18"/>
      </w:rPr>
      <w:t xml:space="preserve"> for the Northern Territory</w:t>
    </w:r>
    <w:r>
      <w:rPr>
        <w:rFonts w:ascii="Arial Bold" w:hAnsi="Arial Bold"/>
        <w:b/>
        <w:color w:val="009292"/>
        <w:sz w:val="18"/>
      </w:rPr>
      <w:br/>
    </w:r>
    <w:r w:rsidRPr="006F199E">
      <w:rPr>
        <w:color w:val="009292"/>
        <w:sz w:val="18"/>
      </w:rPr>
      <w:t>August 2021 Report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C3BC" w14:textId="77777777" w:rsidR="00BE415F" w:rsidRDefault="00BE415F" w:rsidP="00F51E5E">
    <w:pPr>
      <w:pStyle w:val="Header"/>
      <w:tabs>
        <w:tab w:val="left" w:pos="1134"/>
      </w:tabs>
      <w:spacing w:after="120" w:line="280" w:lineRule="exact"/>
      <w:ind w:left="1134"/>
      <w:jc w:val="both"/>
      <w:rPr>
        <w:rFonts w:cs="Arial"/>
        <w:b/>
        <w:noProof/>
        <w:sz w:val="28"/>
        <w:szCs w:val="28"/>
      </w:rPr>
    </w:pPr>
    <w:r>
      <w:rPr>
        <w:rFonts w:cs="Arial"/>
        <w:b/>
        <w:noProof/>
        <w:sz w:val="28"/>
        <w:szCs w:val="28"/>
        <w:lang w:val="en-GB" w:eastAsia="en-GB"/>
      </w:rPr>
      <w:drawing>
        <wp:anchor distT="0" distB="0" distL="114300" distR="114300" simplePos="0" relativeHeight="251677696" behindDoc="1" locked="0" layoutInCell="1" allowOverlap="1" wp14:anchorId="0DFFCA25" wp14:editId="28FA9FA5">
          <wp:simplePos x="0" y="0"/>
          <wp:positionH relativeFrom="column">
            <wp:posOffset>-279037</wp:posOffset>
          </wp:positionH>
          <wp:positionV relativeFrom="paragraph">
            <wp:posOffset>-40640</wp:posOffset>
          </wp:positionV>
          <wp:extent cx="867600" cy="687600"/>
          <wp:effectExtent l="0" t="0" r="8890" b="0"/>
          <wp:wrapNone/>
          <wp:docPr id="204" name="Picture 204"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 Crest_Mon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687600"/>
                  </a:xfrm>
                  <a:prstGeom prst="rect">
                    <a:avLst/>
                  </a:prstGeom>
                </pic:spPr>
              </pic:pic>
            </a:graphicData>
          </a:graphic>
          <wp14:sizeRelH relativeFrom="page">
            <wp14:pctWidth>0</wp14:pctWidth>
          </wp14:sizeRelH>
          <wp14:sizeRelV relativeFrom="page">
            <wp14:pctHeight>0</wp14:pctHeight>
          </wp14:sizeRelV>
        </wp:anchor>
      </w:drawing>
    </w:r>
    <w:r w:rsidRPr="00535146">
      <w:rPr>
        <w:rFonts w:cs="Arial"/>
        <w:b/>
        <w:i/>
        <w:noProof/>
        <w:color w:val="7F7F7F"/>
        <w:lang w:val="en-GB" w:eastAsia="en-GB"/>
      </w:rPr>
      <mc:AlternateContent>
        <mc:Choice Requires="wps">
          <w:drawing>
            <wp:anchor distT="0" distB="0" distL="114300" distR="114300" simplePos="0" relativeHeight="251676672" behindDoc="0" locked="0" layoutInCell="1" allowOverlap="1" wp14:anchorId="31CB4B3E" wp14:editId="5F125C3E">
              <wp:simplePos x="0" y="0"/>
              <wp:positionH relativeFrom="column">
                <wp:posOffset>4305300</wp:posOffset>
              </wp:positionH>
              <wp:positionV relativeFrom="paragraph">
                <wp:posOffset>-130175</wp:posOffset>
              </wp:positionV>
              <wp:extent cx="1424940" cy="716280"/>
              <wp:effectExtent l="0" t="0" r="0" b="7620"/>
              <wp:wrapNone/>
              <wp:docPr id="195" name="Text Box 14" descr="GPO Box 4594&#10;DARWIN  NT  0801&#10;(08) 8999 7155&#10;https://ago.nt.gov.au&#10;" title="Adderss 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43A9D" w14:textId="77777777" w:rsidR="00BE415F" w:rsidRPr="007300D6" w:rsidRDefault="00BE415F" w:rsidP="00F51E5E">
                          <w:pPr>
                            <w:spacing w:line="240" w:lineRule="auto"/>
                            <w:jc w:val="right"/>
                            <w:rPr>
                              <w:sz w:val="16"/>
                              <w:szCs w:val="16"/>
                            </w:rPr>
                          </w:pPr>
                          <w:r w:rsidRPr="007300D6">
                            <w:rPr>
                              <w:sz w:val="16"/>
                              <w:szCs w:val="16"/>
                            </w:rPr>
                            <w:t>GPO Box 4594</w:t>
                          </w:r>
                          <w:r w:rsidRPr="007300D6">
                            <w:rPr>
                              <w:sz w:val="16"/>
                              <w:szCs w:val="16"/>
                            </w:rPr>
                            <w:br/>
                            <w:t>DARWIN  NT  0801</w:t>
                          </w:r>
                        </w:p>
                        <w:p w14:paraId="57897845" w14:textId="77777777" w:rsidR="00BE415F" w:rsidRPr="007300D6" w:rsidRDefault="00BE415F" w:rsidP="00F51E5E">
                          <w:pPr>
                            <w:spacing w:line="240" w:lineRule="auto"/>
                            <w:jc w:val="right"/>
                            <w:rPr>
                              <w:sz w:val="16"/>
                              <w:szCs w:val="16"/>
                            </w:rPr>
                          </w:pPr>
                          <w:r w:rsidRPr="007300D6">
                            <w:rPr>
                              <w:sz w:val="16"/>
                              <w:szCs w:val="16"/>
                            </w:rPr>
                            <w:t>(08) 8999 7155</w:t>
                          </w:r>
                          <w:r w:rsidRPr="007300D6">
                            <w:rPr>
                              <w:sz w:val="16"/>
                              <w:szCs w:val="16"/>
                            </w:rPr>
                            <w:br/>
                            <w:t>https://ago.nt.gov.au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B4B3E" id="_x0000_t202" coordsize="21600,21600" o:spt="202" path="m,l,21600r21600,l21600,xe">
              <v:stroke joinstyle="miter"/>
              <v:path gradientshapeok="t" o:connecttype="rect"/>
            </v:shapetype>
            <v:shape id="Text Box 14" o:spid="_x0000_s1038" type="#_x0000_t202" alt="Title: Adderss block - Description: GPO Box 4594&#10;DARWIN  NT  0801&#10;(08) 8999 7155&#10;https://ago.nt.gov.au&#10;" style="position:absolute;left:0;text-align:left;margin-left:339pt;margin-top:-10.25pt;width:112.2pt;height:5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" filled="f" stroked="f">
              <v:textbox>
                <w:txbxContent>
                  <w:p w14:paraId="5F443A9D" w14:textId="77777777" w:rsidR="00D805FE" w:rsidRPr="007300D6" w:rsidRDefault="00D805FE" w:rsidP="00F51E5E">
                    <w:pPr>
                      <w:spacing w:line="240" w:lineRule="auto"/>
                      <w:jc w:val="right"/>
                      <w:rPr>
                        <w:sz w:val="16"/>
                        <w:szCs w:val="16"/>
                      </w:rPr>
                    </w:pPr>
                    <w:r w:rsidRPr="007300D6">
                      <w:rPr>
                        <w:sz w:val="16"/>
                        <w:szCs w:val="16"/>
                      </w:rPr>
                      <w:t>GPO Box 4594</w:t>
                    </w:r>
                    <w:r w:rsidRPr="007300D6">
                      <w:rPr>
                        <w:sz w:val="16"/>
                        <w:szCs w:val="16"/>
                      </w:rPr>
                      <w:br/>
                      <w:t>DARWIN  NT  0801</w:t>
                    </w:r>
                  </w:p>
                  <w:p w14:paraId="57897845" w14:textId="77777777" w:rsidR="00D805FE" w:rsidRPr="007300D6" w:rsidRDefault="00D805FE" w:rsidP="00F51E5E">
                    <w:pPr>
                      <w:spacing w:line="240" w:lineRule="auto"/>
                      <w:jc w:val="right"/>
                      <w:rPr>
                        <w:sz w:val="16"/>
                        <w:szCs w:val="16"/>
                      </w:rPr>
                    </w:pPr>
                    <w:r w:rsidRPr="007300D6">
                      <w:rPr>
                        <w:sz w:val="16"/>
                        <w:szCs w:val="16"/>
                      </w:rPr>
                      <w:t>(08) 8999 7155</w:t>
                    </w:r>
                    <w:r w:rsidRPr="007300D6">
                      <w:rPr>
                        <w:sz w:val="16"/>
                        <w:szCs w:val="16"/>
                      </w:rPr>
                      <w:br/>
                      <w:t>https://ago.nt.gov.au</w:t>
                    </w:r>
                  </w:p>
                </w:txbxContent>
              </v:textbox>
            </v:shape>
          </w:pict>
        </mc:Fallback>
      </mc:AlternateContent>
    </w:r>
    <w:r>
      <w:rPr>
        <w:rFonts w:cs="Arial"/>
        <w:b/>
        <w:noProof/>
        <w:sz w:val="28"/>
        <w:szCs w:val="28"/>
        <w:lang w:val="en-GB" w:eastAsia="en-GB"/>
      </w:rPr>
      <mc:AlternateContent>
        <mc:Choice Requires="wps">
          <w:drawing>
            <wp:anchor distT="0" distB="0" distL="114300" distR="114300" simplePos="0" relativeHeight="251675648" behindDoc="0" locked="0" layoutInCell="1" allowOverlap="1" wp14:anchorId="5E69A4BE" wp14:editId="15E1EE49">
              <wp:simplePos x="0" y="0"/>
              <wp:positionH relativeFrom="column">
                <wp:posOffset>625656</wp:posOffset>
              </wp:positionH>
              <wp:positionV relativeFrom="paragraph">
                <wp:posOffset>6985</wp:posOffset>
              </wp:positionV>
              <wp:extent cx="0" cy="645886"/>
              <wp:effectExtent l="0" t="0" r="19050" b="20955"/>
              <wp:wrapNone/>
              <wp:docPr id="196" name="Line 13" descr="Decorative line"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458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1472" id="Line 13" o:spid="_x0000_s1026" alt="Title: Decorative line - Description: Decorative line"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55pt" to="49.2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" strokeweight="1.5pt"/>
          </w:pict>
        </mc:Fallback>
      </mc:AlternateContent>
    </w:r>
    <w:r w:rsidRPr="00F06178">
      <w:rPr>
        <w:rFonts w:cs="Arial"/>
        <w:b/>
        <w:noProof/>
        <w:sz w:val="28"/>
        <w:szCs w:val="28"/>
      </w:rPr>
      <w:t xml:space="preserve">Northern Territory </w:t>
    </w:r>
  </w:p>
  <w:p w14:paraId="237CE6E1" w14:textId="77777777" w:rsidR="00BE415F" w:rsidRPr="00F06178" w:rsidRDefault="00BE415F" w:rsidP="00F51E5E">
    <w:pPr>
      <w:pStyle w:val="Header"/>
      <w:tabs>
        <w:tab w:val="left" w:pos="1134"/>
      </w:tabs>
      <w:spacing w:after="120" w:line="280" w:lineRule="exact"/>
      <w:ind w:left="720" w:firstLine="414"/>
      <w:jc w:val="both"/>
      <w:rPr>
        <w:rFonts w:cs="Arial"/>
        <w:b/>
        <w:noProof/>
        <w:sz w:val="28"/>
        <w:szCs w:val="28"/>
      </w:rPr>
    </w:pPr>
    <w:r w:rsidRPr="00F06178">
      <w:rPr>
        <w:rFonts w:cs="Arial"/>
        <w:b/>
        <w:noProof/>
        <w:sz w:val="28"/>
        <w:szCs w:val="28"/>
      </w:rPr>
      <w:t>Auditor-General’s Office</w:t>
    </w:r>
  </w:p>
  <w:p w14:paraId="09B20894" w14:textId="77777777" w:rsidR="00BE415F" w:rsidRPr="004411C8" w:rsidRDefault="00BE415F" w:rsidP="00F51E5E">
    <w:pPr>
      <w:pStyle w:val="Header"/>
      <w:spacing w:after="120" w:line="280" w:lineRule="exact"/>
      <w:ind w:left="1134"/>
      <w:jc w:val="both"/>
      <w:rPr>
        <w:rFonts w:cs="Arial"/>
        <w:b/>
        <w:color w:val="7F7F7F"/>
      </w:rPr>
    </w:pPr>
    <w:r w:rsidRPr="00DE25DA">
      <w:rPr>
        <w:rFonts w:cs="Arial"/>
        <w:b/>
        <w:color w:val="7F7F7F"/>
      </w:rPr>
      <w:t>Auditing for Parliament</w:t>
    </w:r>
  </w:p>
  <w:p w14:paraId="0B8E781D" w14:textId="77777777" w:rsidR="00BE415F" w:rsidRPr="00F51E5E" w:rsidRDefault="00BE415F" w:rsidP="00F51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2434E8"/>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E03E3D4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E5ADDD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0EA2B12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A685B6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FCB328"/>
    <w:lvl w:ilvl="0">
      <w:start w:val="1"/>
      <w:numFmt w:val="bullet"/>
      <w:pStyle w:val="ListBullet3"/>
      <w:lvlText w:val="-"/>
      <w:lvlJc w:val="left"/>
      <w:pPr>
        <w:ind w:left="926" w:hanging="360"/>
      </w:pPr>
      <w:rPr>
        <w:rFonts w:ascii="Courier New" w:hAnsi="Courier New" w:hint="default"/>
      </w:rPr>
    </w:lvl>
  </w:abstractNum>
  <w:abstractNum w:abstractNumId="6" w15:restartNumberingAfterBreak="0">
    <w:nsid w:val="FFFFFF83"/>
    <w:multiLevelType w:val="singleLevel"/>
    <w:tmpl w:val="8A6E0C88"/>
    <w:lvl w:ilvl="0">
      <w:start w:val="1"/>
      <w:numFmt w:val="bullet"/>
      <w:pStyle w:val="ListBullet2"/>
      <w:lvlText w:val="o"/>
      <w:lvlJc w:val="left"/>
      <w:pPr>
        <w:ind w:left="643" w:hanging="360"/>
      </w:pPr>
      <w:rPr>
        <w:rFonts w:ascii="Courier New" w:hAnsi="Courier New" w:cs="Courier New" w:hint="default"/>
      </w:rPr>
    </w:lvl>
  </w:abstractNum>
  <w:abstractNum w:abstractNumId="7" w15:restartNumberingAfterBreak="0">
    <w:nsid w:val="FFFFFF88"/>
    <w:multiLevelType w:val="singleLevel"/>
    <w:tmpl w:val="31B8B058"/>
    <w:lvl w:ilvl="0">
      <w:start w:val="1"/>
      <w:numFmt w:val="decimal"/>
      <w:pStyle w:val="ListNumber"/>
      <w:lvlText w:val="%1."/>
      <w:lvlJc w:val="left"/>
      <w:pPr>
        <w:tabs>
          <w:tab w:val="num" w:pos="360"/>
        </w:tabs>
        <w:ind w:left="360" w:hanging="360"/>
      </w:pPr>
      <w:rPr>
        <w:rFonts w:hint="default"/>
      </w:rPr>
    </w:lvl>
  </w:abstractNum>
  <w:abstractNum w:abstractNumId="8" w15:restartNumberingAfterBreak="0">
    <w:nsid w:val="FFFFFF89"/>
    <w:multiLevelType w:val="singleLevel"/>
    <w:tmpl w:val="8C0AC4A6"/>
    <w:lvl w:ilvl="0">
      <w:start w:val="1"/>
      <w:numFmt w:val="bullet"/>
      <w:pStyle w:val="ListBullet"/>
      <w:lvlText w:val=""/>
      <w:lvlJc w:val="left"/>
      <w:pPr>
        <w:ind w:left="360" w:hanging="360"/>
      </w:pPr>
      <w:rPr>
        <w:rFonts w:ascii="Wingdings" w:hAnsi="Wingdings" w:hint="default"/>
      </w:rPr>
    </w:lvl>
  </w:abstractNum>
  <w:abstractNum w:abstractNumId="9" w15:restartNumberingAfterBreak="0">
    <w:nsid w:val="3F0036A1"/>
    <w:multiLevelType w:val="hybridMultilevel"/>
    <w:tmpl w:val="3A0C5126"/>
    <w:lvl w:ilvl="0" w:tplc="4894C168">
      <w:start w:val="1"/>
      <w:numFmt w:val="decimal"/>
      <w:lvlText w:val="(%1)"/>
      <w:lvlJc w:val="left"/>
      <w:pPr>
        <w:ind w:left="1380" w:hanging="516"/>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0" w15:restartNumberingAfterBreak="0">
    <w:nsid w:val="46A14E24"/>
    <w:multiLevelType w:val="hybridMultilevel"/>
    <w:tmpl w:val="9AA8B05E"/>
    <w:lvl w:ilvl="0" w:tplc="86D28D42">
      <w:start w:val="1"/>
      <w:numFmt w:val="lowerLetter"/>
      <w:pStyle w:val="ListAlpha"/>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DF42C0B"/>
    <w:multiLevelType w:val="hybridMultilevel"/>
    <w:tmpl w:val="AFCCCE46"/>
    <w:lvl w:ilvl="0" w:tplc="F520914A">
      <w:start w:val="1"/>
      <w:numFmt w:val="decimal"/>
      <w:pStyle w:val="ListNumbered"/>
      <w:lvlText w:val="%1."/>
      <w:lvlJc w:val="left"/>
      <w:pPr>
        <w:ind w:left="360" w:hanging="360"/>
      </w:pPr>
    </w:lvl>
    <w:lvl w:ilvl="1" w:tplc="C200EA56">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10"/>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11"/>
  </w:num>
  <w:num w:numId="17">
    <w:abstractNumId w:val="7"/>
    <w:lvlOverride w:ilvl="0">
      <w:startOverride w:val="1"/>
    </w:lvlOverride>
  </w:num>
  <w:num w:numId="18">
    <w:abstractNumId w:val="7"/>
    <w:lvlOverride w:ilvl="0">
      <w:startOverride w:val="1"/>
    </w:lvlOverride>
  </w:num>
  <w:num w:numId="19">
    <w:abstractNumId w:val="9"/>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SortMethod w:val="0000"/>
  <w:defaultTabStop w:val="720"/>
  <w:evenAndOddHeaders/>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9E"/>
    <w:rsid w:val="00000F8B"/>
    <w:rsid w:val="000011AE"/>
    <w:rsid w:val="00005AC0"/>
    <w:rsid w:val="0000672D"/>
    <w:rsid w:val="00006B7C"/>
    <w:rsid w:val="00007AA1"/>
    <w:rsid w:val="00011A13"/>
    <w:rsid w:val="0001758F"/>
    <w:rsid w:val="00017EB3"/>
    <w:rsid w:val="00021B3D"/>
    <w:rsid w:val="00026C11"/>
    <w:rsid w:val="0002737E"/>
    <w:rsid w:val="00030437"/>
    <w:rsid w:val="00033353"/>
    <w:rsid w:val="00033A8A"/>
    <w:rsid w:val="00033DB4"/>
    <w:rsid w:val="00036C17"/>
    <w:rsid w:val="00043A69"/>
    <w:rsid w:val="00044609"/>
    <w:rsid w:val="0004599F"/>
    <w:rsid w:val="0004605C"/>
    <w:rsid w:val="00053CB8"/>
    <w:rsid w:val="00057A21"/>
    <w:rsid w:val="00057E65"/>
    <w:rsid w:val="000617DF"/>
    <w:rsid w:val="00061C96"/>
    <w:rsid w:val="00062255"/>
    <w:rsid w:val="0006307F"/>
    <w:rsid w:val="000634EA"/>
    <w:rsid w:val="0006665D"/>
    <w:rsid w:val="00067150"/>
    <w:rsid w:val="000675F7"/>
    <w:rsid w:val="000724EF"/>
    <w:rsid w:val="0007304D"/>
    <w:rsid w:val="00076365"/>
    <w:rsid w:val="00084F8F"/>
    <w:rsid w:val="00086BE0"/>
    <w:rsid w:val="0009066B"/>
    <w:rsid w:val="000910A8"/>
    <w:rsid w:val="000A09A6"/>
    <w:rsid w:val="000A0D6F"/>
    <w:rsid w:val="000A547C"/>
    <w:rsid w:val="000A6145"/>
    <w:rsid w:val="000B0E53"/>
    <w:rsid w:val="000B27EF"/>
    <w:rsid w:val="000B31F7"/>
    <w:rsid w:val="000B38A1"/>
    <w:rsid w:val="000C3CD1"/>
    <w:rsid w:val="000D515D"/>
    <w:rsid w:val="000D643C"/>
    <w:rsid w:val="000D7CB3"/>
    <w:rsid w:val="000E1DD3"/>
    <w:rsid w:val="000E2CFF"/>
    <w:rsid w:val="000E3159"/>
    <w:rsid w:val="000E370D"/>
    <w:rsid w:val="000E3E1D"/>
    <w:rsid w:val="000E4516"/>
    <w:rsid w:val="000E71B6"/>
    <w:rsid w:val="000F75AE"/>
    <w:rsid w:val="00101B82"/>
    <w:rsid w:val="00102044"/>
    <w:rsid w:val="00102B32"/>
    <w:rsid w:val="00104791"/>
    <w:rsid w:val="00106DE2"/>
    <w:rsid w:val="001105B5"/>
    <w:rsid w:val="00110D54"/>
    <w:rsid w:val="00111D73"/>
    <w:rsid w:val="00115101"/>
    <w:rsid w:val="001214FB"/>
    <w:rsid w:val="00121B5A"/>
    <w:rsid w:val="00122D0E"/>
    <w:rsid w:val="00125EB1"/>
    <w:rsid w:val="00133A21"/>
    <w:rsid w:val="00135A8B"/>
    <w:rsid w:val="00136065"/>
    <w:rsid w:val="001368FE"/>
    <w:rsid w:val="0014077C"/>
    <w:rsid w:val="00140D0B"/>
    <w:rsid w:val="0014503F"/>
    <w:rsid w:val="001474D6"/>
    <w:rsid w:val="001506A8"/>
    <w:rsid w:val="00152D1B"/>
    <w:rsid w:val="00154E90"/>
    <w:rsid w:val="00154EC3"/>
    <w:rsid w:val="0015766A"/>
    <w:rsid w:val="00160F38"/>
    <w:rsid w:val="001639BF"/>
    <w:rsid w:val="00163CC8"/>
    <w:rsid w:val="00163CCE"/>
    <w:rsid w:val="001662D5"/>
    <w:rsid w:val="001710DE"/>
    <w:rsid w:val="00172488"/>
    <w:rsid w:val="00172719"/>
    <w:rsid w:val="001744C3"/>
    <w:rsid w:val="0017475C"/>
    <w:rsid w:val="001757AC"/>
    <w:rsid w:val="00175FB7"/>
    <w:rsid w:val="0018572F"/>
    <w:rsid w:val="001860CC"/>
    <w:rsid w:val="00190D56"/>
    <w:rsid w:val="00191547"/>
    <w:rsid w:val="001917F5"/>
    <w:rsid w:val="001A05C9"/>
    <w:rsid w:val="001A7934"/>
    <w:rsid w:val="001A7FF0"/>
    <w:rsid w:val="001B0A9E"/>
    <w:rsid w:val="001B29CF"/>
    <w:rsid w:val="001B74F0"/>
    <w:rsid w:val="001B7F91"/>
    <w:rsid w:val="001C0BC3"/>
    <w:rsid w:val="001C169B"/>
    <w:rsid w:val="001C4A6C"/>
    <w:rsid w:val="001C5D59"/>
    <w:rsid w:val="001C5D6F"/>
    <w:rsid w:val="001C62A8"/>
    <w:rsid w:val="001C70D4"/>
    <w:rsid w:val="001D18D2"/>
    <w:rsid w:val="001D366A"/>
    <w:rsid w:val="001D683F"/>
    <w:rsid w:val="001E6891"/>
    <w:rsid w:val="001F2DFA"/>
    <w:rsid w:val="001F67B3"/>
    <w:rsid w:val="001F6E5C"/>
    <w:rsid w:val="002047C1"/>
    <w:rsid w:val="00205632"/>
    <w:rsid w:val="00205822"/>
    <w:rsid w:val="00206AF5"/>
    <w:rsid w:val="00206EFC"/>
    <w:rsid w:val="0021782E"/>
    <w:rsid w:val="00220B21"/>
    <w:rsid w:val="00220D66"/>
    <w:rsid w:val="00225067"/>
    <w:rsid w:val="00225A46"/>
    <w:rsid w:val="002272F4"/>
    <w:rsid w:val="00230B79"/>
    <w:rsid w:val="0023182D"/>
    <w:rsid w:val="00234A0F"/>
    <w:rsid w:val="00245955"/>
    <w:rsid w:val="00250595"/>
    <w:rsid w:val="002507C3"/>
    <w:rsid w:val="0025700B"/>
    <w:rsid w:val="00260D1A"/>
    <w:rsid w:val="00265746"/>
    <w:rsid w:val="00270B09"/>
    <w:rsid w:val="002713B5"/>
    <w:rsid w:val="00272341"/>
    <w:rsid w:val="002736C4"/>
    <w:rsid w:val="00275555"/>
    <w:rsid w:val="0027721D"/>
    <w:rsid w:val="002774A1"/>
    <w:rsid w:val="002802A1"/>
    <w:rsid w:val="002820C4"/>
    <w:rsid w:val="00283897"/>
    <w:rsid w:val="002848D2"/>
    <w:rsid w:val="002851A4"/>
    <w:rsid w:val="0029067E"/>
    <w:rsid w:val="0029128E"/>
    <w:rsid w:val="00291341"/>
    <w:rsid w:val="00295AE6"/>
    <w:rsid w:val="002963D4"/>
    <w:rsid w:val="0029755E"/>
    <w:rsid w:val="00297734"/>
    <w:rsid w:val="002A40E8"/>
    <w:rsid w:val="002A4234"/>
    <w:rsid w:val="002A5C18"/>
    <w:rsid w:val="002A6D08"/>
    <w:rsid w:val="002B0699"/>
    <w:rsid w:val="002B1AD1"/>
    <w:rsid w:val="002B7E0E"/>
    <w:rsid w:val="002C2203"/>
    <w:rsid w:val="002C28BE"/>
    <w:rsid w:val="002C3FCE"/>
    <w:rsid w:val="002C6C40"/>
    <w:rsid w:val="002D3751"/>
    <w:rsid w:val="002D4354"/>
    <w:rsid w:val="002D4FDE"/>
    <w:rsid w:val="002D54A0"/>
    <w:rsid w:val="002E138E"/>
    <w:rsid w:val="002E3441"/>
    <w:rsid w:val="002E4C6C"/>
    <w:rsid w:val="002E5FF0"/>
    <w:rsid w:val="002E7B17"/>
    <w:rsid w:val="002F107D"/>
    <w:rsid w:val="002F1169"/>
    <w:rsid w:val="002F470B"/>
    <w:rsid w:val="0030105F"/>
    <w:rsid w:val="0031445C"/>
    <w:rsid w:val="00315188"/>
    <w:rsid w:val="00320FC2"/>
    <w:rsid w:val="00321DDA"/>
    <w:rsid w:val="00337A41"/>
    <w:rsid w:val="00337C9E"/>
    <w:rsid w:val="003434BE"/>
    <w:rsid w:val="00343D39"/>
    <w:rsid w:val="00346646"/>
    <w:rsid w:val="00347667"/>
    <w:rsid w:val="0035274A"/>
    <w:rsid w:val="003536AD"/>
    <w:rsid w:val="00360842"/>
    <w:rsid w:val="00361BF7"/>
    <w:rsid w:val="00371558"/>
    <w:rsid w:val="003728BE"/>
    <w:rsid w:val="00377EFD"/>
    <w:rsid w:val="00380ACB"/>
    <w:rsid w:val="003819E3"/>
    <w:rsid w:val="00382842"/>
    <w:rsid w:val="0038496E"/>
    <w:rsid w:val="00387CFC"/>
    <w:rsid w:val="0039208E"/>
    <w:rsid w:val="00392229"/>
    <w:rsid w:val="00392498"/>
    <w:rsid w:val="003952AB"/>
    <w:rsid w:val="003A1120"/>
    <w:rsid w:val="003A392E"/>
    <w:rsid w:val="003A3ED3"/>
    <w:rsid w:val="003A4148"/>
    <w:rsid w:val="003B11B0"/>
    <w:rsid w:val="003B1D8E"/>
    <w:rsid w:val="003B483C"/>
    <w:rsid w:val="003B6075"/>
    <w:rsid w:val="003C0290"/>
    <w:rsid w:val="003C5CEA"/>
    <w:rsid w:val="003C7C5A"/>
    <w:rsid w:val="003D14FB"/>
    <w:rsid w:val="003D2088"/>
    <w:rsid w:val="003D4FA7"/>
    <w:rsid w:val="003D554D"/>
    <w:rsid w:val="003D6549"/>
    <w:rsid w:val="003D7346"/>
    <w:rsid w:val="003E5D23"/>
    <w:rsid w:val="003E649B"/>
    <w:rsid w:val="003F5414"/>
    <w:rsid w:val="003F70FC"/>
    <w:rsid w:val="004008E9"/>
    <w:rsid w:val="00402A9F"/>
    <w:rsid w:val="0041551E"/>
    <w:rsid w:val="004206BA"/>
    <w:rsid w:val="00421806"/>
    <w:rsid w:val="00421DE8"/>
    <w:rsid w:val="004308BA"/>
    <w:rsid w:val="00433E8C"/>
    <w:rsid w:val="0043501D"/>
    <w:rsid w:val="004366B9"/>
    <w:rsid w:val="004370F9"/>
    <w:rsid w:val="00441450"/>
    <w:rsid w:val="00443CD8"/>
    <w:rsid w:val="0044489F"/>
    <w:rsid w:val="0044544F"/>
    <w:rsid w:val="0045031A"/>
    <w:rsid w:val="00451157"/>
    <w:rsid w:val="004548E8"/>
    <w:rsid w:val="004624FF"/>
    <w:rsid w:val="004630CA"/>
    <w:rsid w:val="00463603"/>
    <w:rsid w:val="004679A2"/>
    <w:rsid w:val="00471A43"/>
    <w:rsid w:val="00471A99"/>
    <w:rsid w:val="004764F1"/>
    <w:rsid w:val="00480AF4"/>
    <w:rsid w:val="004817F0"/>
    <w:rsid w:val="00483BDF"/>
    <w:rsid w:val="00483C36"/>
    <w:rsid w:val="00487050"/>
    <w:rsid w:val="00493585"/>
    <w:rsid w:val="0049433E"/>
    <w:rsid w:val="00495BEC"/>
    <w:rsid w:val="004A071F"/>
    <w:rsid w:val="004A2D31"/>
    <w:rsid w:val="004A3D13"/>
    <w:rsid w:val="004B0366"/>
    <w:rsid w:val="004B1535"/>
    <w:rsid w:val="004B7DB2"/>
    <w:rsid w:val="004C36E9"/>
    <w:rsid w:val="004D3C54"/>
    <w:rsid w:val="004E59E8"/>
    <w:rsid w:val="004E7229"/>
    <w:rsid w:val="004F4389"/>
    <w:rsid w:val="005028CA"/>
    <w:rsid w:val="005125F7"/>
    <w:rsid w:val="00515677"/>
    <w:rsid w:val="0051584D"/>
    <w:rsid w:val="00517AD9"/>
    <w:rsid w:val="00525231"/>
    <w:rsid w:val="005429CB"/>
    <w:rsid w:val="005457A5"/>
    <w:rsid w:val="00550729"/>
    <w:rsid w:val="00550764"/>
    <w:rsid w:val="00550EE9"/>
    <w:rsid w:val="00553BBE"/>
    <w:rsid w:val="005544C1"/>
    <w:rsid w:val="005544FD"/>
    <w:rsid w:val="00555E4B"/>
    <w:rsid w:val="005560DB"/>
    <w:rsid w:val="005562FC"/>
    <w:rsid w:val="00556AEA"/>
    <w:rsid w:val="00556D8B"/>
    <w:rsid w:val="00556DD9"/>
    <w:rsid w:val="0056288F"/>
    <w:rsid w:val="005645CE"/>
    <w:rsid w:val="00564D66"/>
    <w:rsid w:val="00565750"/>
    <w:rsid w:val="00566A3D"/>
    <w:rsid w:val="00573CB2"/>
    <w:rsid w:val="00575B7E"/>
    <w:rsid w:val="005817FC"/>
    <w:rsid w:val="005851A7"/>
    <w:rsid w:val="00587FA2"/>
    <w:rsid w:val="00590EBB"/>
    <w:rsid w:val="00594EEB"/>
    <w:rsid w:val="00595A1F"/>
    <w:rsid w:val="00595EE4"/>
    <w:rsid w:val="0059729B"/>
    <w:rsid w:val="005A1810"/>
    <w:rsid w:val="005A41B7"/>
    <w:rsid w:val="005A59EC"/>
    <w:rsid w:val="005A7AF7"/>
    <w:rsid w:val="005B15D9"/>
    <w:rsid w:val="005B1A80"/>
    <w:rsid w:val="005C03FE"/>
    <w:rsid w:val="005C0BBD"/>
    <w:rsid w:val="005C1A2B"/>
    <w:rsid w:val="005C602C"/>
    <w:rsid w:val="005C762A"/>
    <w:rsid w:val="005D3BF1"/>
    <w:rsid w:val="005E1FB9"/>
    <w:rsid w:val="005E4510"/>
    <w:rsid w:val="005E7DE4"/>
    <w:rsid w:val="005F021F"/>
    <w:rsid w:val="005F3468"/>
    <w:rsid w:val="005F6E5A"/>
    <w:rsid w:val="00601F9B"/>
    <w:rsid w:val="006022FE"/>
    <w:rsid w:val="00602C91"/>
    <w:rsid w:val="00605BA6"/>
    <w:rsid w:val="00610447"/>
    <w:rsid w:val="00617F9C"/>
    <w:rsid w:val="00620D56"/>
    <w:rsid w:val="0062259B"/>
    <w:rsid w:val="006232C9"/>
    <w:rsid w:val="00623860"/>
    <w:rsid w:val="00626770"/>
    <w:rsid w:val="00630404"/>
    <w:rsid w:val="00631D52"/>
    <w:rsid w:val="0063229C"/>
    <w:rsid w:val="0063397F"/>
    <w:rsid w:val="00637473"/>
    <w:rsid w:val="006446F5"/>
    <w:rsid w:val="006452B4"/>
    <w:rsid w:val="00650888"/>
    <w:rsid w:val="0065188A"/>
    <w:rsid w:val="00655077"/>
    <w:rsid w:val="00666D3B"/>
    <w:rsid w:val="00671318"/>
    <w:rsid w:val="00672AEA"/>
    <w:rsid w:val="00672BA8"/>
    <w:rsid w:val="0067458D"/>
    <w:rsid w:val="006756A7"/>
    <w:rsid w:val="00680F97"/>
    <w:rsid w:val="00686A4D"/>
    <w:rsid w:val="00686DA9"/>
    <w:rsid w:val="0068764B"/>
    <w:rsid w:val="0069131B"/>
    <w:rsid w:val="006946D0"/>
    <w:rsid w:val="00694CFF"/>
    <w:rsid w:val="006962A0"/>
    <w:rsid w:val="00696AE1"/>
    <w:rsid w:val="00697E55"/>
    <w:rsid w:val="006A201B"/>
    <w:rsid w:val="006A2461"/>
    <w:rsid w:val="006A3B2C"/>
    <w:rsid w:val="006A5848"/>
    <w:rsid w:val="006A5C59"/>
    <w:rsid w:val="006B3A78"/>
    <w:rsid w:val="006B52E0"/>
    <w:rsid w:val="006B5C69"/>
    <w:rsid w:val="006C217F"/>
    <w:rsid w:val="006C5D17"/>
    <w:rsid w:val="006C6D2A"/>
    <w:rsid w:val="006D75A4"/>
    <w:rsid w:val="006E11DE"/>
    <w:rsid w:val="006E1B66"/>
    <w:rsid w:val="006E3FCE"/>
    <w:rsid w:val="006E6888"/>
    <w:rsid w:val="006F199E"/>
    <w:rsid w:val="006F34D5"/>
    <w:rsid w:val="006F43C2"/>
    <w:rsid w:val="006F7A5B"/>
    <w:rsid w:val="0070201A"/>
    <w:rsid w:val="0070353B"/>
    <w:rsid w:val="00705B5E"/>
    <w:rsid w:val="00707781"/>
    <w:rsid w:val="007101AE"/>
    <w:rsid w:val="007165BD"/>
    <w:rsid w:val="00716B54"/>
    <w:rsid w:val="0072031B"/>
    <w:rsid w:val="00721003"/>
    <w:rsid w:val="007211E7"/>
    <w:rsid w:val="00722AEC"/>
    <w:rsid w:val="00723F1C"/>
    <w:rsid w:val="00730EEA"/>
    <w:rsid w:val="0073130B"/>
    <w:rsid w:val="007336DE"/>
    <w:rsid w:val="0074140E"/>
    <w:rsid w:val="007434F1"/>
    <w:rsid w:val="00743661"/>
    <w:rsid w:val="00744DD0"/>
    <w:rsid w:val="007450B1"/>
    <w:rsid w:val="00750055"/>
    <w:rsid w:val="00750321"/>
    <w:rsid w:val="00750599"/>
    <w:rsid w:val="00752789"/>
    <w:rsid w:val="00753BB8"/>
    <w:rsid w:val="00755C8A"/>
    <w:rsid w:val="007563C1"/>
    <w:rsid w:val="0075643E"/>
    <w:rsid w:val="00762B3B"/>
    <w:rsid w:val="00763735"/>
    <w:rsid w:val="0076674C"/>
    <w:rsid w:val="00766C0F"/>
    <w:rsid w:val="007674E7"/>
    <w:rsid w:val="007706C5"/>
    <w:rsid w:val="00775170"/>
    <w:rsid w:val="00781BF1"/>
    <w:rsid w:val="00786B24"/>
    <w:rsid w:val="0078758A"/>
    <w:rsid w:val="00791A03"/>
    <w:rsid w:val="007A1EF0"/>
    <w:rsid w:val="007A2BD1"/>
    <w:rsid w:val="007A547C"/>
    <w:rsid w:val="007A7793"/>
    <w:rsid w:val="007B0863"/>
    <w:rsid w:val="007B37BC"/>
    <w:rsid w:val="007B4DAC"/>
    <w:rsid w:val="007B7BA8"/>
    <w:rsid w:val="007C022F"/>
    <w:rsid w:val="007C20FC"/>
    <w:rsid w:val="007C2613"/>
    <w:rsid w:val="007C26CB"/>
    <w:rsid w:val="007C2D4B"/>
    <w:rsid w:val="007C33D9"/>
    <w:rsid w:val="007C37D9"/>
    <w:rsid w:val="007C39D7"/>
    <w:rsid w:val="007C6CC4"/>
    <w:rsid w:val="007D169E"/>
    <w:rsid w:val="007D2A75"/>
    <w:rsid w:val="007D2D10"/>
    <w:rsid w:val="007D3013"/>
    <w:rsid w:val="007D4D0A"/>
    <w:rsid w:val="007E206E"/>
    <w:rsid w:val="007E208A"/>
    <w:rsid w:val="007E490A"/>
    <w:rsid w:val="007E79F2"/>
    <w:rsid w:val="007F1F6E"/>
    <w:rsid w:val="007F2EAB"/>
    <w:rsid w:val="007F3677"/>
    <w:rsid w:val="007F5C38"/>
    <w:rsid w:val="007F620A"/>
    <w:rsid w:val="00802060"/>
    <w:rsid w:val="00803E8B"/>
    <w:rsid w:val="00804F1A"/>
    <w:rsid w:val="00806932"/>
    <w:rsid w:val="00812E64"/>
    <w:rsid w:val="008148A0"/>
    <w:rsid w:val="0081789C"/>
    <w:rsid w:val="00820B53"/>
    <w:rsid w:val="00821246"/>
    <w:rsid w:val="00821E9E"/>
    <w:rsid w:val="00827013"/>
    <w:rsid w:val="008273C2"/>
    <w:rsid w:val="00835A8C"/>
    <w:rsid w:val="008426EA"/>
    <w:rsid w:val="00843E49"/>
    <w:rsid w:val="00843FD8"/>
    <w:rsid w:val="00844730"/>
    <w:rsid w:val="00845504"/>
    <w:rsid w:val="00845E4D"/>
    <w:rsid w:val="0085015A"/>
    <w:rsid w:val="008517CF"/>
    <w:rsid w:val="00852039"/>
    <w:rsid w:val="00853710"/>
    <w:rsid w:val="008610D1"/>
    <w:rsid w:val="00864E99"/>
    <w:rsid w:val="00870A06"/>
    <w:rsid w:val="00870C27"/>
    <w:rsid w:val="00875414"/>
    <w:rsid w:val="00892B60"/>
    <w:rsid w:val="008940B6"/>
    <w:rsid w:val="008A5523"/>
    <w:rsid w:val="008B0B46"/>
    <w:rsid w:val="008B1507"/>
    <w:rsid w:val="008B54CD"/>
    <w:rsid w:val="008C1392"/>
    <w:rsid w:val="008C1442"/>
    <w:rsid w:val="008C2DD7"/>
    <w:rsid w:val="008C4080"/>
    <w:rsid w:val="008C52EA"/>
    <w:rsid w:val="008C5BEA"/>
    <w:rsid w:val="008C6C5C"/>
    <w:rsid w:val="008C6DDD"/>
    <w:rsid w:val="008C7C53"/>
    <w:rsid w:val="008E06C9"/>
    <w:rsid w:val="008E26BC"/>
    <w:rsid w:val="008E3BB6"/>
    <w:rsid w:val="008F0E9E"/>
    <w:rsid w:val="008F4A45"/>
    <w:rsid w:val="008F62CD"/>
    <w:rsid w:val="008F7688"/>
    <w:rsid w:val="00902FF3"/>
    <w:rsid w:val="0090644E"/>
    <w:rsid w:val="00911C83"/>
    <w:rsid w:val="0091389F"/>
    <w:rsid w:val="00914FE1"/>
    <w:rsid w:val="009151ED"/>
    <w:rsid w:val="00915C4A"/>
    <w:rsid w:val="009200C0"/>
    <w:rsid w:val="0092067D"/>
    <w:rsid w:val="00924A22"/>
    <w:rsid w:val="009250CE"/>
    <w:rsid w:val="009276BC"/>
    <w:rsid w:val="00934E27"/>
    <w:rsid w:val="00937A1D"/>
    <w:rsid w:val="0094008A"/>
    <w:rsid w:val="00944BD7"/>
    <w:rsid w:val="00944C04"/>
    <w:rsid w:val="00947A42"/>
    <w:rsid w:val="00947B4C"/>
    <w:rsid w:val="0095612C"/>
    <w:rsid w:val="0096470F"/>
    <w:rsid w:val="00973912"/>
    <w:rsid w:val="009744EB"/>
    <w:rsid w:val="009754C7"/>
    <w:rsid w:val="00980515"/>
    <w:rsid w:val="00980806"/>
    <w:rsid w:val="0098089C"/>
    <w:rsid w:val="00981351"/>
    <w:rsid w:val="00985BF5"/>
    <w:rsid w:val="00996588"/>
    <w:rsid w:val="00997CE7"/>
    <w:rsid w:val="00997DE7"/>
    <w:rsid w:val="009A773E"/>
    <w:rsid w:val="009B07E8"/>
    <w:rsid w:val="009B1977"/>
    <w:rsid w:val="009B35A6"/>
    <w:rsid w:val="009B4ECC"/>
    <w:rsid w:val="009B65BD"/>
    <w:rsid w:val="009B66BD"/>
    <w:rsid w:val="009B6E34"/>
    <w:rsid w:val="009B76A7"/>
    <w:rsid w:val="009B79CC"/>
    <w:rsid w:val="009C0762"/>
    <w:rsid w:val="009C3C54"/>
    <w:rsid w:val="009C3C5B"/>
    <w:rsid w:val="009D5C55"/>
    <w:rsid w:val="009E01B6"/>
    <w:rsid w:val="009E0357"/>
    <w:rsid w:val="009E349A"/>
    <w:rsid w:val="009E6E42"/>
    <w:rsid w:val="009F0385"/>
    <w:rsid w:val="009F25D5"/>
    <w:rsid w:val="009F38E9"/>
    <w:rsid w:val="00A06362"/>
    <w:rsid w:val="00A145FE"/>
    <w:rsid w:val="00A165DE"/>
    <w:rsid w:val="00A171A0"/>
    <w:rsid w:val="00A23D6C"/>
    <w:rsid w:val="00A26896"/>
    <w:rsid w:val="00A328F6"/>
    <w:rsid w:val="00A34297"/>
    <w:rsid w:val="00A343BB"/>
    <w:rsid w:val="00A418C1"/>
    <w:rsid w:val="00A41DDB"/>
    <w:rsid w:val="00A453C7"/>
    <w:rsid w:val="00A45DAC"/>
    <w:rsid w:val="00A5137F"/>
    <w:rsid w:val="00A529D8"/>
    <w:rsid w:val="00A53FAB"/>
    <w:rsid w:val="00A5455B"/>
    <w:rsid w:val="00A62C73"/>
    <w:rsid w:val="00A70255"/>
    <w:rsid w:val="00A715EB"/>
    <w:rsid w:val="00A73D7E"/>
    <w:rsid w:val="00A80E78"/>
    <w:rsid w:val="00A828C3"/>
    <w:rsid w:val="00A84310"/>
    <w:rsid w:val="00A84377"/>
    <w:rsid w:val="00A863E6"/>
    <w:rsid w:val="00A86700"/>
    <w:rsid w:val="00A87CCA"/>
    <w:rsid w:val="00A87EE3"/>
    <w:rsid w:val="00A91050"/>
    <w:rsid w:val="00A914E1"/>
    <w:rsid w:val="00A91B6D"/>
    <w:rsid w:val="00A92542"/>
    <w:rsid w:val="00A93ECE"/>
    <w:rsid w:val="00A9475E"/>
    <w:rsid w:val="00A94896"/>
    <w:rsid w:val="00A96824"/>
    <w:rsid w:val="00AA0263"/>
    <w:rsid w:val="00AA2D6C"/>
    <w:rsid w:val="00AA38EB"/>
    <w:rsid w:val="00AA4899"/>
    <w:rsid w:val="00AA5FCE"/>
    <w:rsid w:val="00AA6F4C"/>
    <w:rsid w:val="00AA744A"/>
    <w:rsid w:val="00AA7C0A"/>
    <w:rsid w:val="00AB1BB4"/>
    <w:rsid w:val="00AB5213"/>
    <w:rsid w:val="00AC01BE"/>
    <w:rsid w:val="00AC0FAE"/>
    <w:rsid w:val="00AC3686"/>
    <w:rsid w:val="00AC7693"/>
    <w:rsid w:val="00AC7AED"/>
    <w:rsid w:val="00AD3933"/>
    <w:rsid w:val="00AD5761"/>
    <w:rsid w:val="00AD6455"/>
    <w:rsid w:val="00AE0585"/>
    <w:rsid w:val="00AE2E22"/>
    <w:rsid w:val="00AE3D6C"/>
    <w:rsid w:val="00AE5980"/>
    <w:rsid w:val="00AF0E3C"/>
    <w:rsid w:val="00AF27AD"/>
    <w:rsid w:val="00AF385D"/>
    <w:rsid w:val="00AF447D"/>
    <w:rsid w:val="00AF53F5"/>
    <w:rsid w:val="00B02E5E"/>
    <w:rsid w:val="00B11723"/>
    <w:rsid w:val="00B122BE"/>
    <w:rsid w:val="00B201B9"/>
    <w:rsid w:val="00B20A99"/>
    <w:rsid w:val="00B23103"/>
    <w:rsid w:val="00B24108"/>
    <w:rsid w:val="00B33D5C"/>
    <w:rsid w:val="00B345D2"/>
    <w:rsid w:val="00B36175"/>
    <w:rsid w:val="00B4005C"/>
    <w:rsid w:val="00B405DD"/>
    <w:rsid w:val="00B40BD0"/>
    <w:rsid w:val="00B41E90"/>
    <w:rsid w:val="00B426DA"/>
    <w:rsid w:val="00B45C79"/>
    <w:rsid w:val="00B465D8"/>
    <w:rsid w:val="00B46A62"/>
    <w:rsid w:val="00B46C76"/>
    <w:rsid w:val="00B5304F"/>
    <w:rsid w:val="00B533E1"/>
    <w:rsid w:val="00B540F6"/>
    <w:rsid w:val="00B554EC"/>
    <w:rsid w:val="00B63437"/>
    <w:rsid w:val="00B65AF6"/>
    <w:rsid w:val="00B750E5"/>
    <w:rsid w:val="00B7781B"/>
    <w:rsid w:val="00B96229"/>
    <w:rsid w:val="00B96E67"/>
    <w:rsid w:val="00B97957"/>
    <w:rsid w:val="00BA3D89"/>
    <w:rsid w:val="00BA4C3C"/>
    <w:rsid w:val="00BA500D"/>
    <w:rsid w:val="00BA629E"/>
    <w:rsid w:val="00BA6EBC"/>
    <w:rsid w:val="00BB222B"/>
    <w:rsid w:val="00BB240B"/>
    <w:rsid w:val="00BB6BFB"/>
    <w:rsid w:val="00BB7D09"/>
    <w:rsid w:val="00BC318B"/>
    <w:rsid w:val="00BC6F45"/>
    <w:rsid w:val="00BD1AF3"/>
    <w:rsid w:val="00BD518F"/>
    <w:rsid w:val="00BD5C83"/>
    <w:rsid w:val="00BD671F"/>
    <w:rsid w:val="00BD6A0D"/>
    <w:rsid w:val="00BD6EDA"/>
    <w:rsid w:val="00BD7187"/>
    <w:rsid w:val="00BE1380"/>
    <w:rsid w:val="00BE415F"/>
    <w:rsid w:val="00BF2EAE"/>
    <w:rsid w:val="00BF41DA"/>
    <w:rsid w:val="00BF47C8"/>
    <w:rsid w:val="00BF58CA"/>
    <w:rsid w:val="00BF622C"/>
    <w:rsid w:val="00C00190"/>
    <w:rsid w:val="00C0299C"/>
    <w:rsid w:val="00C044FD"/>
    <w:rsid w:val="00C1022A"/>
    <w:rsid w:val="00C107D1"/>
    <w:rsid w:val="00C10C5F"/>
    <w:rsid w:val="00C11F9E"/>
    <w:rsid w:val="00C1326D"/>
    <w:rsid w:val="00C13B6B"/>
    <w:rsid w:val="00C211A0"/>
    <w:rsid w:val="00C23ED5"/>
    <w:rsid w:val="00C30282"/>
    <w:rsid w:val="00C30B2D"/>
    <w:rsid w:val="00C3109C"/>
    <w:rsid w:val="00C31DD3"/>
    <w:rsid w:val="00C31DEF"/>
    <w:rsid w:val="00C32DE6"/>
    <w:rsid w:val="00C3769A"/>
    <w:rsid w:val="00C40A14"/>
    <w:rsid w:val="00C42943"/>
    <w:rsid w:val="00C43B4B"/>
    <w:rsid w:val="00C52911"/>
    <w:rsid w:val="00C55463"/>
    <w:rsid w:val="00C6065A"/>
    <w:rsid w:val="00C63988"/>
    <w:rsid w:val="00C64E13"/>
    <w:rsid w:val="00C65670"/>
    <w:rsid w:val="00C73A2F"/>
    <w:rsid w:val="00C749DA"/>
    <w:rsid w:val="00C77E86"/>
    <w:rsid w:val="00C87E84"/>
    <w:rsid w:val="00C903D7"/>
    <w:rsid w:val="00C9115B"/>
    <w:rsid w:val="00C91592"/>
    <w:rsid w:val="00C91F67"/>
    <w:rsid w:val="00C940F5"/>
    <w:rsid w:val="00CA1EFB"/>
    <w:rsid w:val="00CA41A5"/>
    <w:rsid w:val="00CA5F63"/>
    <w:rsid w:val="00CA6D15"/>
    <w:rsid w:val="00CA72B1"/>
    <w:rsid w:val="00CC3AA8"/>
    <w:rsid w:val="00CC4511"/>
    <w:rsid w:val="00CD0229"/>
    <w:rsid w:val="00CD321C"/>
    <w:rsid w:val="00CD4C11"/>
    <w:rsid w:val="00CD6CC7"/>
    <w:rsid w:val="00CE085C"/>
    <w:rsid w:val="00CE672E"/>
    <w:rsid w:val="00CF12FE"/>
    <w:rsid w:val="00CF3DBA"/>
    <w:rsid w:val="00D00119"/>
    <w:rsid w:val="00D0107E"/>
    <w:rsid w:val="00D033F0"/>
    <w:rsid w:val="00D10081"/>
    <w:rsid w:val="00D1081F"/>
    <w:rsid w:val="00D11661"/>
    <w:rsid w:val="00D1299B"/>
    <w:rsid w:val="00D13A4E"/>
    <w:rsid w:val="00D16254"/>
    <w:rsid w:val="00D21FA2"/>
    <w:rsid w:val="00D22E27"/>
    <w:rsid w:val="00D2420E"/>
    <w:rsid w:val="00D2521B"/>
    <w:rsid w:val="00D30450"/>
    <w:rsid w:val="00D33034"/>
    <w:rsid w:val="00D34EAE"/>
    <w:rsid w:val="00D35C2F"/>
    <w:rsid w:val="00D40020"/>
    <w:rsid w:val="00D44C28"/>
    <w:rsid w:val="00D45E11"/>
    <w:rsid w:val="00D51E05"/>
    <w:rsid w:val="00D539EA"/>
    <w:rsid w:val="00D53A85"/>
    <w:rsid w:val="00D56CDE"/>
    <w:rsid w:val="00D56D05"/>
    <w:rsid w:val="00D57917"/>
    <w:rsid w:val="00D60105"/>
    <w:rsid w:val="00D60E52"/>
    <w:rsid w:val="00D61C68"/>
    <w:rsid w:val="00D624EA"/>
    <w:rsid w:val="00D656D8"/>
    <w:rsid w:val="00D6728A"/>
    <w:rsid w:val="00D73BE9"/>
    <w:rsid w:val="00D76F8F"/>
    <w:rsid w:val="00D805FE"/>
    <w:rsid w:val="00D82729"/>
    <w:rsid w:val="00D8610E"/>
    <w:rsid w:val="00D949D6"/>
    <w:rsid w:val="00D9588C"/>
    <w:rsid w:val="00D96FDE"/>
    <w:rsid w:val="00DA0503"/>
    <w:rsid w:val="00DA1466"/>
    <w:rsid w:val="00DA16DE"/>
    <w:rsid w:val="00DA49AD"/>
    <w:rsid w:val="00DB0A69"/>
    <w:rsid w:val="00DB1D5D"/>
    <w:rsid w:val="00DB31BF"/>
    <w:rsid w:val="00DC1838"/>
    <w:rsid w:val="00DD00B6"/>
    <w:rsid w:val="00DD27C3"/>
    <w:rsid w:val="00DD4404"/>
    <w:rsid w:val="00DD4720"/>
    <w:rsid w:val="00DD50B7"/>
    <w:rsid w:val="00DD651C"/>
    <w:rsid w:val="00DD7ABF"/>
    <w:rsid w:val="00DE19AA"/>
    <w:rsid w:val="00DE65DE"/>
    <w:rsid w:val="00DE7C9E"/>
    <w:rsid w:val="00DF099E"/>
    <w:rsid w:val="00DF3A5E"/>
    <w:rsid w:val="00E00AA4"/>
    <w:rsid w:val="00E022FC"/>
    <w:rsid w:val="00E0799F"/>
    <w:rsid w:val="00E1553D"/>
    <w:rsid w:val="00E15B27"/>
    <w:rsid w:val="00E16EA3"/>
    <w:rsid w:val="00E22DDD"/>
    <w:rsid w:val="00E319E6"/>
    <w:rsid w:val="00E34B2C"/>
    <w:rsid w:val="00E37EDD"/>
    <w:rsid w:val="00E40E25"/>
    <w:rsid w:val="00E42315"/>
    <w:rsid w:val="00E46D6D"/>
    <w:rsid w:val="00E52993"/>
    <w:rsid w:val="00E55344"/>
    <w:rsid w:val="00E61CEA"/>
    <w:rsid w:val="00E61F45"/>
    <w:rsid w:val="00E6234E"/>
    <w:rsid w:val="00E62799"/>
    <w:rsid w:val="00E637A2"/>
    <w:rsid w:val="00E64D49"/>
    <w:rsid w:val="00E66B90"/>
    <w:rsid w:val="00E678CB"/>
    <w:rsid w:val="00E73FB6"/>
    <w:rsid w:val="00E7462D"/>
    <w:rsid w:val="00E7495F"/>
    <w:rsid w:val="00E75647"/>
    <w:rsid w:val="00E76DE7"/>
    <w:rsid w:val="00E81612"/>
    <w:rsid w:val="00E81FCE"/>
    <w:rsid w:val="00E8384F"/>
    <w:rsid w:val="00E86CF3"/>
    <w:rsid w:val="00E9225F"/>
    <w:rsid w:val="00E93B9B"/>
    <w:rsid w:val="00EA1E4F"/>
    <w:rsid w:val="00EB14DC"/>
    <w:rsid w:val="00EC0273"/>
    <w:rsid w:val="00EC0D5A"/>
    <w:rsid w:val="00EC5830"/>
    <w:rsid w:val="00EC6F37"/>
    <w:rsid w:val="00ED7CE4"/>
    <w:rsid w:val="00EE104D"/>
    <w:rsid w:val="00EE2370"/>
    <w:rsid w:val="00EE2ABC"/>
    <w:rsid w:val="00EE4599"/>
    <w:rsid w:val="00EE4B0C"/>
    <w:rsid w:val="00EE691E"/>
    <w:rsid w:val="00EF08C3"/>
    <w:rsid w:val="00EF1159"/>
    <w:rsid w:val="00EF22FF"/>
    <w:rsid w:val="00EF3435"/>
    <w:rsid w:val="00F00D13"/>
    <w:rsid w:val="00F01B77"/>
    <w:rsid w:val="00F05C0F"/>
    <w:rsid w:val="00F1580E"/>
    <w:rsid w:val="00F176C9"/>
    <w:rsid w:val="00F21735"/>
    <w:rsid w:val="00F22A8A"/>
    <w:rsid w:val="00F23203"/>
    <w:rsid w:val="00F2367A"/>
    <w:rsid w:val="00F25609"/>
    <w:rsid w:val="00F25DDF"/>
    <w:rsid w:val="00F30939"/>
    <w:rsid w:val="00F335E8"/>
    <w:rsid w:val="00F33714"/>
    <w:rsid w:val="00F3463A"/>
    <w:rsid w:val="00F35B8C"/>
    <w:rsid w:val="00F35E11"/>
    <w:rsid w:val="00F37DDF"/>
    <w:rsid w:val="00F41B43"/>
    <w:rsid w:val="00F43A94"/>
    <w:rsid w:val="00F45914"/>
    <w:rsid w:val="00F4657C"/>
    <w:rsid w:val="00F47072"/>
    <w:rsid w:val="00F51E5E"/>
    <w:rsid w:val="00F51F58"/>
    <w:rsid w:val="00F52F17"/>
    <w:rsid w:val="00F55518"/>
    <w:rsid w:val="00F57907"/>
    <w:rsid w:val="00F61ACA"/>
    <w:rsid w:val="00F623C1"/>
    <w:rsid w:val="00F6264B"/>
    <w:rsid w:val="00F637CA"/>
    <w:rsid w:val="00F7184A"/>
    <w:rsid w:val="00F74707"/>
    <w:rsid w:val="00F81DC5"/>
    <w:rsid w:val="00F837FA"/>
    <w:rsid w:val="00F84F37"/>
    <w:rsid w:val="00F85AE0"/>
    <w:rsid w:val="00F86173"/>
    <w:rsid w:val="00F867D1"/>
    <w:rsid w:val="00F87417"/>
    <w:rsid w:val="00F94291"/>
    <w:rsid w:val="00F979B4"/>
    <w:rsid w:val="00F97B12"/>
    <w:rsid w:val="00FA3CCC"/>
    <w:rsid w:val="00FB10DC"/>
    <w:rsid w:val="00FB4BD8"/>
    <w:rsid w:val="00FC6222"/>
    <w:rsid w:val="00FD067A"/>
    <w:rsid w:val="00FD0CF1"/>
    <w:rsid w:val="00FD1498"/>
    <w:rsid w:val="00FD2333"/>
    <w:rsid w:val="00FD44F9"/>
    <w:rsid w:val="00FD566C"/>
    <w:rsid w:val="00FE1F5E"/>
    <w:rsid w:val="00FE2CC2"/>
    <w:rsid w:val="00FE3DA3"/>
    <w:rsid w:val="00FE65AE"/>
    <w:rsid w:val="00FE6A3A"/>
    <w:rsid w:val="00FF38C7"/>
    <w:rsid w:val="00FF3B24"/>
    <w:rsid w:val="00FF59E1"/>
    <w:rsid w:val="00FF61D9"/>
    <w:rsid w:val="00FF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106AFE36"/>
  <w15:docId w15:val="{A1D044D5-A511-4E8D-94F7-54AE5464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5E"/>
    <w:pPr>
      <w:keepLines/>
      <w:tabs>
        <w:tab w:val="left" w:pos="1378"/>
      </w:tabs>
      <w:spacing w:after="120" w:line="280" w:lineRule="atLeast"/>
    </w:pPr>
    <w:rPr>
      <w:rFonts w:ascii="Arial" w:hAnsi="Arial"/>
      <w:color w:val="000000" w:themeColor="text1"/>
      <w:w w:val="90"/>
      <w:lang w:val="en-AU"/>
    </w:rPr>
  </w:style>
  <w:style w:type="paragraph" w:styleId="Heading1">
    <w:name w:val="heading 1"/>
    <w:basedOn w:val="Normal"/>
    <w:next w:val="Normal"/>
    <w:link w:val="Heading1Char"/>
    <w:uiPriority w:val="1"/>
    <w:qFormat/>
    <w:rsid w:val="000D515D"/>
    <w:pPr>
      <w:keepLines w:val="0"/>
      <w:pageBreakBefore/>
      <w:spacing w:before="120" w:after="360" w:line="240" w:lineRule="auto"/>
      <w:ind w:left="-284"/>
      <w:outlineLvl w:val="0"/>
    </w:pPr>
    <w:rPr>
      <w:rFonts w:ascii="Georgia" w:hAnsi="Georgia"/>
      <w:b/>
      <w:color w:val="004949"/>
      <w:sz w:val="40"/>
      <w:szCs w:val="40"/>
    </w:rPr>
  </w:style>
  <w:style w:type="paragraph" w:styleId="Heading2">
    <w:name w:val="heading 2"/>
    <w:basedOn w:val="Normal"/>
    <w:next w:val="Normal"/>
    <w:link w:val="Heading2Char"/>
    <w:uiPriority w:val="1"/>
    <w:qFormat/>
    <w:rsid w:val="000D515D"/>
    <w:pPr>
      <w:keepNext/>
      <w:tabs>
        <w:tab w:val="clear" w:pos="1378"/>
      </w:tabs>
      <w:spacing w:before="120" w:line="240" w:lineRule="auto"/>
      <w:outlineLvl w:val="1"/>
    </w:pPr>
    <w:rPr>
      <w:rFonts w:ascii="Georgia" w:eastAsiaTheme="majorEastAsia" w:hAnsi="Georgia" w:cs="Segoe UI"/>
      <w:b/>
      <w:color w:val="004949"/>
      <w:w w:val="100"/>
      <w:sz w:val="32"/>
      <w:szCs w:val="32"/>
    </w:rPr>
  </w:style>
  <w:style w:type="paragraph" w:styleId="Heading3">
    <w:name w:val="heading 3"/>
    <w:basedOn w:val="Normal"/>
    <w:next w:val="Normal"/>
    <w:link w:val="Heading3Char"/>
    <w:uiPriority w:val="9"/>
    <w:qFormat/>
    <w:rsid w:val="00914FE1"/>
    <w:pPr>
      <w:keepNext/>
      <w:spacing w:before="120" w:line="240" w:lineRule="auto"/>
      <w:outlineLvl w:val="2"/>
    </w:pPr>
    <w:rPr>
      <w:rFonts w:ascii="Georgia" w:hAnsi="Georgia" w:cs="Arial"/>
      <w:b/>
      <w:color w:val="004949"/>
      <w:sz w:val="28"/>
      <w:szCs w:val="30"/>
    </w:rPr>
  </w:style>
  <w:style w:type="paragraph" w:styleId="Heading4">
    <w:name w:val="heading 4"/>
    <w:basedOn w:val="Normal"/>
    <w:next w:val="Normal"/>
    <w:link w:val="Heading4Char"/>
    <w:uiPriority w:val="9"/>
    <w:qFormat/>
    <w:rsid w:val="00914FE1"/>
    <w:pPr>
      <w:keepNext/>
      <w:outlineLvl w:val="3"/>
    </w:pPr>
    <w:rPr>
      <w:rFonts w:ascii="Georgia" w:hAnsi="Georgia"/>
      <w:b/>
      <w:sz w:val="24"/>
      <w:szCs w:val="30"/>
    </w:rPr>
  </w:style>
  <w:style w:type="paragraph" w:styleId="Heading5">
    <w:name w:val="heading 5"/>
    <w:basedOn w:val="Normal"/>
    <w:next w:val="Normal"/>
    <w:link w:val="Heading5Char"/>
    <w:uiPriority w:val="9"/>
    <w:qFormat/>
    <w:rsid w:val="00914FE1"/>
    <w:pPr>
      <w:keepNext/>
      <w:outlineLvl w:val="4"/>
    </w:pPr>
    <w:rPr>
      <w:rFonts w:ascii="Georgia" w:hAnsi="Georgia"/>
      <w:b/>
      <w:i/>
      <w:sz w:val="24"/>
      <w:szCs w:val="26"/>
    </w:rPr>
  </w:style>
  <w:style w:type="paragraph" w:styleId="Heading6">
    <w:name w:val="heading 6"/>
    <w:basedOn w:val="Normal"/>
    <w:next w:val="Normal"/>
    <w:link w:val="Heading6Char"/>
    <w:uiPriority w:val="9"/>
    <w:unhideWhenUsed/>
    <w:rsid w:val="00914FE1"/>
    <w:pPr>
      <w:keepNext/>
      <w:outlineLvl w:val="5"/>
    </w:pPr>
    <w:rPr>
      <w:rFonts w:ascii="Georgia" w:eastAsiaTheme="majorEastAsia" w:hAnsi="Georgia" w:cstheme="majorBidi"/>
      <w:sz w:val="24"/>
      <w:szCs w:val="24"/>
      <w:u w:val="single"/>
    </w:rPr>
  </w:style>
  <w:style w:type="paragraph" w:styleId="Heading7">
    <w:name w:val="heading 7"/>
    <w:basedOn w:val="Heading6"/>
    <w:next w:val="Normal"/>
    <w:link w:val="Heading7Char"/>
    <w:uiPriority w:val="9"/>
    <w:unhideWhenUsed/>
    <w:rsid w:val="00914FE1"/>
    <w:pPr>
      <w:outlineLvl w:val="6"/>
    </w:pPr>
    <w:rPr>
      <w:i/>
      <w:szCs w:val="22"/>
      <w:u w:val="none"/>
    </w:rPr>
  </w:style>
  <w:style w:type="paragraph" w:styleId="Heading8">
    <w:name w:val="heading 8"/>
    <w:basedOn w:val="Normal"/>
    <w:next w:val="Normal"/>
    <w:link w:val="Heading8Char"/>
    <w:uiPriority w:val="9"/>
    <w:unhideWhenUsed/>
    <w:rsid w:val="002C6C40"/>
    <w:pPr>
      <w:keepNext/>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26C11"/>
    <w:pPr>
      <w:keepNext/>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515D"/>
    <w:rPr>
      <w:rFonts w:ascii="Georgia" w:hAnsi="Georgia"/>
      <w:b/>
      <w:color w:val="004949"/>
      <w:w w:val="90"/>
      <w:sz w:val="40"/>
      <w:szCs w:val="40"/>
      <w:lang w:val="en-AU"/>
    </w:rPr>
  </w:style>
  <w:style w:type="character" w:customStyle="1" w:styleId="Heading2Char">
    <w:name w:val="Heading 2 Char"/>
    <w:basedOn w:val="DefaultParagraphFont"/>
    <w:link w:val="Heading2"/>
    <w:uiPriority w:val="1"/>
    <w:rsid w:val="000D515D"/>
    <w:rPr>
      <w:rFonts w:ascii="Georgia" w:eastAsiaTheme="majorEastAsia" w:hAnsi="Georgia" w:cs="Segoe UI"/>
      <w:b/>
      <w:color w:val="004949"/>
      <w:sz w:val="32"/>
      <w:szCs w:val="32"/>
      <w:lang w:val="en-AU"/>
    </w:rPr>
  </w:style>
  <w:style w:type="character" w:customStyle="1" w:styleId="Heading3Char">
    <w:name w:val="Heading 3 Char"/>
    <w:basedOn w:val="DefaultParagraphFont"/>
    <w:link w:val="Heading3"/>
    <w:uiPriority w:val="9"/>
    <w:rsid w:val="00914FE1"/>
    <w:rPr>
      <w:rFonts w:ascii="Georgia" w:hAnsi="Georgia" w:cs="Arial"/>
      <w:b/>
      <w:color w:val="004949"/>
      <w:w w:val="90"/>
      <w:sz w:val="28"/>
      <w:szCs w:val="30"/>
      <w:lang w:val="en-AU"/>
    </w:rPr>
  </w:style>
  <w:style w:type="character" w:customStyle="1" w:styleId="Heading4Char">
    <w:name w:val="Heading 4 Char"/>
    <w:basedOn w:val="DefaultParagraphFont"/>
    <w:link w:val="Heading4"/>
    <w:uiPriority w:val="9"/>
    <w:rsid w:val="00914FE1"/>
    <w:rPr>
      <w:rFonts w:ascii="Georgia" w:hAnsi="Georgia"/>
      <w:b/>
      <w:color w:val="000000" w:themeColor="text1"/>
      <w:w w:val="90"/>
      <w:sz w:val="24"/>
      <w:szCs w:val="30"/>
      <w:lang w:val="en-AU"/>
    </w:rPr>
  </w:style>
  <w:style w:type="character" w:customStyle="1" w:styleId="Heading5Char">
    <w:name w:val="Heading 5 Char"/>
    <w:basedOn w:val="DefaultParagraphFont"/>
    <w:link w:val="Heading5"/>
    <w:uiPriority w:val="9"/>
    <w:rsid w:val="00914FE1"/>
    <w:rPr>
      <w:rFonts w:ascii="Georgia" w:hAnsi="Georgia"/>
      <w:b/>
      <w:i/>
      <w:color w:val="000000" w:themeColor="text1"/>
      <w:w w:val="90"/>
      <w:sz w:val="24"/>
      <w:szCs w:val="26"/>
      <w:lang w:val="en-AU"/>
    </w:rPr>
  </w:style>
  <w:style w:type="paragraph" w:styleId="BalloonText">
    <w:name w:val="Balloon Text"/>
    <w:basedOn w:val="Normal"/>
    <w:link w:val="BalloonTextChar"/>
    <w:semiHidden/>
    <w:unhideWhenUsed/>
    <w:rsid w:val="00111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1D73"/>
    <w:rPr>
      <w:rFonts w:ascii="Segoe UI" w:hAnsi="Segoe UI" w:cs="Segoe UI"/>
      <w:color w:val="000000" w:themeColor="text1"/>
      <w:w w:val="90"/>
      <w:sz w:val="18"/>
      <w:szCs w:val="18"/>
      <w:lang w:val="en-AU"/>
    </w:rPr>
  </w:style>
  <w:style w:type="paragraph" w:styleId="Caption">
    <w:name w:val="caption"/>
    <w:basedOn w:val="Normal"/>
    <w:next w:val="Normal"/>
    <w:uiPriority w:val="2"/>
    <w:unhideWhenUsed/>
    <w:qFormat/>
    <w:rsid w:val="006962A0"/>
    <w:pPr>
      <w:spacing w:after="200" w:line="240" w:lineRule="auto"/>
    </w:pPr>
    <w:rPr>
      <w:bCs/>
      <w:i/>
      <w:color w:val="auto"/>
      <w:sz w:val="18"/>
      <w:szCs w:val="18"/>
    </w:rPr>
  </w:style>
  <w:style w:type="paragraph" w:styleId="ListBullet">
    <w:name w:val="List Bullet"/>
    <w:basedOn w:val="Normal"/>
    <w:uiPriority w:val="99"/>
    <w:unhideWhenUsed/>
    <w:qFormat/>
    <w:rsid w:val="00CA72B1"/>
    <w:pPr>
      <w:numPr>
        <w:numId w:val="1"/>
      </w:numPr>
    </w:pPr>
  </w:style>
  <w:style w:type="paragraph" w:styleId="ListBullet2">
    <w:name w:val="List Bullet 2"/>
    <w:basedOn w:val="Normal"/>
    <w:uiPriority w:val="99"/>
    <w:unhideWhenUsed/>
    <w:rsid w:val="00CA72B1"/>
    <w:pPr>
      <w:numPr>
        <w:numId w:val="2"/>
      </w:numPr>
    </w:pPr>
  </w:style>
  <w:style w:type="table" w:styleId="TableGrid">
    <w:name w:val="Table Grid"/>
    <w:basedOn w:val="TableNormal"/>
    <w:rsid w:val="00DD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384F"/>
    <w:pPr>
      <w:tabs>
        <w:tab w:val="clear" w:pos="1378"/>
        <w:tab w:val="right" w:pos="9026"/>
      </w:tabs>
      <w:spacing w:after="0" w:line="240" w:lineRule="auto"/>
    </w:pPr>
    <w:rPr>
      <w:sz w:val="16"/>
    </w:rPr>
  </w:style>
  <w:style w:type="character" w:customStyle="1" w:styleId="FooterChar">
    <w:name w:val="Footer Char"/>
    <w:basedOn w:val="DefaultParagraphFont"/>
    <w:link w:val="Footer"/>
    <w:uiPriority w:val="99"/>
    <w:rsid w:val="00E8384F"/>
    <w:rPr>
      <w:rFonts w:ascii="Arial" w:hAnsi="Arial"/>
      <w:color w:val="000000" w:themeColor="text1"/>
      <w:w w:val="90"/>
      <w:sz w:val="16"/>
      <w:lang w:val="en-AU"/>
    </w:rPr>
  </w:style>
  <w:style w:type="paragraph" w:styleId="Closing">
    <w:name w:val="Closing"/>
    <w:basedOn w:val="Normal"/>
    <w:link w:val="ClosingChar"/>
    <w:uiPriority w:val="99"/>
    <w:semiHidden/>
    <w:unhideWhenUsed/>
    <w:rsid w:val="00B41E90"/>
    <w:pPr>
      <w:spacing w:after="0" w:line="240" w:lineRule="auto"/>
      <w:ind w:left="4252"/>
    </w:pPr>
  </w:style>
  <w:style w:type="character" w:customStyle="1" w:styleId="ClosingChar">
    <w:name w:val="Closing Char"/>
    <w:basedOn w:val="DefaultParagraphFont"/>
    <w:link w:val="Closing"/>
    <w:uiPriority w:val="99"/>
    <w:semiHidden/>
    <w:rsid w:val="00B41E90"/>
    <w:rPr>
      <w:rFonts w:ascii="Arial" w:hAnsi="Arial"/>
      <w:color w:val="000000" w:themeColor="text1"/>
      <w:w w:val="90"/>
      <w:lang w:val="en-AU"/>
    </w:rPr>
  </w:style>
  <w:style w:type="paragraph" w:styleId="FootnoteText">
    <w:name w:val="footnote text"/>
    <w:basedOn w:val="Normal"/>
    <w:link w:val="FootnoteTextChar"/>
    <w:uiPriority w:val="99"/>
    <w:semiHidden/>
    <w:unhideWhenUsed/>
    <w:rsid w:val="009D5C55"/>
    <w:pPr>
      <w:spacing w:after="0" w:line="240" w:lineRule="auto"/>
    </w:pPr>
    <w:rPr>
      <w:szCs w:val="20"/>
    </w:rPr>
  </w:style>
  <w:style w:type="character" w:customStyle="1" w:styleId="FootnoteTextChar">
    <w:name w:val="Footnote Text Char"/>
    <w:basedOn w:val="DefaultParagraphFont"/>
    <w:link w:val="FootnoteText"/>
    <w:uiPriority w:val="99"/>
    <w:semiHidden/>
    <w:rsid w:val="009D5C55"/>
    <w:rPr>
      <w:rFonts w:ascii="Arial" w:hAnsi="Arial"/>
      <w:color w:val="000000" w:themeColor="text1"/>
      <w:w w:val="90"/>
      <w:sz w:val="20"/>
      <w:szCs w:val="20"/>
      <w:lang w:val="en-AU"/>
    </w:rPr>
  </w:style>
  <w:style w:type="character" w:styleId="FootnoteReference">
    <w:name w:val="footnote reference"/>
    <w:basedOn w:val="DefaultParagraphFont"/>
    <w:uiPriority w:val="99"/>
    <w:unhideWhenUsed/>
    <w:rsid w:val="009D5C55"/>
    <w:rPr>
      <w:vertAlign w:val="superscript"/>
    </w:rPr>
  </w:style>
  <w:style w:type="paragraph" w:styleId="ListBullet3">
    <w:name w:val="List Bullet 3"/>
    <w:basedOn w:val="Normal"/>
    <w:uiPriority w:val="99"/>
    <w:semiHidden/>
    <w:unhideWhenUsed/>
    <w:rsid w:val="00CA72B1"/>
    <w:pPr>
      <w:numPr>
        <w:numId w:val="3"/>
      </w:numPr>
      <w:ind w:left="924" w:hanging="357"/>
    </w:pPr>
  </w:style>
  <w:style w:type="paragraph" w:styleId="ListBullet4">
    <w:name w:val="List Bullet 4"/>
    <w:basedOn w:val="Normal"/>
    <w:uiPriority w:val="99"/>
    <w:semiHidden/>
    <w:unhideWhenUsed/>
    <w:rsid w:val="00CA72B1"/>
    <w:pPr>
      <w:numPr>
        <w:numId w:val="4"/>
      </w:numPr>
      <w:ind w:left="1208" w:hanging="357"/>
    </w:pPr>
  </w:style>
  <w:style w:type="paragraph" w:styleId="ListBullet5">
    <w:name w:val="List Bullet 5"/>
    <w:basedOn w:val="Normal"/>
    <w:uiPriority w:val="99"/>
    <w:semiHidden/>
    <w:unhideWhenUsed/>
    <w:rsid w:val="00CA72B1"/>
    <w:pPr>
      <w:numPr>
        <w:numId w:val="5"/>
      </w:numPr>
      <w:ind w:left="1491" w:hanging="357"/>
    </w:pPr>
  </w:style>
  <w:style w:type="paragraph" w:styleId="ListContinue">
    <w:name w:val="List Continue"/>
    <w:basedOn w:val="Normal"/>
    <w:uiPriority w:val="99"/>
    <w:semiHidden/>
    <w:unhideWhenUsed/>
    <w:rsid w:val="00EE691E"/>
    <w:pPr>
      <w:ind w:left="284"/>
    </w:pPr>
  </w:style>
  <w:style w:type="paragraph" w:styleId="ListContinue2">
    <w:name w:val="List Continue 2"/>
    <w:basedOn w:val="Normal"/>
    <w:uiPriority w:val="99"/>
    <w:semiHidden/>
    <w:unhideWhenUsed/>
    <w:rsid w:val="00EE691E"/>
    <w:pPr>
      <w:ind w:left="567"/>
    </w:pPr>
  </w:style>
  <w:style w:type="paragraph" w:styleId="ListContinue3">
    <w:name w:val="List Continue 3"/>
    <w:basedOn w:val="Normal"/>
    <w:uiPriority w:val="99"/>
    <w:semiHidden/>
    <w:unhideWhenUsed/>
    <w:rsid w:val="00EE691E"/>
    <w:pPr>
      <w:ind w:left="851"/>
    </w:pPr>
  </w:style>
  <w:style w:type="paragraph" w:styleId="ListContinue4">
    <w:name w:val="List Continue 4"/>
    <w:basedOn w:val="Normal"/>
    <w:uiPriority w:val="99"/>
    <w:semiHidden/>
    <w:unhideWhenUsed/>
    <w:rsid w:val="00EE691E"/>
    <w:pPr>
      <w:ind w:left="1134"/>
    </w:pPr>
  </w:style>
  <w:style w:type="paragraph" w:styleId="ListContinue5">
    <w:name w:val="List Continue 5"/>
    <w:basedOn w:val="Normal"/>
    <w:uiPriority w:val="99"/>
    <w:semiHidden/>
    <w:unhideWhenUsed/>
    <w:rsid w:val="00EE691E"/>
    <w:pPr>
      <w:ind w:left="1418"/>
    </w:pPr>
  </w:style>
  <w:style w:type="paragraph" w:styleId="ListNumber">
    <w:name w:val="List Number"/>
    <w:basedOn w:val="Normal"/>
    <w:uiPriority w:val="99"/>
    <w:unhideWhenUsed/>
    <w:qFormat/>
    <w:rsid w:val="00EE691E"/>
    <w:pPr>
      <w:numPr>
        <w:numId w:val="6"/>
      </w:numPr>
    </w:pPr>
  </w:style>
  <w:style w:type="paragraph" w:styleId="ListNumber2">
    <w:name w:val="List Number 2"/>
    <w:basedOn w:val="Normal"/>
    <w:uiPriority w:val="99"/>
    <w:semiHidden/>
    <w:unhideWhenUsed/>
    <w:rsid w:val="00EE691E"/>
    <w:pPr>
      <w:numPr>
        <w:numId w:val="7"/>
      </w:numPr>
      <w:ind w:left="641" w:hanging="357"/>
    </w:pPr>
  </w:style>
  <w:style w:type="paragraph" w:styleId="ListNumber3">
    <w:name w:val="List Number 3"/>
    <w:basedOn w:val="Normal"/>
    <w:uiPriority w:val="99"/>
    <w:semiHidden/>
    <w:unhideWhenUsed/>
    <w:rsid w:val="00EE691E"/>
    <w:pPr>
      <w:numPr>
        <w:numId w:val="8"/>
      </w:numPr>
      <w:ind w:left="924" w:hanging="357"/>
    </w:pPr>
  </w:style>
  <w:style w:type="paragraph" w:styleId="ListNumber5">
    <w:name w:val="List Number 5"/>
    <w:basedOn w:val="Normal"/>
    <w:uiPriority w:val="99"/>
    <w:semiHidden/>
    <w:unhideWhenUsed/>
    <w:rsid w:val="00EE691E"/>
    <w:pPr>
      <w:numPr>
        <w:numId w:val="9"/>
      </w:numPr>
      <w:ind w:left="1491" w:hanging="357"/>
    </w:pPr>
  </w:style>
  <w:style w:type="paragraph" w:styleId="ListParagraph">
    <w:name w:val="List Paragraph"/>
    <w:basedOn w:val="Normal"/>
    <w:uiPriority w:val="34"/>
    <w:qFormat/>
    <w:rsid w:val="00387CFC"/>
    <w:pPr>
      <w:ind w:left="720"/>
    </w:pPr>
  </w:style>
  <w:style w:type="paragraph" w:styleId="Quote">
    <w:name w:val="Quote"/>
    <w:basedOn w:val="Normal"/>
    <w:next w:val="Normal"/>
    <w:link w:val="QuoteChar"/>
    <w:uiPriority w:val="29"/>
    <w:rsid w:val="000B38A1"/>
    <w:pPr>
      <w:spacing w:before="200" w:after="160"/>
      <w:ind w:left="864" w:right="864"/>
    </w:pPr>
    <w:rPr>
      <w:i/>
      <w:iCs/>
      <w:color w:val="404040" w:themeColor="text1" w:themeTint="BF"/>
    </w:rPr>
  </w:style>
  <w:style w:type="character" w:styleId="SubtleReference">
    <w:name w:val="Subtle Reference"/>
    <w:basedOn w:val="DefaultParagraphFont"/>
    <w:uiPriority w:val="31"/>
    <w:rsid w:val="00CF12FE"/>
    <w:rPr>
      <w:smallCaps/>
      <w:color w:val="5A5A5A" w:themeColor="text1" w:themeTint="A5"/>
    </w:rPr>
  </w:style>
  <w:style w:type="character" w:styleId="CommentReference">
    <w:name w:val="annotation reference"/>
    <w:basedOn w:val="DefaultParagraphFont"/>
    <w:uiPriority w:val="99"/>
    <w:unhideWhenUsed/>
    <w:rsid w:val="00CF12FE"/>
    <w:rPr>
      <w:sz w:val="16"/>
      <w:szCs w:val="16"/>
    </w:rPr>
  </w:style>
  <w:style w:type="paragraph" w:styleId="CommentSubject">
    <w:name w:val="annotation subject"/>
    <w:basedOn w:val="Normal"/>
    <w:next w:val="Normal"/>
    <w:link w:val="CommentSubjectChar"/>
    <w:unhideWhenUsed/>
    <w:rsid w:val="00111D73"/>
    <w:pPr>
      <w:spacing w:line="240" w:lineRule="auto"/>
    </w:pPr>
    <w:rPr>
      <w:b/>
      <w:bCs/>
      <w:szCs w:val="20"/>
    </w:rPr>
  </w:style>
  <w:style w:type="character" w:customStyle="1" w:styleId="CommentSubjectChar">
    <w:name w:val="Comment Subject Char"/>
    <w:basedOn w:val="DefaultParagraphFont"/>
    <w:link w:val="CommentSubject"/>
    <w:rsid w:val="00111D73"/>
    <w:rPr>
      <w:rFonts w:ascii="Arial" w:hAnsi="Arial"/>
      <w:b/>
      <w:bCs/>
      <w:color w:val="000000" w:themeColor="text1"/>
      <w:w w:val="90"/>
      <w:sz w:val="20"/>
      <w:szCs w:val="20"/>
      <w:lang w:val="en-AU"/>
    </w:rPr>
  </w:style>
  <w:style w:type="paragraph" w:styleId="BodyTextIndent3">
    <w:name w:val="Body Text Indent 3"/>
    <w:basedOn w:val="Normal"/>
    <w:link w:val="BodyTextIndent3Char"/>
    <w:uiPriority w:val="99"/>
    <w:unhideWhenUsed/>
    <w:rsid w:val="00CF12FE"/>
    <w:pPr>
      <w:ind w:left="283"/>
    </w:pPr>
    <w:rPr>
      <w:sz w:val="16"/>
      <w:szCs w:val="16"/>
    </w:rPr>
  </w:style>
  <w:style w:type="character" w:customStyle="1" w:styleId="BodyTextIndent3Char">
    <w:name w:val="Body Text Indent 3 Char"/>
    <w:basedOn w:val="DefaultParagraphFont"/>
    <w:link w:val="BodyTextIndent3"/>
    <w:uiPriority w:val="99"/>
    <w:rsid w:val="00CF12FE"/>
    <w:rPr>
      <w:rFonts w:ascii="Arial" w:hAnsi="Arial"/>
      <w:color w:val="000000" w:themeColor="text1"/>
      <w:w w:val="90"/>
      <w:sz w:val="16"/>
      <w:szCs w:val="16"/>
      <w:lang w:val="en-AU"/>
    </w:rPr>
  </w:style>
  <w:style w:type="paragraph" w:styleId="BodyTextIndent">
    <w:name w:val="Body Text Indent"/>
    <w:basedOn w:val="Normal"/>
    <w:link w:val="BodyTextIndentChar"/>
    <w:uiPriority w:val="99"/>
    <w:unhideWhenUsed/>
    <w:rsid w:val="00750055"/>
    <w:pPr>
      <w:ind w:left="357"/>
    </w:pPr>
  </w:style>
  <w:style w:type="character" w:customStyle="1" w:styleId="BodyTextIndentChar">
    <w:name w:val="Body Text Indent Char"/>
    <w:basedOn w:val="DefaultParagraphFont"/>
    <w:link w:val="BodyTextIndent"/>
    <w:uiPriority w:val="99"/>
    <w:rsid w:val="00750055"/>
    <w:rPr>
      <w:rFonts w:ascii="Arial" w:hAnsi="Arial"/>
      <w:color w:val="000000" w:themeColor="text1"/>
      <w:w w:val="90"/>
      <w:lang w:val="en-AU"/>
    </w:rPr>
  </w:style>
  <w:style w:type="paragraph" w:styleId="BlockText">
    <w:name w:val="Block Text"/>
    <w:basedOn w:val="Normal"/>
    <w:uiPriority w:val="99"/>
    <w:semiHidden/>
    <w:unhideWhenUsed/>
    <w:rsid w:val="00BA6EB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rPr>
  </w:style>
  <w:style w:type="paragraph" w:styleId="NoSpacing">
    <w:name w:val="No Spacing"/>
    <w:uiPriority w:val="1"/>
    <w:unhideWhenUsed/>
    <w:rsid w:val="002802A1"/>
    <w:pPr>
      <w:keepLines/>
      <w:tabs>
        <w:tab w:val="left" w:pos="1378"/>
      </w:tabs>
      <w:spacing w:after="120" w:line="240" w:lineRule="auto"/>
    </w:pPr>
    <w:rPr>
      <w:rFonts w:ascii="Arial" w:hAnsi="Arial"/>
      <w:color w:val="000000" w:themeColor="text1"/>
      <w:w w:val="90"/>
      <w:sz w:val="20"/>
      <w:lang w:val="en-AU"/>
    </w:rPr>
  </w:style>
  <w:style w:type="character" w:styleId="Strong">
    <w:name w:val="Strong"/>
    <w:basedOn w:val="DefaultParagraphFont"/>
    <w:uiPriority w:val="22"/>
    <w:qFormat/>
    <w:rsid w:val="00000F8B"/>
    <w:rPr>
      <w:b/>
      <w:bCs/>
    </w:rPr>
  </w:style>
  <w:style w:type="paragraph" w:customStyle="1" w:styleId="ListAlpha">
    <w:name w:val="List Alpha"/>
    <w:basedOn w:val="Normal"/>
    <w:rsid w:val="004E59E8"/>
    <w:pPr>
      <w:numPr>
        <w:numId w:val="10"/>
      </w:numPr>
    </w:pPr>
  </w:style>
  <w:style w:type="paragraph" w:styleId="BodyTextFirstIndent">
    <w:name w:val="Body Text First Indent"/>
    <w:basedOn w:val="Normal"/>
    <w:link w:val="BodyTextFirstIndentChar"/>
    <w:uiPriority w:val="99"/>
    <w:unhideWhenUsed/>
    <w:rsid w:val="00111D73"/>
    <w:pPr>
      <w:ind w:firstLine="360"/>
    </w:pPr>
  </w:style>
  <w:style w:type="character" w:customStyle="1" w:styleId="BodyTextFirstIndentChar">
    <w:name w:val="Body Text First Indent Char"/>
    <w:basedOn w:val="DefaultParagraphFont"/>
    <w:link w:val="BodyTextFirstIndent"/>
    <w:uiPriority w:val="99"/>
    <w:rsid w:val="00111D73"/>
    <w:rPr>
      <w:rFonts w:ascii="Arial" w:hAnsi="Arial"/>
      <w:color w:val="000000" w:themeColor="text1"/>
      <w:w w:val="90"/>
      <w:sz w:val="20"/>
      <w:lang w:val="en-AU"/>
    </w:rPr>
  </w:style>
  <w:style w:type="character" w:customStyle="1" w:styleId="Heading6Char">
    <w:name w:val="Heading 6 Char"/>
    <w:basedOn w:val="DefaultParagraphFont"/>
    <w:link w:val="Heading6"/>
    <w:uiPriority w:val="9"/>
    <w:rsid w:val="00914FE1"/>
    <w:rPr>
      <w:rFonts w:ascii="Georgia" w:eastAsiaTheme="majorEastAsia" w:hAnsi="Georgia" w:cstheme="majorBidi"/>
      <w:color w:val="000000" w:themeColor="text1"/>
      <w:w w:val="90"/>
      <w:sz w:val="24"/>
      <w:szCs w:val="24"/>
      <w:u w:val="single"/>
      <w:lang w:val="en-AU"/>
    </w:rPr>
  </w:style>
  <w:style w:type="character" w:customStyle="1" w:styleId="QuoteChar">
    <w:name w:val="Quote Char"/>
    <w:basedOn w:val="DefaultParagraphFont"/>
    <w:link w:val="Quote"/>
    <w:uiPriority w:val="29"/>
    <w:rsid w:val="000B38A1"/>
    <w:rPr>
      <w:rFonts w:ascii="Arial" w:hAnsi="Arial"/>
      <w:i/>
      <w:iCs/>
      <w:color w:val="404040" w:themeColor="text1" w:themeTint="BF"/>
      <w:w w:val="90"/>
      <w:lang w:val="en-AU"/>
    </w:rPr>
  </w:style>
  <w:style w:type="paragraph" w:styleId="IntenseQuote">
    <w:name w:val="Intense Quote"/>
    <w:basedOn w:val="Normal"/>
    <w:next w:val="Normal"/>
    <w:link w:val="IntenseQuoteChar"/>
    <w:uiPriority w:val="30"/>
    <w:rsid w:val="000B38A1"/>
    <w:pPr>
      <w:pBdr>
        <w:top w:val="single" w:sz="4" w:space="10" w:color="004949"/>
        <w:bottom w:val="single" w:sz="4" w:space="10" w:color="004949"/>
      </w:pBdr>
      <w:spacing w:before="360" w:after="360"/>
      <w:ind w:left="864" w:right="864"/>
      <w:jc w:val="center"/>
    </w:pPr>
    <w:rPr>
      <w:i/>
      <w:iCs/>
      <w:color w:val="auto"/>
    </w:rPr>
  </w:style>
  <w:style w:type="paragraph" w:customStyle="1" w:styleId="Heading1-center">
    <w:name w:val="Heading 1 - center"/>
    <w:basedOn w:val="Heading1"/>
    <w:rsid w:val="000E1DD3"/>
    <w:pPr>
      <w:jc w:val="center"/>
    </w:pPr>
  </w:style>
  <w:style w:type="character" w:customStyle="1" w:styleId="Heading7Char">
    <w:name w:val="Heading 7 Char"/>
    <w:basedOn w:val="DefaultParagraphFont"/>
    <w:link w:val="Heading7"/>
    <w:uiPriority w:val="9"/>
    <w:rsid w:val="00914FE1"/>
    <w:rPr>
      <w:rFonts w:ascii="Georgia" w:eastAsiaTheme="majorEastAsia" w:hAnsi="Georgia" w:cstheme="majorBidi"/>
      <w:i/>
      <w:color w:val="000000" w:themeColor="text1"/>
      <w:w w:val="90"/>
      <w:sz w:val="24"/>
      <w:lang w:val="en-AU"/>
    </w:rPr>
  </w:style>
  <w:style w:type="character" w:customStyle="1" w:styleId="IntenseQuoteChar">
    <w:name w:val="Intense Quote Char"/>
    <w:basedOn w:val="DefaultParagraphFont"/>
    <w:link w:val="IntenseQuote"/>
    <w:uiPriority w:val="30"/>
    <w:rsid w:val="000B38A1"/>
    <w:rPr>
      <w:rFonts w:ascii="Arial" w:hAnsi="Arial"/>
      <w:i/>
      <w:iCs/>
      <w:w w:val="90"/>
      <w:lang w:val="en-AU"/>
    </w:rPr>
  </w:style>
  <w:style w:type="character" w:styleId="IntenseEmphasis">
    <w:name w:val="Intense Emphasis"/>
    <w:basedOn w:val="DefaultParagraphFont"/>
    <w:uiPriority w:val="21"/>
    <w:rsid w:val="000B38A1"/>
    <w:rPr>
      <w:i/>
      <w:iCs/>
      <w:color w:val="000000" w:themeColor="text1"/>
    </w:rPr>
  </w:style>
  <w:style w:type="character" w:styleId="IntenseReference">
    <w:name w:val="Intense Reference"/>
    <w:basedOn w:val="DefaultParagraphFont"/>
    <w:uiPriority w:val="32"/>
    <w:rsid w:val="000B38A1"/>
    <w:rPr>
      <w:b/>
      <w:bCs/>
      <w:smallCaps/>
      <w:color w:val="000000" w:themeColor="text1"/>
      <w:spacing w:val="5"/>
    </w:rPr>
  </w:style>
  <w:style w:type="character" w:customStyle="1" w:styleId="Heading8Char">
    <w:name w:val="Heading 8 Char"/>
    <w:basedOn w:val="DefaultParagraphFont"/>
    <w:link w:val="Heading8"/>
    <w:uiPriority w:val="9"/>
    <w:rsid w:val="002C6C40"/>
    <w:rPr>
      <w:rFonts w:asciiTheme="majorHAnsi" w:eastAsiaTheme="majorEastAsia" w:hAnsiTheme="majorHAnsi" w:cstheme="majorBidi"/>
      <w:color w:val="272727" w:themeColor="text1" w:themeTint="D8"/>
      <w:w w:val="90"/>
      <w:sz w:val="21"/>
      <w:szCs w:val="21"/>
      <w:lang w:val="en-AU"/>
    </w:rPr>
  </w:style>
  <w:style w:type="paragraph" w:customStyle="1" w:styleId="Heading1-continued">
    <w:name w:val="Heading 1 - continued"/>
    <w:basedOn w:val="Heading1"/>
    <w:next w:val="Normal"/>
    <w:qFormat/>
    <w:rsid w:val="00D40020"/>
    <w:pPr>
      <w:tabs>
        <w:tab w:val="clear" w:pos="1378"/>
      </w:tabs>
      <w:spacing w:after="200" w:line="276" w:lineRule="auto"/>
      <w:outlineLvl w:val="9"/>
    </w:pPr>
    <w:rPr>
      <w:color w:val="009292"/>
      <w:sz w:val="24"/>
    </w:rPr>
  </w:style>
  <w:style w:type="paragraph" w:customStyle="1" w:styleId="ScheduleNumber">
    <w:name w:val="Schedule Number"/>
    <w:basedOn w:val="Normal"/>
    <w:next w:val="Normal"/>
    <w:qFormat/>
    <w:rsid w:val="006B5C69"/>
    <w:pPr>
      <w:pageBreakBefore/>
      <w:tabs>
        <w:tab w:val="clear" w:pos="1378"/>
      </w:tabs>
      <w:jc w:val="right"/>
    </w:pPr>
    <w:rPr>
      <w:rFonts w:eastAsia="Times New Roman" w:cs="Times New Roman"/>
      <w:b/>
      <w:color w:val="auto"/>
      <w:w w:val="100"/>
      <w:sz w:val="24"/>
      <w:szCs w:val="24"/>
      <w:lang w:eastAsia="en-AU"/>
    </w:rPr>
  </w:style>
  <w:style w:type="paragraph" w:customStyle="1" w:styleId="ListNumbered">
    <w:name w:val="List Numbered"/>
    <w:basedOn w:val="Normal"/>
    <w:next w:val="Normal"/>
    <w:qFormat/>
    <w:rsid w:val="006B5C69"/>
    <w:pPr>
      <w:numPr>
        <w:numId w:val="16"/>
      </w:numPr>
      <w:tabs>
        <w:tab w:val="clear" w:pos="1378"/>
      </w:tabs>
    </w:pPr>
    <w:rPr>
      <w:rFonts w:eastAsia="Times New Roman" w:cs="Times New Roman"/>
      <w:color w:val="auto"/>
      <w:w w:val="100"/>
      <w:sz w:val="20"/>
      <w:szCs w:val="19"/>
      <w:lang w:eastAsia="en-AU"/>
    </w:rPr>
  </w:style>
  <w:style w:type="paragraph" w:customStyle="1" w:styleId="Mainheader">
    <w:name w:val="Main header"/>
    <w:basedOn w:val="Normal"/>
    <w:rsid w:val="006B5C69"/>
    <w:pPr>
      <w:tabs>
        <w:tab w:val="clear" w:pos="1378"/>
      </w:tabs>
      <w:jc w:val="center"/>
    </w:pPr>
    <w:rPr>
      <w:rFonts w:eastAsia="Times New Roman" w:cs="Times New Roman"/>
      <w:b/>
      <w:bCs/>
      <w:color w:val="auto"/>
      <w:w w:val="100"/>
      <w:sz w:val="24"/>
      <w:szCs w:val="20"/>
      <w:lang w:eastAsia="en-AU"/>
    </w:rPr>
  </w:style>
  <w:style w:type="paragraph" w:styleId="DocumentMap">
    <w:name w:val="Document Map"/>
    <w:basedOn w:val="Normal"/>
    <w:link w:val="DocumentMapChar"/>
    <w:rsid w:val="006B5C69"/>
    <w:pPr>
      <w:tabs>
        <w:tab w:val="clear" w:pos="1378"/>
      </w:tabs>
    </w:pPr>
    <w:rPr>
      <w:rFonts w:ascii="Tahoma" w:eastAsia="Times New Roman" w:hAnsi="Tahoma" w:cs="Tahoma"/>
      <w:color w:val="auto"/>
      <w:w w:val="100"/>
      <w:sz w:val="16"/>
      <w:szCs w:val="16"/>
      <w:lang w:eastAsia="en-AU"/>
    </w:rPr>
  </w:style>
  <w:style w:type="character" w:customStyle="1" w:styleId="DocumentMapChar">
    <w:name w:val="Document Map Char"/>
    <w:basedOn w:val="DefaultParagraphFont"/>
    <w:link w:val="DocumentMap"/>
    <w:rsid w:val="006B5C69"/>
    <w:rPr>
      <w:rFonts w:ascii="Tahoma" w:eastAsia="Times New Roman" w:hAnsi="Tahoma" w:cs="Tahoma"/>
      <w:sz w:val="16"/>
      <w:szCs w:val="16"/>
      <w:lang w:val="en-AU" w:eastAsia="en-AU"/>
    </w:rPr>
  </w:style>
  <w:style w:type="character" w:styleId="Hyperlink">
    <w:name w:val="Hyperlink"/>
    <w:basedOn w:val="DefaultParagraphFont"/>
    <w:uiPriority w:val="99"/>
    <w:rsid w:val="006B5C69"/>
    <w:rPr>
      <w:color w:val="0000FF"/>
      <w:u w:val="single"/>
    </w:rPr>
  </w:style>
  <w:style w:type="paragraph" w:customStyle="1" w:styleId="DocReference">
    <w:name w:val="DocReference"/>
    <w:basedOn w:val="Normal"/>
    <w:qFormat/>
    <w:rsid w:val="006B5C69"/>
    <w:pPr>
      <w:tabs>
        <w:tab w:val="clear" w:pos="1378"/>
      </w:tabs>
      <w:jc w:val="right"/>
    </w:pPr>
    <w:rPr>
      <w:rFonts w:eastAsia="Times New Roman" w:cs="Times New Roman"/>
      <w:color w:val="auto"/>
      <w:w w:val="100"/>
      <w:sz w:val="12"/>
      <w:szCs w:val="12"/>
      <w:lang w:eastAsia="en-AU"/>
    </w:rPr>
  </w:style>
  <w:style w:type="paragraph" w:styleId="NormalWeb">
    <w:name w:val="Normal (Web)"/>
    <w:basedOn w:val="Normal"/>
    <w:uiPriority w:val="99"/>
    <w:semiHidden/>
    <w:unhideWhenUsed/>
    <w:rsid w:val="006B5C69"/>
    <w:pPr>
      <w:keepLines w:val="0"/>
      <w:tabs>
        <w:tab w:val="clear" w:pos="1378"/>
      </w:tabs>
      <w:spacing w:before="100" w:beforeAutospacing="1" w:after="100" w:afterAutospacing="1" w:line="240" w:lineRule="auto"/>
    </w:pPr>
    <w:rPr>
      <w:rFonts w:ascii="Times New Roman" w:hAnsi="Times New Roman" w:cs="Times New Roman"/>
      <w:color w:val="auto"/>
      <w:w w:val="100"/>
      <w:sz w:val="24"/>
      <w:szCs w:val="24"/>
      <w:lang w:eastAsia="en-AU"/>
    </w:rPr>
  </w:style>
  <w:style w:type="character" w:styleId="Emphasis">
    <w:name w:val="Emphasis"/>
    <w:basedOn w:val="DefaultParagraphFont"/>
    <w:uiPriority w:val="20"/>
    <w:qFormat/>
    <w:rsid w:val="006B5C69"/>
    <w:rPr>
      <w:i/>
      <w:iCs/>
    </w:rPr>
  </w:style>
  <w:style w:type="paragraph" w:styleId="Revision">
    <w:name w:val="Revision"/>
    <w:hidden/>
    <w:uiPriority w:val="99"/>
    <w:semiHidden/>
    <w:rsid w:val="006B5C69"/>
    <w:pPr>
      <w:spacing w:after="0" w:line="240" w:lineRule="auto"/>
    </w:pPr>
    <w:rPr>
      <w:rFonts w:ascii="Arial" w:eastAsia="Times New Roman" w:hAnsi="Arial" w:cs="Times New Roman"/>
      <w:sz w:val="20"/>
      <w:szCs w:val="19"/>
      <w:lang w:val="en-AU" w:eastAsia="en-AU"/>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Arial" w:hAnsi="Arial"/>
      <w:color w:val="000000" w:themeColor="text1"/>
      <w:w w:val="90"/>
      <w:sz w:val="20"/>
      <w:szCs w:val="20"/>
      <w:lang w:val="en-AU"/>
    </w:rPr>
  </w:style>
  <w:style w:type="paragraph" w:styleId="Header">
    <w:name w:val="header"/>
    <w:basedOn w:val="Normal"/>
    <w:link w:val="HeaderChar"/>
    <w:uiPriority w:val="99"/>
    <w:unhideWhenUsed/>
    <w:rsid w:val="004008E9"/>
    <w:pPr>
      <w:tabs>
        <w:tab w:val="clear" w:pos="1378"/>
        <w:tab w:val="center" w:pos="4513"/>
        <w:tab w:val="right" w:pos="9026"/>
      </w:tabs>
      <w:spacing w:after="0" w:line="240" w:lineRule="auto"/>
    </w:pPr>
  </w:style>
  <w:style w:type="character" w:customStyle="1" w:styleId="HeaderChar">
    <w:name w:val="Header Char"/>
    <w:basedOn w:val="DefaultParagraphFont"/>
    <w:link w:val="Header"/>
    <w:uiPriority w:val="99"/>
    <w:rsid w:val="004008E9"/>
    <w:rPr>
      <w:rFonts w:ascii="Arial" w:hAnsi="Arial"/>
      <w:color w:val="000000" w:themeColor="text1"/>
      <w:w w:val="90"/>
      <w:lang w:val="en-AU"/>
    </w:rPr>
  </w:style>
  <w:style w:type="character" w:styleId="FollowedHyperlink">
    <w:name w:val="FollowedHyperlink"/>
    <w:basedOn w:val="DefaultParagraphFont"/>
    <w:uiPriority w:val="99"/>
    <w:semiHidden/>
    <w:unhideWhenUsed/>
    <w:rsid w:val="00D60E52"/>
    <w:rPr>
      <w:color w:val="800080" w:themeColor="followedHyperlink"/>
      <w:u w:val="single"/>
    </w:rPr>
  </w:style>
  <w:style w:type="character" w:customStyle="1" w:styleId="Heading9Char">
    <w:name w:val="Heading 9 Char"/>
    <w:basedOn w:val="DefaultParagraphFont"/>
    <w:link w:val="Heading9"/>
    <w:uiPriority w:val="9"/>
    <w:rsid w:val="00026C11"/>
    <w:rPr>
      <w:rFonts w:asciiTheme="majorHAnsi" w:eastAsiaTheme="majorEastAsia" w:hAnsiTheme="majorHAnsi" w:cstheme="majorBidi"/>
      <w:i/>
      <w:iCs/>
      <w:color w:val="272727" w:themeColor="text1" w:themeTint="D8"/>
      <w:w w:val="90"/>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5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hyperlink" Target="https://ago.nt.gov.au/reports/2021_June.pdf"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hyperlink" Target="https://ago.nt.gov.au/reports/2021_June.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ago.nt.gov.au/reports/2021_June.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7AA7-362A-4326-BE4D-069F833D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25161</Words>
  <Characters>136629</Characters>
  <Application>Microsoft Office Word</Application>
  <DocSecurity>0</DocSecurity>
  <Lines>3503</Lines>
  <Paragraphs>2527</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159263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SusanJ Cooper</dc:creator>
  <cp:lastModifiedBy>SusanJ Cooper</cp:lastModifiedBy>
  <cp:revision>2</cp:revision>
  <cp:lastPrinted>2021-08-15T23:09:00Z</cp:lastPrinted>
  <dcterms:created xsi:type="dcterms:W3CDTF">2021-08-15T23:10:00Z</dcterms:created>
  <dcterms:modified xsi:type="dcterms:W3CDTF">2021-08-15T23:10:00Z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