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41BC" w:rsidRPr="00D14EFB" w:rsidRDefault="00BA7194" w:rsidP="0013400B">
      <w:pPr>
        <w:pStyle w:val="AGRBodyText"/>
        <w:rPr>
          <w:noProof w:val="0"/>
        </w:rPr>
      </w:pPr>
      <w:r w:rsidRPr="00D14EFB">
        <w:rPr>
          <w:lang w:val="en-AU"/>
        </w:rPr>
        <mc:AlternateContent>
          <mc:Choice Requires="wps">
            <w:drawing>
              <wp:anchor distT="0" distB="0" distL="114300" distR="114300" simplePos="0" relativeHeight="251698176" behindDoc="0" locked="0" layoutInCell="1" allowOverlap="1" wp14:anchorId="715990CE" wp14:editId="14152EAB">
                <wp:simplePos x="0" y="0"/>
                <wp:positionH relativeFrom="column">
                  <wp:posOffset>461645</wp:posOffset>
                </wp:positionH>
                <wp:positionV relativeFrom="paragraph">
                  <wp:posOffset>-4908550</wp:posOffset>
                </wp:positionV>
                <wp:extent cx="4441190" cy="581660"/>
                <wp:effectExtent l="0" t="0" r="0" b="0"/>
                <wp:wrapNone/>
                <wp:docPr id="2" name="Text Box 2" descr="Report to the Legislative Assembly" title="Februar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2A3C5B" w:rsidRPr="00291721" w:rsidRDefault="002A3C5B" w:rsidP="00BA7194">
                            <w:pPr>
                              <w:spacing w:after="0" w:line="240" w:lineRule="auto"/>
                              <w:ind w:left="0"/>
                              <w:jc w:val="center"/>
                              <w:rPr>
                                <w:rFonts w:cs="Arial"/>
                                <w:color w:val="FFFFFF" w:themeColor="background1"/>
                                <w:sz w:val="52"/>
                                <w:szCs w:val="52"/>
                              </w:rPr>
                            </w:pPr>
                            <w:r w:rsidRPr="00291721">
                              <w:rPr>
                                <w:rFonts w:cs="Arial"/>
                                <w:color w:val="FFFFFF" w:themeColor="background1"/>
                                <w:sz w:val="52"/>
                                <w:szCs w:val="52"/>
                              </w:rPr>
                              <w:t>August 201</w:t>
                            </w:r>
                            <w:r>
                              <w:rPr>
                                <w:rFonts w:cs="Arial"/>
                                <w:color w:val="FFFFFF" w:themeColor="background1"/>
                                <w:sz w:val="52"/>
                                <w:szCs w:val="5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ebruary 2013 - Description: Report to the Legislative Assembly" style="position:absolute;left:0;text-align:left;margin-left:36.35pt;margin-top:-386.5pt;width:349.7pt;height:4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" filled="f" stroked="f">
                <v:textbox>
                  <w:txbxContent>
                    <w:p w:rsidR="002A3C5B" w:rsidRPr="00291721" w:rsidRDefault="002A3C5B" w:rsidP="00BA7194">
                      <w:pPr>
                        <w:spacing w:after="0" w:line="240" w:lineRule="auto"/>
                        <w:ind w:left="0"/>
                        <w:jc w:val="center"/>
                        <w:rPr>
                          <w:rFonts w:cs="Arial"/>
                          <w:color w:val="FFFFFF" w:themeColor="background1"/>
                          <w:sz w:val="52"/>
                          <w:szCs w:val="52"/>
                        </w:rPr>
                      </w:pPr>
                      <w:r w:rsidRPr="00291721">
                        <w:rPr>
                          <w:rFonts w:cs="Arial"/>
                          <w:color w:val="FFFFFF" w:themeColor="background1"/>
                          <w:sz w:val="52"/>
                          <w:szCs w:val="52"/>
                        </w:rPr>
                        <w:t>August 201</w:t>
                      </w:r>
                      <w:r>
                        <w:rPr>
                          <w:rFonts w:cs="Arial"/>
                          <w:color w:val="FFFFFF" w:themeColor="background1"/>
                          <w:sz w:val="52"/>
                          <w:szCs w:val="52"/>
                        </w:rPr>
                        <w:t>5</w:t>
                      </w:r>
                    </w:p>
                  </w:txbxContent>
                </v:textbox>
              </v:shape>
            </w:pict>
          </mc:Fallback>
        </mc:AlternateContent>
      </w:r>
      <w:r w:rsidR="008F41BC" w:rsidRPr="00D14EFB">
        <w:rPr>
          <w:noProof w:val="0"/>
        </w:rPr>
        <w:br w:type="page"/>
      </w:r>
      <w:r w:rsidRPr="00D14EFB">
        <w:rPr>
          <w:sz w:val="22"/>
          <w:szCs w:val="19"/>
          <w:lang w:val="en-AU"/>
        </w:rPr>
        <w:drawing>
          <wp:anchor distT="0" distB="0" distL="114300" distR="114300" simplePos="0" relativeHeight="251702272" behindDoc="1" locked="0" layoutInCell="1" allowOverlap="1" wp14:anchorId="0BAC04F4" wp14:editId="6146CC45">
            <wp:simplePos x="0" y="0"/>
            <wp:positionH relativeFrom="page">
              <wp:align>left</wp:align>
            </wp:positionH>
            <wp:positionV relativeFrom="page">
              <wp:align>top</wp:align>
            </wp:positionV>
            <wp:extent cx="7596000" cy="10774800"/>
            <wp:effectExtent l="0" t="0" r="5080" b="7620"/>
            <wp:wrapNone/>
            <wp:docPr id="106" name="Picture 106" descr="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000" cy="10774800"/>
                    </a:xfrm>
                    <a:prstGeom prst="rect">
                      <a:avLst/>
                    </a:prstGeom>
                  </pic:spPr>
                </pic:pic>
              </a:graphicData>
            </a:graphic>
            <wp14:sizeRelH relativeFrom="page">
              <wp14:pctWidth>0</wp14:pctWidth>
            </wp14:sizeRelH>
            <wp14:sizeRelV relativeFrom="page">
              <wp14:pctHeight>0</wp14:pctHeight>
            </wp14:sizeRelV>
          </wp:anchor>
        </w:drawing>
      </w:r>
    </w:p>
    <w:p w:rsidR="00190630" w:rsidRPr="00F623FD" w:rsidRDefault="00190630" w:rsidP="00F623FD">
      <w:pPr>
        <w:pStyle w:val="AGRBodyText"/>
        <w:pBdr>
          <w:top w:val="single" w:sz="12" w:space="1" w:color="auto"/>
          <w:left w:val="single" w:sz="12" w:space="4" w:color="auto"/>
          <w:bottom w:val="single" w:sz="12" w:space="1" w:color="auto"/>
          <w:right w:val="single" w:sz="12" w:space="4" w:color="auto"/>
        </w:pBdr>
        <w:jc w:val="center"/>
        <w:rPr>
          <w:noProof w:val="0"/>
          <w:color w:val="auto"/>
          <w:w w:val="90"/>
          <w:sz w:val="22"/>
          <w:szCs w:val="22"/>
          <w:lang w:val="en-AU" w:eastAsia="en-US"/>
        </w:rPr>
      </w:pPr>
      <w:r w:rsidRPr="00F623FD">
        <w:rPr>
          <w:noProof w:val="0"/>
          <w:color w:val="auto"/>
          <w:w w:val="90"/>
          <w:sz w:val="22"/>
          <w:szCs w:val="22"/>
          <w:lang w:val="en-AU" w:eastAsia="en-US"/>
        </w:rPr>
        <w:lastRenderedPageBreak/>
        <w:t>ORDERED TO BE</w:t>
      </w:r>
      <w:r w:rsidRPr="00F623FD">
        <w:rPr>
          <w:noProof w:val="0"/>
          <w:color w:val="auto"/>
          <w:w w:val="90"/>
          <w:sz w:val="22"/>
          <w:szCs w:val="22"/>
          <w:lang w:val="en-AU" w:eastAsia="en-US"/>
        </w:rPr>
        <w:br/>
        <w:t xml:space="preserve">PRINTED BY </w:t>
      </w:r>
      <w:r w:rsidR="004D75FC">
        <w:rPr>
          <w:noProof w:val="0"/>
          <w:color w:val="auto"/>
          <w:w w:val="90"/>
          <w:sz w:val="22"/>
          <w:szCs w:val="22"/>
          <w:lang w:val="en-AU" w:eastAsia="en-US"/>
        </w:rPr>
        <w:t>THE</w:t>
      </w:r>
      <w:r w:rsidR="004D75FC">
        <w:rPr>
          <w:noProof w:val="0"/>
          <w:color w:val="auto"/>
          <w:w w:val="90"/>
          <w:sz w:val="22"/>
          <w:szCs w:val="22"/>
          <w:lang w:val="en-AU" w:eastAsia="en-US"/>
        </w:rPr>
        <w:br/>
        <w:t>LEGISLATIVE ASSEMBLY</w:t>
      </w:r>
      <w:r w:rsidR="004D75FC">
        <w:rPr>
          <w:noProof w:val="0"/>
          <w:color w:val="auto"/>
          <w:w w:val="90"/>
          <w:sz w:val="22"/>
          <w:szCs w:val="22"/>
          <w:lang w:val="en-AU" w:eastAsia="en-US"/>
        </w:rPr>
        <w:br/>
        <w:t>OF THE</w:t>
      </w:r>
      <w:r w:rsidRPr="00F623FD">
        <w:rPr>
          <w:noProof w:val="0"/>
          <w:color w:val="auto"/>
          <w:w w:val="90"/>
          <w:sz w:val="22"/>
          <w:szCs w:val="22"/>
          <w:lang w:val="en-AU" w:eastAsia="en-US"/>
        </w:rPr>
        <w:br/>
        <w:t>NORTHERN TERRITORY</w:t>
      </w:r>
    </w:p>
    <w:p w:rsidR="00190630" w:rsidRPr="00D14EFB" w:rsidRDefault="00190630" w:rsidP="00190630">
      <w:pPr>
        <w:jc w:val="center"/>
        <w:rPr>
          <w:rFonts w:cs="FrankRuehl"/>
          <w:b/>
          <w:sz w:val="28"/>
          <w:szCs w:val="28"/>
        </w:rPr>
      </w:pPr>
      <w:r w:rsidRPr="00D14EFB">
        <w:rPr>
          <w:rFonts w:cs="FrankRuehl"/>
          <w:b/>
          <w:sz w:val="28"/>
          <w:szCs w:val="28"/>
        </w:rPr>
        <w:t>ISSN 1323-7128</w:t>
      </w:r>
    </w:p>
    <w:p w:rsidR="00190630" w:rsidRPr="00D14EFB" w:rsidRDefault="00190630" w:rsidP="00142913">
      <w:pPr>
        <w:jc w:val="center"/>
        <w:rPr>
          <w:rFonts w:cs="FrankRuehl"/>
          <w:b/>
          <w:sz w:val="28"/>
          <w:szCs w:val="28"/>
        </w:rPr>
        <w:sectPr w:rsidR="00190630" w:rsidRPr="00D14EFB" w:rsidSect="0021315B">
          <w:headerReference w:type="even" r:id="rId10"/>
          <w:headerReference w:type="default" r:id="rId11"/>
          <w:footerReference w:type="even" r:id="rId12"/>
          <w:footerReference w:type="default" r:id="rId13"/>
          <w:headerReference w:type="first" r:id="rId14"/>
          <w:footerReference w:type="first" r:id="rId15"/>
          <w:pgSz w:w="11906" w:h="16838" w:code="9"/>
          <w:pgMar w:top="13296" w:right="6521" w:bottom="1440" w:left="1418" w:header="340" w:footer="567" w:gutter="284"/>
          <w:cols w:space="720"/>
        </w:sectPr>
      </w:pPr>
    </w:p>
    <w:p w:rsidR="00F77ED6" w:rsidRPr="00D14EFB" w:rsidRDefault="00766A93" w:rsidP="00766A93">
      <w:pPr>
        <w:pStyle w:val="AGRHeading1"/>
        <w:pageBreakBefore w:val="0"/>
        <w:tabs>
          <w:tab w:val="center" w:pos="4395"/>
        </w:tabs>
      </w:pPr>
      <w:r w:rsidRPr="00D14EFB">
        <w:lastRenderedPageBreak/>
        <w:tab/>
      </w:r>
      <w:r w:rsidR="008F41BC" w:rsidRPr="00D14EFB">
        <w:t>August 201</w:t>
      </w:r>
      <w:r w:rsidR="00C64B1A" w:rsidRPr="00D14EFB">
        <w:t>5</w:t>
      </w:r>
      <w:r w:rsidR="00F77ED6" w:rsidRPr="00D14EFB">
        <w:t xml:space="preserve"> Report</w:t>
      </w:r>
      <w:r w:rsidR="00F77ED6" w:rsidRPr="00D14EFB">
        <w:br/>
      </w:r>
      <w:r w:rsidR="00F77ED6" w:rsidRPr="00D14EFB">
        <w:tab/>
        <w:t>to the Legislative Assembly</w:t>
      </w:r>
      <w:r w:rsidR="00F77ED6" w:rsidRPr="00D14EFB">
        <w:br/>
      </w:r>
    </w:p>
    <w:p w:rsidR="00746EF4" w:rsidRPr="00D14EFB" w:rsidRDefault="00746EF4" w:rsidP="00294167">
      <w:pPr>
        <w:pStyle w:val="AGRTableNumbers"/>
        <w:jc w:val="right"/>
      </w:pPr>
      <w:r w:rsidRPr="00D14EFB">
        <w:br w:type="page"/>
      </w:r>
    </w:p>
    <w:p w:rsidR="000E7E8A" w:rsidRPr="00D14EFB" w:rsidRDefault="000E7E8A" w:rsidP="0013400B">
      <w:pPr>
        <w:pStyle w:val="AGRBodyText"/>
      </w:pPr>
    </w:p>
    <w:p w:rsidR="00746EF4" w:rsidRPr="00D14EFB" w:rsidRDefault="00F5017F" w:rsidP="0013400B">
      <w:pPr>
        <w:pStyle w:val="AGRBodyText"/>
        <w:rPr>
          <w:noProof w:val="0"/>
        </w:rPr>
        <w:sectPr w:rsidR="00746EF4" w:rsidRPr="00D14EFB" w:rsidSect="00BA7194">
          <w:headerReference w:type="default" r:id="rId16"/>
          <w:pgSz w:w="11906" w:h="16838" w:code="9"/>
          <w:pgMar w:top="2608" w:right="851" w:bottom="1134" w:left="1418" w:header="1276" w:footer="567" w:gutter="284"/>
          <w:cols w:space="720"/>
          <w:vAlign w:val="center"/>
        </w:sectPr>
      </w:pPr>
      <w:r w:rsidRPr="00D14EFB">
        <w:rPr>
          <w:lang w:val="en-AU"/>
        </w:rPr>
        <mc:AlternateContent>
          <mc:Choice Requires="wps">
            <w:drawing>
              <wp:anchor distT="0" distB="0" distL="114300" distR="114300" simplePos="0" relativeHeight="251645952" behindDoc="0" locked="0" layoutInCell="1" allowOverlap="1" wp14:anchorId="2B4E508C" wp14:editId="7674C78C">
                <wp:simplePos x="0" y="0"/>
                <wp:positionH relativeFrom="page">
                  <wp:posOffset>2862580</wp:posOffset>
                </wp:positionH>
                <wp:positionV relativeFrom="page">
                  <wp:posOffset>1080135</wp:posOffset>
                </wp:positionV>
                <wp:extent cx="1836000" cy="2916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746EF4">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5.4pt;margin-top:85.05pt;width:144.55pt;height:2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" stroked="f" strokeweight="1pt">
                <v:textbox inset="0,0,0,0">
                  <w:txbxContent>
                    <w:p w:rsidR="002A3C5B" w:rsidRDefault="002A3C5B" w:rsidP="00746EF4">
                      <w:pPr>
                        <w:pStyle w:val="AGRTableText"/>
                      </w:pPr>
                      <w:r>
                        <w:t>This page deliberately left blank.</w:t>
                      </w:r>
                    </w:p>
                  </w:txbxContent>
                </v:textbox>
                <w10:wrap anchorx="page" anchory="page"/>
              </v:rect>
            </w:pict>
          </mc:Fallback>
        </mc:AlternateContent>
      </w:r>
    </w:p>
    <w:p w:rsidR="00DD511F" w:rsidRPr="00CD3A14" w:rsidRDefault="00DD511F" w:rsidP="00C67DA8">
      <w:pPr>
        <w:pStyle w:val="AGRHeading1"/>
      </w:pPr>
      <w:bookmarkStart w:id="1" w:name="contents"/>
      <w:r w:rsidRPr="00CD3A14">
        <w:t>Contents</w:t>
      </w:r>
      <w:bookmarkEnd w:id="1"/>
    </w:p>
    <w:tbl>
      <w:tblPr>
        <w:tblW w:w="8806" w:type="dxa"/>
        <w:tblLayout w:type="fixed"/>
        <w:tblLook w:val="01E0" w:firstRow="1" w:lastRow="1" w:firstColumn="1" w:lastColumn="1" w:noHBand="0" w:noVBand="0"/>
      </w:tblPr>
      <w:tblGrid>
        <w:gridCol w:w="7817"/>
        <w:gridCol w:w="989"/>
      </w:tblGrid>
      <w:tr w:rsidR="00074668" w:rsidRPr="00CD3A14" w:rsidTr="00074668">
        <w:tc>
          <w:tcPr>
            <w:tcW w:w="7817" w:type="dxa"/>
            <w:vAlign w:val="bottom"/>
          </w:tcPr>
          <w:p w:rsidR="00074668" w:rsidRPr="00CD3A14" w:rsidRDefault="00074668" w:rsidP="00201259">
            <w:pPr>
              <w:pStyle w:val="AGRTOC"/>
            </w:pPr>
          </w:p>
        </w:tc>
        <w:tc>
          <w:tcPr>
            <w:tcW w:w="989" w:type="dxa"/>
          </w:tcPr>
          <w:p w:rsidR="00074668" w:rsidRPr="00CD3A14" w:rsidRDefault="00B7323D" w:rsidP="00B7323D">
            <w:pPr>
              <w:pStyle w:val="AGRTableText"/>
              <w:rPr>
                <w:b/>
              </w:rPr>
            </w:pPr>
            <w:r w:rsidRPr="00CD3A14">
              <w:rPr>
                <w:b/>
              </w:rPr>
              <w:t>Page</w:t>
            </w:r>
          </w:p>
        </w:tc>
      </w:tr>
      <w:tr w:rsidR="00074668" w:rsidRPr="00CD3A14" w:rsidTr="00B97ECA">
        <w:tc>
          <w:tcPr>
            <w:tcW w:w="7817" w:type="dxa"/>
            <w:vAlign w:val="bottom"/>
          </w:tcPr>
          <w:p w:rsidR="00074668" w:rsidRPr="00CD3A14" w:rsidRDefault="00036669" w:rsidP="00E71B6C">
            <w:pPr>
              <w:pStyle w:val="AGRTOC"/>
            </w:pPr>
            <w:r w:rsidRPr="00CD3A14">
              <w:fldChar w:fldCharType="begin"/>
            </w:r>
            <w:r w:rsidRPr="00CD3A14">
              <w:instrText xml:space="preserve"> REF contents \h  \* MERGEFORMAT </w:instrText>
            </w:r>
            <w:r w:rsidRPr="00CD3A14">
              <w:fldChar w:fldCharType="separate"/>
            </w:r>
            <w:r w:rsidR="008D47F9" w:rsidRPr="00CD3A14">
              <w:t>Contents</w:t>
            </w:r>
            <w:r w:rsidRPr="00CD3A14">
              <w:fldChar w:fldCharType="end"/>
            </w:r>
          </w:p>
        </w:tc>
        <w:tc>
          <w:tcPr>
            <w:tcW w:w="989" w:type="dxa"/>
          </w:tcPr>
          <w:p w:rsidR="00074668" w:rsidRPr="00CD3A14" w:rsidRDefault="00694433" w:rsidP="00B97ECA">
            <w:pPr>
              <w:pStyle w:val="AGRTOCNumbers"/>
            </w:pPr>
            <w:r w:rsidRPr="00CD3A14">
              <w:fldChar w:fldCharType="begin"/>
            </w:r>
            <w:r w:rsidR="00B7323D" w:rsidRPr="00CD3A14">
              <w:instrText xml:space="preserve"> PAGEREF contents \h </w:instrText>
            </w:r>
            <w:r w:rsidRPr="00CD3A14">
              <w:fldChar w:fldCharType="separate"/>
            </w:r>
            <w:r w:rsidR="008D47F9">
              <w:rPr>
                <w:noProof/>
              </w:rPr>
              <w:t>3</w:t>
            </w:r>
            <w:r w:rsidRPr="00CD3A14">
              <w:fldChar w:fldCharType="end"/>
            </w:r>
          </w:p>
        </w:tc>
      </w:tr>
      <w:tr w:rsidR="00074668" w:rsidRPr="00CD3A14" w:rsidTr="00B97ECA">
        <w:tc>
          <w:tcPr>
            <w:tcW w:w="7817" w:type="dxa"/>
          </w:tcPr>
          <w:p w:rsidR="00074668" w:rsidRPr="00CD3A14" w:rsidRDefault="00B7323D" w:rsidP="00E71B6C">
            <w:pPr>
              <w:pStyle w:val="AGRTOC"/>
            </w:pPr>
            <w:r w:rsidRPr="00CD3A14">
              <w:t>Transmittal letter to the Speaker</w:t>
            </w:r>
          </w:p>
        </w:tc>
        <w:tc>
          <w:tcPr>
            <w:tcW w:w="989" w:type="dxa"/>
          </w:tcPr>
          <w:p w:rsidR="00074668" w:rsidRPr="00CD3A14" w:rsidRDefault="00694433" w:rsidP="00B97ECA">
            <w:pPr>
              <w:pStyle w:val="AGRTOCNumbers"/>
            </w:pPr>
            <w:r w:rsidRPr="00CD3A14">
              <w:fldChar w:fldCharType="begin"/>
            </w:r>
            <w:r w:rsidR="00B7323D" w:rsidRPr="00CD3A14">
              <w:instrText xml:space="preserve"> PAGEREF transmittal_letter \h </w:instrText>
            </w:r>
            <w:r w:rsidRPr="00CD3A14">
              <w:fldChar w:fldCharType="separate"/>
            </w:r>
            <w:r w:rsidR="008D47F9">
              <w:rPr>
                <w:noProof/>
              </w:rPr>
              <w:t>5</w:t>
            </w:r>
            <w:r w:rsidRPr="00CD3A14">
              <w:fldChar w:fldCharType="end"/>
            </w:r>
          </w:p>
        </w:tc>
      </w:tr>
      <w:tr w:rsidR="00074668" w:rsidRPr="00CD3A14" w:rsidTr="00B97ECA">
        <w:tc>
          <w:tcPr>
            <w:tcW w:w="7817" w:type="dxa"/>
          </w:tcPr>
          <w:p w:rsidR="00074668" w:rsidRPr="00CD3A14" w:rsidRDefault="00694433" w:rsidP="00E71B6C">
            <w:pPr>
              <w:pStyle w:val="AGRTOC"/>
            </w:pPr>
            <w:r w:rsidRPr="00CD3A14">
              <w:fldChar w:fldCharType="begin"/>
            </w:r>
            <w:r w:rsidRPr="00CD3A14">
              <w:instrText xml:space="preserve"> REF AG_overview \h  \* MERGEFORMAT </w:instrText>
            </w:r>
            <w:r w:rsidRPr="00CD3A14">
              <w:fldChar w:fldCharType="separate"/>
            </w:r>
            <w:r w:rsidR="008D47F9" w:rsidRPr="00CD3A14">
              <w:t>Auditor-General’s Overview</w:t>
            </w:r>
            <w:r w:rsidRPr="00CD3A14">
              <w:fldChar w:fldCharType="end"/>
            </w:r>
          </w:p>
        </w:tc>
        <w:tc>
          <w:tcPr>
            <w:tcW w:w="989" w:type="dxa"/>
          </w:tcPr>
          <w:p w:rsidR="00074668" w:rsidRPr="00CD3A14" w:rsidRDefault="00694433" w:rsidP="00B97ECA">
            <w:pPr>
              <w:pStyle w:val="AGRTOCNumbers"/>
            </w:pPr>
            <w:r w:rsidRPr="00CD3A14">
              <w:fldChar w:fldCharType="begin"/>
            </w:r>
            <w:r w:rsidR="00177A69" w:rsidRPr="00CD3A14">
              <w:instrText xml:space="preserve"> PAGEREF AG_overview \h </w:instrText>
            </w:r>
            <w:r w:rsidRPr="00CD3A14">
              <w:fldChar w:fldCharType="separate"/>
            </w:r>
            <w:r w:rsidR="008D47F9">
              <w:rPr>
                <w:noProof/>
              </w:rPr>
              <w:t>7</w:t>
            </w:r>
            <w:r w:rsidRPr="00CD3A14">
              <w:fldChar w:fldCharType="end"/>
            </w:r>
          </w:p>
        </w:tc>
      </w:tr>
      <w:tr w:rsidR="008A580E" w:rsidRPr="00CD3A14" w:rsidTr="00B97ECA">
        <w:tc>
          <w:tcPr>
            <w:tcW w:w="7817" w:type="dxa"/>
          </w:tcPr>
          <w:p w:rsidR="008A580E" w:rsidRPr="00CD3A14" w:rsidRDefault="00694433" w:rsidP="00E71B6C">
            <w:pPr>
              <w:pStyle w:val="AGRTOC"/>
            </w:pPr>
            <w:r w:rsidRPr="00CD3A14">
              <w:fldChar w:fldCharType="begin"/>
            </w:r>
            <w:r w:rsidRPr="00CD3A14">
              <w:instrText xml:space="preserve"> REF reporting_on_audits \h  \* MERGEFORMAT </w:instrText>
            </w:r>
            <w:r w:rsidRPr="00CD3A14">
              <w:fldChar w:fldCharType="separate"/>
            </w:r>
            <w:r w:rsidR="008D47F9" w:rsidRPr="00CD3A14">
              <w:t>Reports on the Results of Audit, Reviews and Assessments</w:t>
            </w:r>
            <w:r w:rsidRPr="00CD3A14">
              <w:fldChar w:fldCharType="end"/>
            </w:r>
          </w:p>
        </w:tc>
        <w:tc>
          <w:tcPr>
            <w:tcW w:w="989" w:type="dxa"/>
          </w:tcPr>
          <w:p w:rsidR="008A580E" w:rsidRPr="00CD3A14" w:rsidRDefault="00694433" w:rsidP="00B97ECA">
            <w:pPr>
              <w:pStyle w:val="AGRTOCNumbers"/>
            </w:pPr>
            <w:r w:rsidRPr="00CD3A14">
              <w:fldChar w:fldCharType="begin"/>
            </w:r>
            <w:r w:rsidR="008A580E" w:rsidRPr="00CD3A14">
              <w:instrText xml:space="preserve"> PAGEREF  reporting_on_audits \h </w:instrText>
            </w:r>
            <w:r w:rsidRPr="00CD3A14">
              <w:fldChar w:fldCharType="separate"/>
            </w:r>
            <w:r w:rsidR="008D47F9">
              <w:rPr>
                <w:noProof/>
              </w:rPr>
              <w:t>13</w:t>
            </w:r>
            <w:r w:rsidRPr="00CD3A14">
              <w:fldChar w:fldCharType="end"/>
            </w:r>
          </w:p>
        </w:tc>
      </w:tr>
      <w:tr w:rsidR="00BB1EAA" w:rsidRPr="00CD3A14" w:rsidTr="00B97ECA">
        <w:tc>
          <w:tcPr>
            <w:tcW w:w="7817" w:type="dxa"/>
          </w:tcPr>
          <w:p w:rsidR="00BB1EAA" w:rsidRPr="00CD3A14" w:rsidRDefault="00BB1EAA" w:rsidP="00BB1EAA">
            <w:pPr>
              <w:pStyle w:val="AGRTOC"/>
            </w:pPr>
            <w:r w:rsidRPr="00CD3A14">
              <w:fldChar w:fldCharType="begin"/>
            </w:r>
            <w:r w:rsidRPr="00CD3A14">
              <w:instrText xml:space="preserve"> REF  PIA \h  \* MERGEFORMAT </w:instrText>
            </w:r>
            <w:r w:rsidRPr="00CD3A14">
              <w:fldChar w:fldCharType="separate"/>
            </w:r>
            <w:r w:rsidR="008D47F9" w:rsidRPr="00CD3A14">
              <w:t>Public Information Act</w:t>
            </w:r>
            <w:r w:rsidRPr="00CD3A14">
              <w:fldChar w:fldCharType="end"/>
            </w:r>
          </w:p>
        </w:tc>
        <w:tc>
          <w:tcPr>
            <w:tcW w:w="989" w:type="dxa"/>
          </w:tcPr>
          <w:p w:rsidR="00BB1EAA" w:rsidRPr="00CD3A14" w:rsidRDefault="00BB1EAA" w:rsidP="00B97ECA">
            <w:pPr>
              <w:pStyle w:val="AGRTOCNumbers"/>
            </w:pPr>
            <w:r w:rsidRPr="00CD3A14">
              <w:fldChar w:fldCharType="begin"/>
            </w:r>
            <w:r w:rsidRPr="00CD3A14">
              <w:instrText xml:space="preserve"> PAGEREF  PIA \h </w:instrText>
            </w:r>
            <w:r w:rsidRPr="00CD3A14">
              <w:fldChar w:fldCharType="separate"/>
            </w:r>
            <w:r w:rsidR="008D47F9">
              <w:rPr>
                <w:noProof/>
              </w:rPr>
              <w:t>83</w:t>
            </w:r>
            <w:r w:rsidRPr="00CD3A14">
              <w:fldChar w:fldCharType="end"/>
            </w:r>
          </w:p>
        </w:tc>
      </w:tr>
      <w:tr w:rsidR="008A580E" w:rsidRPr="00CD3A14" w:rsidTr="00B97ECA">
        <w:tc>
          <w:tcPr>
            <w:tcW w:w="7817" w:type="dxa"/>
          </w:tcPr>
          <w:p w:rsidR="008A580E" w:rsidRPr="00CD3A14" w:rsidRDefault="00694433" w:rsidP="00E71B6C">
            <w:pPr>
              <w:pStyle w:val="AGRTOC"/>
            </w:pPr>
            <w:r w:rsidRPr="00CD3A14">
              <w:fldChar w:fldCharType="begin"/>
            </w:r>
            <w:r w:rsidRPr="00CD3A14">
              <w:instrText xml:space="preserve"> REF appendix_1 \h  \* MERGEFORMAT </w:instrText>
            </w:r>
            <w:r w:rsidRPr="00CD3A14">
              <w:fldChar w:fldCharType="separate"/>
            </w:r>
            <w:r w:rsidR="008D47F9" w:rsidRPr="00CD3A14">
              <w:t>Appendix 1: Audit Opinion Reports Issued Since 31 December 2014</w:t>
            </w:r>
            <w:r w:rsidRPr="00CD3A14">
              <w:fldChar w:fldCharType="end"/>
            </w:r>
          </w:p>
        </w:tc>
        <w:tc>
          <w:tcPr>
            <w:tcW w:w="989" w:type="dxa"/>
          </w:tcPr>
          <w:p w:rsidR="008A580E" w:rsidRPr="00CD3A14" w:rsidRDefault="00694433" w:rsidP="00B97ECA">
            <w:pPr>
              <w:pStyle w:val="AGRTOCNumbers"/>
            </w:pPr>
            <w:r w:rsidRPr="00CD3A14">
              <w:fldChar w:fldCharType="begin"/>
            </w:r>
            <w:r w:rsidR="008A580E" w:rsidRPr="00CD3A14">
              <w:instrText xml:space="preserve"> PAGEREF appendix_1 \h </w:instrText>
            </w:r>
            <w:r w:rsidRPr="00CD3A14">
              <w:fldChar w:fldCharType="separate"/>
            </w:r>
            <w:r w:rsidR="008D47F9">
              <w:rPr>
                <w:noProof/>
              </w:rPr>
              <w:t>87</w:t>
            </w:r>
            <w:r w:rsidRPr="00CD3A14">
              <w:fldChar w:fldCharType="end"/>
            </w:r>
          </w:p>
        </w:tc>
      </w:tr>
      <w:tr w:rsidR="008A580E" w:rsidRPr="00CD3A14" w:rsidTr="00B97ECA">
        <w:tc>
          <w:tcPr>
            <w:tcW w:w="7817" w:type="dxa"/>
            <w:vAlign w:val="bottom"/>
          </w:tcPr>
          <w:p w:rsidR="008A580E" w:rsidRPr="00CD3A14" w:rsidRDefault="00694433" w:rsidP="00E71B6C">
            <w:pPr>
              <w:pStyle w:val="AGRTOC"/>
            </w:pPr>
            <w:r w:rsidRPr="00CD3A14">
              <w:fldChar w:fldCharType="begin"/>
            </w:r>
            <w:r w:rsidRPr="00CD3A14">
              <w:instrText xml:space="preserve"> REF appendix_2 \h  \* MERGEFORMAT </w:instrText>
            </w:r>
            <w:r w:rsidRPr="00CD3A14">
              <w:fldChar w:fldCharType="separate"/>
            </w:r>
            <w:r w:rsidR="008D47F9" w:rsidRPr="00CD3A14">
              <w:t xml:space="preserve">Appendix 2: Status of Audits and Reviews which were Identified to be Conducted in the Six Months to 30 June 2015 </w:t>
            </w:r>
            <w:r w:rsidRPr="00CD3A14">
              <w:fldChar w:fldCharType="end"/>
            </w:r>
          </w:p>
        </w:tc>
        <w:tc>
          <w:tcPr>
            <w:tcW w:w="989" w:type="dxa"/>
          </w:tcPr>
          <w:p w:rsidR="008A580E" w:rsidRPr="00CD3A14" w:rsidRDefault="00694433" w:rsidP="00B97ECA">
            <w:pPr>
              <w:pStyle w:val="AGRTOCNumbers"/>
            </w:pPr>
            <w:r w:rsidRPr="00CD3A14">
              <w:fldChar w:fldCharType="begin"/>
            </w:r>
            <w:r w:rsidR="008A580E" w:rsidRPr="00CD3A14">
              <w:instrText xml:space="preserve"> PAGEREF appendix_2 \h </w:instrText>
            </w:r>
            <w:r w:rsidRPr="00CD3A14">
              <w:fldChar w:fldCharType="separate"/>
            </w:r>
            <w:r w:rsidR="008D47F9">
              <w:rPr>
                <w:noProof/>
              </w:rPr>
              <w:t>89</w:t>
            </w:r>
            <w:r w:rsidRPr="00CD3A14">
              <w:fldChar w:fldCharType="end"/>
            </w:r>
          </w:p>
        </w:tc>
      </w:tr>
      <w:tr w:rsidR="008A580E" w:rsidRPr="00CD3A14" w:rsidTr="00B97ECA">
        <w:tc>
          <w:tcPr>
            <w:tcW w:w="7817" w:type="dxa"/>
          </w:tcPr>
          <w:p w:rsidR="008A580E" w:rsidRPr="00CD3A14" w:rsidRDefault="00694433" w:rsidP="00E71B6C">
            <w:pPr>
              <w:pStyle w:val="AGRTOC"/>
            </w:pPr>
            <w:r w:rsidRPr="00CD3A14">
              <w:fldChar w:fldCharType="begin"/>
            </w:r>
            <w:r w:rsidRPr="00CD3A14">
              <w:instrText xml:space="preserve"> REF appendix_3 \h  \* MERGEFORMAT </w:instrText>
            </w:r>
            <w:r w:rsidRPr="00CD3A14">
              <w:fldChar w:fldCharType="separate"/>
            </w:r>
            <w:r w:rsidR="008D47F9" w:rsidRPr="00CD3A14">
              <w:t>Appendix 3: Proposed Audit Activity in the Six Months Ending 31 December 201</w:t>
            </w:r>
            <w:r w:rsidR="008D47F9">
              <w:t>5</w:t>
            </w:r>
            <w:r w:rsidRPr="00CD3A14">
              <w:fldChar w:fldCharType="end"/>
            </w:r>
          </w:p>
        </w:tc>
        <w:tc>
          <w:tcPr>
            <w:tcW w:w="989" w:type="dxa"/>
          </w:tcPr>
          <w:p w:rsidR="008A580E" w:rsidRPr="00CD3A14" w:rsidRDefault="00694433" w:rsidP="00B97ECA">
            <w:pPr>
              <w:pStyle w:val="AGRTOCNumbers"/>
            </w:pPr>
            <w:r w:rsidRPr="00CD3A14">
              <w:fldChar w:fldCharType="begin"/>
            </w:r>
            <w:r w:rsidR="008A580E" w:rsidRPr="00CD3A14">
              <w:instrText xml:space="preserve"> PAGEREF appendix_3 \h </w:instrText>
            </w:r>
            <w:r w:rsidRPr="00CD3A14">
              <w:fldChar w:fldCharType="separate"/>
            </w:r>
            <w:r w:rsidR="008D47F9">
              <w:rPr>
                <w:noProof/>
              </w:rPr>
              <w:t>91</w:t>
            </w:r>
            <w:r w:rsidRPr="00CD3A14">
              <w:fldChar w:fldCharType="end"/>
            </w:r>
          </w:p>
        </w:tc>
      </w:tr>
      <w:tr w:rsidR="008A580E" w:rsidRPr="00CD3A14" w:rsidTr="00FA0A65">
        <w:tc>
          <w:tcPr>
            <w:tcW w:w="7817" w:type="dxa"/>
          </w:tcPr>
          <w:p w:rsidR="008A580E" w:rsidRPr="00CD3A14" w:rsidRDefault="00694433" w:rsidP="00E71B6C">
            <w:pPr>
              <w:pStyle w:val="AGRTOC"/>
            </w:pPr>
            <w:r w:rsidRPr="00CD3A14">
              <w:fldChar w:fldCharType="begin"/>
            </w:r>
            <w:r w:rsidRPr="00CD3A14">
              <w:instrText xml:space="preserve"> REF appendix_6 \h  \* MERGEFORMAT </w:instrText>
            </w:r>
            <w:r w:rsidRPr="00CD3A14">
              <w:fldChar w:fldCharType="separate"/>
            </w:r>
            <w:r w:rsidR="008D47F9" w:rsidRPr="00CD3A14">
              <w:t>Appendix 4: Agencies not Audited relating to the year ended 30 June 2015</w:t>
            </w:r>
            <w:r w:rsidRPr="00CD3A14">
              <w:fldChar w:fldCharType="end"/>
            </w:r>
          </w:p>
        </w:tc>
        <w:tc>
          <w:tcPr>
            <w:tcW w:w="989" w:type="dxa"/>
            <w:vAlign w:val="bottom"/>
          </w:tcPr>
          <w:p w:rsidR="008A580E" w:rsidRPr="00CD3A14" w:rsidRDefault="00694433" w:rsidP="00B97ECA">
            <w:pPr>
              <w:pStyle w:val="AGRTOCNumbers"/>
            </w:pPr>
            <w:r w:rsidRPr="00CD3A14">
              <w:fldChar w:fldCharType="begin"/>
            </w:r>
            <w:r w:rsidR="008A580E" w:rsidRPr="00CD3A14">
              <w:instrText xml:space="preserve"> PAGEREF appendix_6 \h </w:instrText>
            </w:r>
            <w:r w:rsidRPr="00CD3A14">
              <w:fldChar w:fldCharType="separate"/>
            </w:r>
            <w:r w:rsidR="008D47F9">
              <w:rPr>
                <w:noProof/>
              </w:rPr>
              <w:t>93</w:t>
            </w:r>
            <w:r w:rsidRPr="00CD3A14">
              <w:fldChar w:fldCharType="end"/>
            </w:r>
          </w:p>
        </w:tc>
      </w:tr>
      <w:tr w:rsidR="00790B35" w:rsidRPr="00CD3A14" w:rsidTr="00B97ECA">
        <w:tc>
          <w:tcPr>
            <w:tcW w:w="7817" w:type="dxa"/>
          </w:tcPr>
          <w:p w:rsidR="00790B35" w:rsidRPr="00CD3A14" w:rsidRDefault="00DC3BD0" w:rsidP="004C5E15">
            <w:pPr>
              <w:pStyle w:val="AGRTOC"/>
            </w:pPr>
            <w:r w:rsidRPr="00CD3A14">
              <w:fldChar w:fldCharType="begin"/>
            </w:r>
            <w:r w:rsidRPr="00CD3A14">
              <w:instrText xml:space="preserve"> REF  appendix_8 \h </w:instrText>
            </w:r>
            <w:r w:rsidR="00B97ECA" w:rsidRPr="00CD3A14">
              <w:instrText xml:space="preserve"> \* MERGEFORMAT </w:instrText>
            </w:r>
            <w:r w:rsidRPr="00CD3A14">
              <w:fldChar w:fldCharType="separate"/>
            </w:r>
            <w:r w:rsidR="008D47F9" w:rsidRPr="00CD3A14">
              <w:t>Appendix 5: Abbreviations</w:t>
            </w:r>
            <w:r w:rsidRPr="00CD3A14">
              <w:fldChar w:fldCharType="end"/>
            </w:r>
          </w:p>
        </w:tc>
        <w:tc>
          <w:tcPr>
            <w:tcW w:w="989" w:type="dxa"/>
            <w:vAlign w:val="bottom"/>
          </w:tcPr>
          <w:p w:rsidR="00790B35" w:rsidRPr="00CD3A14" w:rsidRDefault="00DC3BD0" w:rsidP="00B97ECA">
            <w:pPr>
              <w:pStyle w:val="AGRTOCNumbers"/>
            </w:pPr>
            <w:r w:rsidRPr="00CD3A14">
              <w:fldChar w:fldCharType="begin"/>
            </w:r>
            <w:r w:rsidRPr="00CD3A14">
              <w:instrText xml:space="preserve"> PAGEREF  appendix_8 \h </w:instrText>
            </w:r>
            <w:r w:rsidRPr="00CD3A14">
              <w:fldChar w:fldCharType="separate"/>
            </w:r>
            <w:r w:rsidR="008D47F9">
              <w:rPr>
                <w:noProof/>
              </w:rPr>
              <w:t>95</w:t>
            </w:r>
            <w:r w:rsidRPr="00CD3A14">
              <w:fldChar w:fldCharType="end"/>
            </w:r>
          </w:p>
        </w:tc>
      </w:tr>
      <w:tr w:rsidR="008A580E" w:rsidRPr="00CD3A14" w:rsidTr="00FA0A65">
        <w:tc>
          <w:tcPr>
            <w:tcW w:w="7817" w:type="dxa"/>
          </w:tcPr>
          <w:p w:rsidR="008A580E" w:rsidRPr="00CD3A14" w:rsidRDefault="00DC3BD0" w:rsidP="009E2A74">
            <w:pPr>
              <w:pStyle w:val="AGRTOC"/>
            </w:pPr>
            <w:r w:rsidRPr="00CD3A14">
              <w:fldChar w:fldCharType="begin"/>
            </w:r>
            <w:r w:rsidRPr="00CD3A14">
              <w:instrText xml:space="preserve"> REF  Index_of_matters_reported \h  \* MERGEFORMAT </w:instrText>
            </w:r>
            <w:r w:rsidRPr="00CD3A14">
              <w:fldChar w:fldCharType="separate"/>
            </w:r>
            <w:r w:rsidR="008D47F9" w:rsidRPr="00CD3A14">
              <w:t>Index of Matters Reported</w:t>
            </w:r>
            <w:r w:rsidRPr="00CD3A14">
              <w:fldChar w:fldCharType="end"/>
            </w:r>
          </w:p>
        </w:tc>
        <w:tc>
          <w:tcPr>
            <w:tcW w:w="989" w:type="dxa"/>
            <w:vAlign w:val="bottom"/>
          </w:tcPr>
          <w:p w:rsidR="008A580E" w:rsidRPr="00CD3A14" w:rsidRDefault="00DC3BD0" w:rsidP="00B97ECA">
            <w:pPr>
              <w:pStyle w:val="AGRTOCNumbers"/>
            </w:pPr>
            <w:r w:rsidRPr="00CD3A14">
              <w:fldChar w:fldCharType="begin"/>
            </w:r>
            <w:r w:rsidRPr="00CD3A14">
              <w:instrText xml:space="preserve"> PAGEREF  Index_of_matters_reported \h </w:instrText>
            </w:r>
            <w:r w:rsidRPr="00CD3A14">
              <w:fldChar w:fldCharType="separate"/>
            </w:r>
            <w:r w:rsidR="008D47F9">
              <w:rPr>
                <w:noProof/>
              </w:rPr>
              <w:t>97</w:t>
            </w:r>
            <w:r w:rsidRPr="00CD3A14">
              <w:fldChar w:fldCharType="end"/>
            </w:r>
          </w:p>
        </w:tc>
      </w:tr>
    </w:tbl>
    <w:p w:rsidR="00746EF4" w:rsidRPr="00CD3A14" w:rsidRDefault="00DD511F" w:rsidP="0013400B">
      <w:pPr>
        <w:pStyle w:val="AGRBodyText"/>
        <w:rPr>
          <w:noProof w:val="0"/>
          <w:lang w:val="en-AU"/>
        </w:rPr>
      </w:pPr>
      <w:r w:rsidRPr="00CD3A14">
        <w:rPr>
          <w:noProof w:val="0"/>
          <w:lang w:val="en-AU"/>
        </w:rPr>
        <w:br w:type="page"/>
      </w:r>
    </w:p>
    <w:p w:rsidR="00746EF4" w:rsidRPr="00CD3A14" w:rsidRDefault="00F5017F" w:rsidP="0013400B">
      <w:pPr>
        <w:pStyle w:val="AGRBodyText"/>
        <w:rPr>
          <w:noProof w:val="0"/>
          <w:lang w:val="en-AU"/>
        </w:rPr>
        <w:sectPr w:rsidR="00746EF4" w:rsidRPr="00CD3A14" w:rsidSect="00816CA2">
          <w:headerReference w:type="even" r:id="rId17"/>
          <w:headerReference w:type="default" r:id="rId18"/>
          <w:footerReference w:type="even" r:id="rId19"/>
          <w:footerReference w:type="default" r:id="rId20"/>
          <w:headerReference w:type="first" r:id="rId21"/>
          <w:footerReference w:type="first" r:id="rId22"/>
          <w:pgSz w:w="11906" w:h="16838" w:code="9"/>
          <w:pgMar w:top="3119" w:right="1418" w:bottom="1134" w:left="1418" w:header="340" w:footer="567" w:gutter="284"/>
          <w:pgNumType w:start="3"/>
          <w:cols w:space="708"/>
          <w:docGrid w:linePitch="360"/>
        </w:sectPr>
      </w:pPr>
      <w:r w:rsidRPr="00CD3A14">
        <w:rPr>
          <w:lang w:val="en-AU"/>
        </w:rPr>
        <mc:AlternateContent>
          <mc:Choice Requires="wps">
            <w:drawing>
              <wp:anchor distT="0" distB="0" distL="114300" distR="114300" simplePos="0" relativeHeight="251649024" behindDoc="0" locked="0" layoutInCell="1" allowOverlap="1" wp14:anchorId="79184B01" wp14:editId="34025D06">
                <wp:simplePos x="0" y="0"/>
                <wp:positionH relativeFrom="page">
                  <wp:align>center</wp:align>
                </wp:positionH>
                <wp:positionV relativeFrom="page">
                  <wp:align>center</wp:align>
                </wp:positionV>
                <wp:extent cx="1837055" cy="292735"/>
                <wp:effectExtent l="0" t="0" r="0" b="381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DD511F">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0;width:144.65pt;height:23.0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dsfQ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mModsfQIAAP8EAAAO&#10;AAAAAAAAAAAAAAAAAC4CAABkcnMvZTJvRG9jLnhtbFBLAQItABQABgAIAAAAIQBAtcdy2gAAAAQB&#10;AAAPAAAAAAAAAAAAAAAAANcEAABkcnMvZG93bnJldi54bWxQSwUGAAAAAAQABADzAAAA3gUAAAAA&#10;" stroked="f" strokeweight="1pt">
                <v:textbox inset="0,0,0,0">
                  <w:txbxContent>
                    <w:p w:rsidR="002A3C5B" w:rsidRDefault="002A3C5B" w:rsidP="00DD511F">
                      <w:pPr>
                        <w:pStyle w:val="AGRTableText"/>
                      </w:pPr>
                      <w:r>
                        <w:t>This page deliberately left blank.</w:t>
                      </w:r>
                    </w:p>
                  </w:txbxContent>
                </v:textbox>
                <w10:wrap anchorx="page" anchory="page"/>
              </v:rect>
            </w:pict>
          </mc:Fallback>
        </mc:AlternateContent>
      </w:r>
    </w:p>
    <w:p w:rsidR="002E0CA5" w:rsidRPr="00CD3A14" w:rsidRDefault="002E0CA5" w:rsidP="00074668">
      <w:pPr>
        <w:pStyle w:val="AGRSpeakersletter"/>
      </w:pPr>
    </w:p>
    <w:p w:rsidR="002E0CA5" w:rsidRPr="00CD3A14" w:rsidRDefault="002E0CA5" w:rsidP="00074668">
      <w:pPr>
        <w:pStyle w:val="AGRSpeakersletter"/>
      </w:pPr>
    </w:p>
    <w:p w:rsidR="00EB0039" w:rsidRPr="00047746" w:rsidRDefault="00EB0039" w:rsidP="00074668">
      <w:pPr>
        <w:pStyle w:val="AGRSpeakersletter"/>
      </w:pPr>
      <w:r w:rsidRPr="00047746">
        <w:t xml:space="preserve">The </w:t>
      </w:r>
      <w:bookmarkStart w:id="2" w:name="transmittal_letter"/>
      <w:r w:rsidR="002250EC" w:rsidRPr="00047746">
        <w:t>Honourable</w:t>
      </w:r>
      <w:r w:rsidRPr="00047746">
        <w:t xml:space="preserve"> Speaker </w:t>
      </w:r>
      <w:bookmarkEnd w:id="2"/>
      <w:r w:rsidRPr="00047746">
        <w:t xml:space="preserve">of the Legislative </w:t>
      </w:r>
      <w:r w:rsidRPr="00047746">
        <w:br/>
        <w:t xml:space="preserve">    Assembly of the Northern Territory</w:t>
      </w:r>
      <w:r w:rsidRPr="00047746">
        <w:br/>
        <w:t>Parliament House</w:t>
      </w:r>
      <w:r w:rsidRPr="00047746">
        <w:br/>
      </w:r>
      <w:proofErr w:type="gramStart"/>
      <w:r w:rsidRPr="00047746">
        <w:t>Darwin  NT</w:t>
      </w:r>
      <w:proofErr w:type="gramEnd"/>
      <w:r w:rsidRPr="00047746">
        <w:t xml:space="preserve">  0800</w:t>
      </w:r>
    </w:p>
    <w:p w:rsidR="0023413D" w:rsidRPr="00CD3A14" w:rsidRDefault="0023413D" w:rsidP="00074668">
      <w:pPr>
        <w:pStyle w:val="AGRSpeakersletter"/>
        <w:rPr>
          <w:highlight w:val="red"/>
        </w:rPr>
      </w:pPr>
    </w:p>
    <w:p w:rsidR="00EB0039" w:rsidRPr="00D5328F" w:rsidRDefault="00047746" w:rsidP="00074668">
      <w:pPr>
        <w:pStyle w:val="AGRSpeakersletter"/>
      </w:pPr>
      <w:r w:rsidRPr="00D5328F">
        <w:t>27</w:t>
      </w:r>
      <w:r w:rsidR="000228AE" w:rsidRPr="00D5328F">
        <w:t xml:space="preserve"> </w:t>
      </w:r>
      <w:r w:rsidR="00C64B1A" w:rsidRPr="00D5328F">
        <w:t>August 2015</w:t>
      </w:r>
    </w:p>
    <w:p w:rsidR="00EB0039" w:rsidRPr="00CD3A14" w:rsidRDefault="00EB0039" w:rsidP="00074668">
      <w:pPr>
        <w:pStyle w:val="AGRSpeakersletter"/>
        <w:rPr>
          <w:highlight w:val="red"/>
        </w:rPr>
      </w:pPr>
    </w:p>
    <w:p w:rsidR="00EB0039" w:rsidRPr="00C30AC6" w:rsidRDefault="00EB0039" w:rsidP="00074668">
      <w:pPr>
        <w:pStyle w:val="AGRSpeakersletter"/>
      </w:pPr>
      <w:r w:rsidRPr="00C30AC6">
        <w:t xml:space="preserve">Dear </w:t>
      </w:r>
      <w:r w:rsidR="00BC7A1E" w:rsidRPr="00C30AC6">
        <w:t xml:space="preserve">Madam </w:t>
      </w:r>
      <w:r w:rsidRPr="00C30AC6">
        <w:t>Speaker,</w:t>
      </w:r>
    </w:p>
    <w:p w:rsidR="00580589" w:rsidRDefault="00580589" w:rsidP="00580589">
      <w:pPr>
        <w:pStyle w:val="AGRSpeakersletter"/>
      </w:pPr>
      <w:r>
        <w:t>Accompanying this letter is my report to the Legislative Assembly on matters arising from audits, reviews and assessments conducted during the six months ended 30 June 2015 and I request that you table the report in the Legislative Assembly.</w:t>
      </w:r>
    </w:p>
    <w:p w:rsidR="00580589" w:rsidRDefault="00580589" w:rsidP="00580589">
      <w:pPr>
        <w:pStyle w:val="AGRSpeakersletter"/>
      </w:pPr>
      <w:r>
        <w:t xml:space="preserve">This report presents the results of compliance audits that were performed to assess the adequacy of controls over the administration of public monies and audits of information technology systems that were undertaken to assess whether access to those systems together with controls over data maintained within such systems were adequate.  </w:t>
      </w:r>
    </w:p>
    <w:p w:rsidR="00580589" w:rsidRDefault="00580589" w:rsidP="00580589">
      <w:pPr>
        <w:pStyle w:val="AGRSpeakersletter"/>
      </w:pPr>
      <w:r>
        <w:t>The findings from data analysis conducted at selected agencies upon transactions generated using purchasing cards and fuel cards have been reported within this report.</w:t>
      </w:r>
    </w:p>
    <w:p w:rsidR="0051065B" w:rsidRPr="00047746" w:rsidRDefault="00580589" w:rsidP="00580589">
      <w:pPr>
        <w:pStyle w:val="AGRSpeakersletter"/>
      </w:pPr>
      <w:r>
        <w:t>This report presents findings from performance management system audits and audits conducted under section 14 of the</w:t>
      </w:r>
      <w:r w:rsidRPr="00580589">
        <w:rPr>
          <w:i/>
        </w:rPr>
        <w:t xml:space="preserve"> Audit Act</w:t>
      </w:r>
      <w:r>
        <w:t xml:space="preserve"> and the results of audits of financial statements for those entities that are required to report on a calendar year basis</w:t>
      </w:r>
      <w:r w:rsidR="0051065B" w:rsidRPr="00047746">
        <w:t>.</w:t>
      </w:r>
    </w:p>
    <w:p w:rsidR="00EB0039" w:rsidRPr="00047746" w:rsidRDefault="00EB0039" w:rsidP="000A60A0">
      <w:pPr>
        <w:pStyle w:val="AGRSpeakersletter"/>
      </w:pPr>
      <w:r w:rsidRPr="00047746">
        <w:t xml:space="preserve">Yours </w:t>
      </w:r>
      <w:r w:rsidR="007478CE" w:rsidRPr="00047746">
        <w:t>sincerely</w:t>
      </w:r>
      <w:r w:rsidRPr="00047746">
        <w:t>,</w:t>
      </w:r>
    </w:p>
    <w:p w:rsidR="00EB0039" w:rsidRPr="00047746" w:rsidRDefault="00EB0039" w:rsidP="002D4B8D">
      <w:pPr>
        <w:pStyle w:val="AGRSpeakersletter"/>
      </w:pPr>
    </w:p>
    <w:p w:rsidR="00EB0039" w:rsidRPr="00047746" w:rsidRDefault="00EB0039" w:rsidP="002D4B8D">
      <w:pPr>
        <w:pStyle w:val="AGRSpeakersletter"/>
      </w:pPr>
    </w:p>
    <w:p w:rsidR="00746EF4" w:rsidRPr="00CD3A14" w:rsidRDefault="00C64B1A" w:rsidP="00074668">
      <w:pPr>
        <w:pStyle w:val="AGRSpeakersletter"/>
      </w:pPr>
      <w:r w:rsidRPr="00047746">
        <w:t>Julie Crisp</w:t>
      </w:r>
      <w:r w:rsidR="00EB0039" w:rsidRPr="00CD3A14">
        <w:br/>
        <w:t>Auditor-General for the Northern Territory</w:t>
      </w:r>
    </w:p>
    <w:p w:rsidR="00DD511F" w:rsidRPr="00CD3A14" w:rsidRDefault="00DD511F" w:rsidP="007076BC">
      <w:pPr>
        <w:pStyle w:val="AGRSpeakersletter"/>
      </w:pPr>
    </w:p>
    <w:p w:rsidR="00DD511F" w:rsidRPr="00CD3A14" w:rsidRDefault="00CB30DD" w:rsidP="007076BC">
      <w:pPr>
        <w:pStyle w:val="AGRSpeakersletter"/>
      </w:pPr>
      <w:r w:rsidRPr="00CD3A14">
        <w:br w:type="page"/>
      </w:r>
    </w:p>
    <w:p w:rsidR="00DD511F" w:rsidRPr="00CD3A14" w:rsidRDefault="00F5017F" w:rsidP="007076BC">
      <w:pPr>
        <w:pStyle w:val="AGRSpeakersletter"/>
      </w:pPr>
      <w:r w:rsidRPr="00CD3A14">
        <w:rPr>
          <w:noProof/>
          <w:lang w:eastAsia="en-AU"/>
        </w:rPr>
        <mc:AlternateContent>
          <mc:Choice Requires="wps">
            <w:drawing>
              <wp:anchor distT="0" distB="0" distL="114300" distR="114300" simplePos="0" relativeHeight="251652096" behindDoc="0" locked="0" layoutInCell="1" allowOverlap="1" wp14:anchorId="59B78C2A" wp14:editId="7189110E">
                <wp:simplePos x="0" y="0"/>
                <wp:positionH relativeFrom="page">
                  <wp:align>center</wp:align>
                </wp:positionH>
                <wp:positionV relativeFrom="page">
                  <wp:align>center</wp:align>
                </wp:positionV>
                <wp:extent cx="1837055" cy="292735"/>
                <wp:effectExtent l="0" t="0" r="0" b="381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CB30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44.65pt;height:23.0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1Qim034CAAD/BAAA&#10;DgAAAAAAAAAAAAAAAAAuAgAAZHJzL2Uyb0RvYy54bWxQSwECLQAUAAYACAAAACEAQLXHctoAAAAE&#10;AQAADwAAAAAAAAAAAAAAAADYBAAAZHJzL2Rvd25yZXYueG1sUEsFBgAAAAAEAAQA8wAAAN8FAAAA&#10;AA==&#10;" stroked="f" strokeweight="1pt">
                <v:textbox inset="0,0,0,0">
                  <w:txbxContent>
                    <w:p w:rsidR="002A3C5B" w:rsidRDefault="002A3C5B" w:rsidP="00CB30DD">
                      <w:pPr>
                        <w:pStyle w:val="AGRTableText"/>
                      </w:pPr>
                      <w:r>
                        <w:t>This page deliberately left blank.</w:t>
                      </w:r>
                    </w:p>
                  </w:txbxContent>
                </v:textbox>
                <w10:wrap anchorx="page" anchory="page"/>
              </v:rect>
            </w:pict>
          </mc:Fallback>
        </mc:AlternateContent>
      </w:r>
    </w:p>
    <w:p w:rsidR="00DD511F" w:rsidRPr="00CD3A14" w:rsidRDefault="00DD511F" w:rsidP="002D4B8D">
      <w:pPr>
        <w:pStyle w:val="AGRSpeakersletter"/>
        <w:sectPr w:rsidR="00DD511F" w:rsidRPr="00CD3A14" w:rsidSect="00D90F8E">
          <w:headerReference w:type="default" r:id="rId23"/>
          <w:footerReference w:type="even" r:id="rId24"/>
          <w:footerReference w:type="default" r:id="rId25"/>
          <w:headerReference w:type="first" r:id="rId26"/>
          <w:footerReference w:type="first" r:id="rId27"/>
          <w:pgSz w:w="11906" w:h="16838" w:code="9"/>
          <w:pgMar w:top="3119" w:right="1418" w:bottom="1134" w:left="1418" w:header="340" w:footer="567" w:gutter="284"/>
          <w:cols w:space="708"/>
          <w:docGrid w:linePitch="360"/>
        </w:sectPr>
      </w:pPr>
    </w:p>
    <w:p w:rsidR="0028294C" w:rsidRPr="00CD3A14" w:rsidRDefault="0028294C" w:rsidP="00C67DA8">
      <w:pPr>
        <w:pStyle w:val="AGRHeading1"/>
      </w:pPr>
      <w:bookmarkStart w:id="3" w:name="AG_overview"/>
      <w:r w:rsidRPr="00CD3A14">
        <w:t>Auditor-General’s Overview</w:t>
      </w:r>
      <w:bookmarkEnd w:id="3"/>
    </w:p>
    <w:p w:rsidR="00C64B1A" w:rsidRPr="00CD3A14" w:rsidRDefault="00C64B1A" w:rsidP="00C64B1A">
      <w:pPr>
        <w:pStyle w:val="AGRHeading2"/>
      </w:pPr>
      <w:r w:rsidRPr="00CD3A14">
        <w:t>Audits Included in this Report</w:t>
      </w:r>
    </w:p>
    <w:p w:rsidR="00C64B1A" w:rsidRPr="00CD3A14" w:rsidRDefault="00580589" w:rsidP="0013400B">
      <w:pPr>
        <w:pStyle w:val="AGRBodyText"/>
        <w:rPr>
          <w:noProof w:val="0"/>
          <w:highlight w:val="red"/>
          <w:lang w:val="en-AU"/>
        </w:rPr>
      </w:pPr>
      <w:r w:rsidRPr="00580589">
        <w:rPr>
          <w:noProof w:val="0"/>
          <w:lang w:val="en-AU"/>
        </w:rPr>
        <w:t xml:space="preserve">This report outlines the results of </w:t>
      </w:r>
      <w:r w:rsidR="007A6D42">
        <w:rPr>
          <w:noProof w:val="0"/>
          <w:lang w:val="en-AU"/>
        </w:rPr>
        <w:t>42</w:t>
      </w:r>
      <w:r w:rsidRPr="00580589">
        <w:rPr>
          <w:noProof w:val="0"/>
          <w:lang w:val="en-AU"/>
        </w:rPr>
        <w:t xml:space="preserve"> separate audits and other tasks conducted during the period 1 January 2015 to 30 June 2015.  This report summarises the results of the following types of audits and legislated tasks conducted during the period</w:t>
      </w:r>
      <w:r w:rsidR="002A3C5B">
        <w:rPr>
          <w:noProof w:val="0"/>
          <w:lang w:val="en-AU"/>
        </w:rPr>
        <w:t>:</w:t>
      </w:r>
      <w:r w:rsidR="00C64B1A" w:rsidRPr="00CD3A14">
        <w:rPr>
          <w:noProof w:val="0"/>
          <w:highlight w:val="red"/>
          <w:lang w:val="en-AU"/>
        </w:rPr>
        <w:t xml:space="preserve"> </w:t>
      </w:r>
    </w:p>
    <w:p w:rsidR="00C64B1A" w:rsidRPr="00580589" w:rsidRDefault="00C64B1A" w:rsidP="0013400B">
      <w:pPr>
        <w:pStyle w:val="AGRBulletText"/>
        <w:numPr>
          <w:ilvl w:val="0"/>
          <w:numId w:val="14"/>
        </w:numPr>
        <w:rPr>
          <w:noProof w:val="0"/>
          <w:lang w:val="en-AU"/>
        </w:rPr>
      </w:pPr>
      <w:r w:rsidRPr="00580589">
        <w:rPr>
          <w:noProof w:val="0"/>
          <w:lang w:val="en-AU"/>
        </w:rPr>
        <w:t>Statutory Audits of Financial Statements;</w:t>
      </w:r>
    </w:p>
    <w:p w:rsidR="00C64B1A" w:rsidRPr="00580589" w:rsidRDefault="00C64B1A" w:rsidP="0013400B">
      <w:pPr>
        <w:pStyle w:val="AGRBulletText"/>
        <w:numPr>
          <w:ilvl w:val="0"/>
          <w:numId w:val="14"/>
        </w:numPr>
        <w:rPr>
          <w:noProof w:val="0"/>
          <w:lang w:val="en-AU"/>
        </w:rPr>
      </w:pPr>
      <w:r w:rsidRPr="00580589">
        <w:rPr>
          <w:noProof w:val="0"/>
          <w:lang w:val="en-AU"/>
        </w:rPr>
        <w:t>Information Technology Audits;</w:t>
      </w:r>
    </w:p>
    <w:p w:rsidR="00580589" w:rsidRPr="00580589" w:rsidRDefault="00C64B1A" w:rsidP="0013400B">
      <w:pPr>
        <w:pStyle w:val="AGRBulletText"/>
        <w:numPr>
          <w:ilvl w:val="0"/>
          <w:numId w:val="14"/>
        </w:numPr>
        <w:rPr>
          <w:noProof w:val="0"/>
          <w:lang w:val="en-AU"/>
        </w:rPr>
      </w:pPr>
      <w:r w:rsidRPr="00580589">
        <w:rPr>
          <w:noProof w:val="0"/>
          <w:lang w:val="en-AU"/>
        </w:rPr>
        <w:t>Controls and Compliance Audits</w:t>
      </w:r>
    </w:p>
    <w:p w:rsidR="00C64B1A" w:rsidRPr="00580589" w:rsidRDefault="00580589" w:rsidP="0013400B">
      <w:pPr>
        <w:pStyle w:val="AGRBulletText"/>
        <w:numPr>
          <w:ilvl w:val="0"/>
          <w:numId w:val="14"/>
        </w:numPr>
        <w:rPr>
          <w:noProof w:val="0"/>
          <w:lang w:val="en-AU"/>
        </w:rPr>
      </w:pPr>
      <w:r w:rsidRPr="00580589">
        <w:rPr>
          <w:noProof w:val="0"/>
          <w:lang w:val="en-AU"/>
        </w:rPr>
        <w:t>Performance Manageme</w:t>
      </w:r>
      <w:r>
        <w:rPr>
          <w:noProof w:val="0"/>
          <w:lang w:val="en-AU"/>
        </w:rPr>
        <w:t>n</w:t>
      </w:r>
      <w:r w:rsidRPr="00580589">
        <w:rPr>
          <w:noProof w:val="0"/>
          <w:lang w:val="en-AU"/>
        </w:rPr>
        <w:t>t Systems Audits</w:t>
      </w:r>
      <w:r w:rsidR="00C64B1A" w:rsidRPr="00580589">
        <w:rPr>
          <w:noProof w:val="0"/>
          <w:lang w:val="en-AU"/>
        </w:rPr>
        <w:t>; and</w:t>
      </w:r>
    </w:p>
    <w:p w:rsidR="00C64B1A" w:rsidRPr="00580589" w:rsidRDefault="00C64B1A" w:rsidP="0013400B">
      <w:pPr>
        <w:pStyle w:val="AGRBulletText"/>
        <w:numPr>
          <w:ilvl w:val="0"/>
          <w:numId w:val="14"/>
        </w:numPr>
        <w:rPr>
          <w:noProof w:val="0"/>
          <w:lang w:val="en-AU"/>
        </w:rPr>
      </w:pPr>
      <w:r w:rsidRPr="00580589">
        <w:rPr>
          <w:i/>
          <w:noProof w:val="0"/>
          <w:lang w:val="en-AU"/>
        </w:rPr>
        <w:t>Public Information Act</w:t>
      </w:r>
      <w:r w:rsidRPr="00580589">
        <w:rPr>
          <w:noProof w:val="0"/>
          <w:lang w:val="en-AU"/>
        </w:rPr>
        <w:t xml:space="preserve"> Referrals.</w:t>
      </w:r>
    </w:p>
    <w:p w:rsidR="00580589" w:rsidRPr="00580589" w:rsidRDefault="00580589" w:rsidP="00580589">
      <w:pPr>
        <w:pStyle w:val="AGRBodyText"/>
        <w:rPr>
          <w:noProof w:val="0"/>
          <w:lang w:val="en-AU"/>
        </w:rPr>
      </w:pPr>
      <w:r w:rsidRPr="00580589">
        <w:rPr>
          <w:noProof w:val="0"/>
          <w:lang w:val="en-AU"/>
        </w:rPr>
        <w:t>The report presents the results of compliance audits that were performed to assess the adequacy of controls over the administration of public monies.  Findings arising from these audits have been reported to the affected agencies to enable them to address control weaknesses as required.  Agency compliance audits address a wide range of topics however the audit focus for many of these audits is compliance with the Treasurer’s Directions and the</w:t>
      </w:r>
      <w:r w:rsidRPr="00580589">
        <w:rPr>
          <w:i/>
          <w:noProof w:val="0"/>
          <w:lang w:val="en-AU"/>
        </w:rPr>
        <w:t xml:space="preserve"> Financial Management Act</w:t>
      </w:r>
      <w:r w:rsidR="002A3C5B">
        <w:rPr>
          <w:noProof w:val="0"/>
          <w:lang w:val="en-AU"/>
        </w:rPr>
        <w:t>.  Beyond identifying control</w:t>
      </w:r>
      <w:r w:rsidRPr="00580589">
        <w:rPr>
          <w:noProof w:val="0"/>
          <w:lang w:val="en-AU"/>
        </w:rPr>
        <w:t xml:space="preserve"> weaknesses within selected agencies, these audits also identified numerous instances where the Treasurer’s Directions themselves require updating to ensure that appropriate and clear guidance is provided and references are correct.  I understand the Department of Treasury and Finance is presently reviewing the suite of Treasurer’s Directions.</w:t>
      </w:r>
    </w:p>
    <w:p w:rsidR="00580589" w:rsidRPr="00580589" w:rsidRDefault="00580589" w:rsidP="00580589">
      <w:pPr>
        <w:pStyle w:val="AGRBodyText"/>
        <w:rPr>
          <w:noProof w:val="0"/>
          <w:lang w:val="en-AU"/>
        </w:rPr>
      </w:pPr>
      <w:r w:rsidRPr="00580589">
        <w:rPr>
          <w:noProof w:val="0"/>
          <w:lang w:val="en-AU"/>
        </w:rPr>
        <w:t>Other compliance audits undertaken during this period focussed upon controls surrounding Official Travel and Ministerial Travel.</w:t>
      </w:r>
    </w:p>
    <w:p w:rsidR="00580589" w:rsidRPr="00580589" w:rsidRDefault="00580589" w:rsidP="00580589">
      <w:pPr>
        <w:pStyle w:val="AGRBodyText"/>
        <w:rPr>
          <w:noProof w:val="0"/>
          <w:lang w:val="en-AU"/>
        </w:rPr>
      </w:pPr>
      <w:r w:rsidRPr="00580589">
        <w:rPr>
          <w:noProof w:val="0"/>
          <w:lang w:val="en-AU"/>
        </w:rPr>
        <w:t>A review was conducted on the reimplementation of the legacy systems used to manage government assets following the move away from the former Asset Management System. Findings arising from this review are being addressed across government by the Department of Corporate and Information Services.</w:t>
      </w:r>
    </w:p>
    <w:p w:rsidR="00580589" w:rsidRPr="00580589" w:rsidRDefault="00580589" w:rsidP="00580589">
      <w:pPr>
        <w:pStyle w:val="AGRBodyText"/>
        <w:rPr>
          <w:noProof w:val="0"/>
          <w:lang w:val="en-AU"/>
        </w:rPr>
      </w:pPr>
      <w:r w:rsidRPr="00580589">
        <w:rPr>
          <w:noProof w:val="0"/>
          <w:lang w:val="en-AU"/>
        </w:rPr>
        <w:t>My Office continued conducting data analysis at selected agencies in relation to transactions incurred using purchasing cards and fuel cards.  The approach undertaken is to review the data for selected agencies at a high level and then refer anomalous information to each selected agency to enable investigation of individual transactions.  The agencies then report back to my Office the outcomes of their investigation together with any planned actions to address the findings.  The results of the data analysis have been reported within this report.</w:t>
      </w:r>
    </w:p>
    <w:p w:rsidR="00580589" w:rsidRPr="00CD3A14" w:rsidRDefault="00580589" w:rsidP="00580589">
      <w:pPr>
        <w:pStyle w:val="AGRHeading1"/>
      </w:pPr>
      <w:r w:rsidRPr="00CD3A14">
        <w:t>Auditor-General’s Overview</w:t>
      </w:r>
      <w:r w:rsidRPr="00580589">
        <w:t xml:space="preserve"> </w:t>
      </w:r>
      <w:proofErr w:type="spellStart"/>
      <w:r w:rsidRPr="00CD3A14">
        <w:t>cont</w:t>
      </w:r>
      <w:proofErr w:type="spellEnd"/>
      <w:r w:rsidRPr="00CD3A14">
        <w:t>…</w:t>
      </w:r>
    </w:p>
    <w:p w:rsidR="00580589" w:rsidRPr="00580589" w:rsidRDefault="00580589" w:rsidP="00580589">
      <w:pPr>
        <w:pStyle w:val="AGRBodyText"/>
        <w:rPr>
          <w:noProof w:val="0"/>
          <w:lang w:val="en-AU"/>
        </w:rPr>
      </w:pPr>
      <w:r w:rsidRPr="00580589">
        <w:rPr>
          <w:noProof w:val="0"/>
          <w:lang w:val="en-AU"/>
        </w:rPr>
        <w:t>During the year ended 30 June 2015, the Office completed development of a revised performance management system audit methodology.  Two performance management system audits were conducted at two separate agencies.  The audits found that, with respect to the strategic goal selected for audit from the agencies’ Budget Paper 3 extracts, both agencies had developed and implemented a performance management system that enables public reporting against established performance outcomes.  A number of recommendations to enhance the effectiveness of these performance management systems were identified and have been reported to the agencies for consideration.</w:t>
      </w:r>
    </w:p>
    <w:p w:rsidR="00580589" w:rsidRPr="00580589" w:rsidRDefault="00580589" w:rsidP="00580589">
      <w:pPr>
        <w:pStyle w:val="AGRBodyText"/>
        <w:rPr>
          <w:noProof w:val="0"/>
          <w:lang w:val="en-AU"/>
        </w:rPr>
      </w:pPr>
      <w:r w:rsidRPr="00580589">
        <w:rPr>
          <w:noProof w:val="0"/>
          <w:lang w:val="en-AU"/>
        </w:rPr>
        <w:t xml:space="preserve">During the six months to 30 June 2015, I undertook and completed an audit on the special purpose financial statements for the Territory Insurance Office which comprised the balance sheet and notes to the balance sheet as at 31 December 2014.  These special purpose financial statements were prepared to support the sales of the insurance and banking businesses. I was directed to undertake this audit under section 14 of the </w:t>
      </w:r>
      <w:r w:rsidRPr="00580589">
        <w:rPr>
          <w:i/>
          <w:noProof w:val="0"/>
          <w:lang w:val="en-AU"/>
        </w:rPr>
        <w:t>Audit Act</w:t>
      </w:r>
      <w:r w:rsidRPr="00580589">
        <w:rPr>
          <w:noProof w:val="0"/>
          <w:lang w:val="en-AU"/>
        </w:rPr>
        <w:t>.  An unmodified opinion was issued in respect of the special purpose financial statements.  My audit procedures did not extend to auditing the sales transactions.</w:t>
      </w:r>
    </w:p>
    <w:p w:rsidR="002A3C5B" w:rsidRDefault="00580589" w:rsidP="00580589">
      <w:pPr>
        <w:pStyle w:val="AGRBodyText"/>
        <w:rPr>
          <w:noProof w:val="0"/>
          <w:lang w:val="en-AU"/>
        </w:rPr>
      </w:pPr>
      <w:r w:rsidRPr="00580589">
        <w:rPr>
          <w:noProof w:val="0"/>
          <w:lang w:val="en-AU"/>
        </w:rPr>
        <w:t xml:space="preserve">Also included are the results of audits of financial statements for those entities that are required to report on a calendar year basis.  </w:t>
      </w:r>
    </w:p>
    <w:p w:rsidR="00580589" w:rsidRPr="00580589" w:rsidRDefault="00580589" w:rsidP="00580589">
      <w:pPr>
        <w:pStyle w:val="AGRBodyText"/>
        <w:rPr>
          <w:noProof w:val="0"/>
          <w:lang w:val="en-AU"/>
        </w:rPr>
      </w:pPr>
      <w:r w:rsidRPr="00580589">
        <w:rPr>
          <w:noProof w:val="0"/>
          <w:lang w:val="en-AU"/>
        </w:rPr>
        <w:t xml:space="preserve">There were a number of interim audit visits undertaken to support the 30 June 2015 financial year audits </w:t>
      </w:r>
      <w:r>
        <w:rPr>
          <w:noProof w:val="0"/>
          <w:lang w:val="en-AU"/>
        </w:rPr>
        <w:t xml:space="preserve">that will be </w:t>
      </w:r>
      <w:r w:rsidRPr="00580589">
        <w:rPr>
          <w:noProof w:val="0"/>
          <w:lang w:val="en-AU"/>
        </w:rPr>
        <w:t xml:space="preserve">conducted between July 2015 and October 2015 however the results of these visits are usually </w:t>
      </w:r>
      <w:r>
        <w:rPr>
          <w:noProof w:val="0"/>
          <w:lang w:val="en-AU"/>
        </w:rPr>
        <w:t xml:space="preserve">only </w:t>
      </w:r>
      <w:r w:rsidRPr="00580589">
        <w:rPr>
          <w:noProof w:val="0"/>
          <w:lang w:val="en-AU"/>
        </w:rPr>
        <w:t>reported to management to enable any matters identified to be addressed prior to year end.</w:t>
      </w:r>
    </w:p>
    <w:p w:rsidR="00580589" w:rsidRPr="00580589" w:rsidRDefault="00580589" w:rsidP="00580589">
      <w:pPr>
        <w:pStyle w:val="AGRBodyText"/>
        <w:rPr>
          <w:noProof w:val="0"/>
          <w:lang w:val="en-AU"/>
        </w:rPr>
      </w:pPr>
      <w:r w:rsidRPr="00580589">
        <w:rPr>
          <w:noProof w:val="0"/>
          <w:lang w:val="en-AU"/>
        </w:rPr>
        <w:t xml:space="preserve">There were no </w:t>
      </w:r>
      <w:r w:rsidRPr="00580589">
        <w:rPr>
          <w:i/>
          <w:noProof w:val="0"/>
          <w:lang w:val="en-AU"/>
        </w:rPr>
        <w:t>Public Information Act</w:t>
      </w:r>
      <w:r w:rsidRPr="00580589">
        <w:rPr>
          <w:noProof w:val="0"/>
          <w:lang w:val="en-AU"/>
        </w:rPr>
        <w:t xml:space="preserve"> Referrals received for consideration during the period 1 January 2015 to 30 June 2015.</w:t>
      </w:r>
    </w:p>
    <w:p w:rsidR="004B1F76" w:rsidRPr="00CD3A14" w:rsidRDefault="00124E31" w:rsidP="00580589">
      <w:pPr>
        <w:pStyle w:val="AGRBodyText"/>
        <w:rPr>
          <w:noProof w:val="0"/>
          <w:lang w:val="en-AU"/>
        </w:rPr>
      </w:pPr>
      <w:r>
        <w:rPr>
          <w:noProof w:val="0"/>
          <w:lang w:val="en-AU"/>
        </w:rPr>
        <w:t>Agencies and e</w:t>
      </w:r>
      <w:r w:rsidR="00580589" w:rsidRPr="00580589">
        <w:rPr>
          <w:noProof w:val="0"/>
          <w:lang w:val="en-AU"/>
        </w:rPr>
        <w:t>ntities are provided with the opportunity to comment on any of the matters reported.  Where they choose to do so, their responses are detailed at the end of a particular section</w:t>
      </w:r>
      <w:r w:rsidR="00580589">
        <w:rPr>
          <w:noProof w:val="0"/>
          <w:lang w:val="en-AU"/>
        </w:rPr>
        <w:t>.</w:t>
      </w:r>
    </w:p>
    <w:p w:rsidR="00C64B1A" w:rsidRPr="00CD3A14" w:rsidRDefault="00C64B1A" w:rsidP="00C64B1A">
      <w:pPr>
        <w:pStyle w:val="AGRHeading1"/>
      </w:pPr>
      <w:bookmarkStart w:id="4" w:name="Role"/>
      <w:r w:rsidRPr="00CD3A14">
        <w:t>The Role and Responsibilities of the Auditor-General</w:t>
      </w:r>
      <w:bookmarkEnd w:id="4"/>
    </w:p>
    <w:p w:rsidR="00C64B1A" w:rsidRPr="00CD3A14" w:rsidRDefault="00C64B1A" w:rsidP="0013400B">
      <w:pPr>
        <w:pStyle w:val="AGRBodyText"/>
        <w:rPr>
          <w:noProof w:val="0"/>
          <w:lang w:val="en-AU"/>
        </w:rPr>
      </w:pPr>
      <w:r w:rsidRPr="00CD3A14">
        <w:rPr>
          <w:noProof w:val="0"/>
          <w:lang w:val="en-AU"/>
        </w:rPr>
        <w:t xml:space="preserve">The Auditor-General’s powers and responsibilities are established in the </w:t>
      </w:r>
      <w:r w:rsidRPr="00CD3A14">
        <w:rPr>
          <w:i/>
          <w:noProof w:val="0"/>
          <w:lang w:val="en-AU"/>
        </w:rPr>
        <w:t>Audit Ac</w:t>
      </w:r>
      <w:r w:rsidRPr="00CD3A14">
        <w:rPr>
          <w:noProof w:val="0"/>
          <w:lang w:val="en-AU"/>
        </w:rPr>
        <w:t>t by the Northern Territory's Parliament, the Legislative Assembly. The Auditor</w:t>
      </w:r>
      <w:r w:rsidRPr="00CD3A14">
        <w:rPr>
          <w:noProof w:val="0"/>
          <w:lang w:val="en-AU"/>
        </w:rPr>
        <w:noBreakHyphen/>
        <w:t>General is required to report to the Legislative Assembly at least once each year on any matters arising from the exercise of the auditing powers established in that Act.</w:t>
      </w:r>
    </w:p>
    <w:p w:rsidR="00C64B1A" w:rsidRPr="00CD3A14" w:rsidRDefault="00C64B1A" w:rsidP="0013400B">
      <w:pPr>
        <w:pStyle w:val="AGRBodyText"/>
        <w:rPr>
          <w:noProof w:val="0"/>
          <w:lang w:val="en-AU"/>
        </w:rPr>
      </w:pPr>
      <w:r w:rsidRPr="00CD3A14">
        <w:rPr>
          <w:noProof w:val="0"/>
          <w:lang w:val="en-AU"/>
        </w:rPr>
        <w:t xml:space="preserve">In doing so, the Auditor-General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rsidR="00C64B1A" w:rsidRPr="00CD3A14" w:rsidRDefault="00C64B1A" w:rsidP="0013400B">
      <w:pPr>
        <w:pStyle w:val="AGRBodyText"/>
        <w:rPr>
          <w:noProof w:val="0"/>
          <w:lang w:val="en-AU"/>
        </w:rPr>
      </w:pPr>
      <w:r w:rsidRPr="00CD3A14">
        <w:rPr>
          <w:noProof w:val="0"/>
          <w:lang w:val="en-AU"/>
        </w:rPr>
        <w:t>The Auditor-General is also able to report to management of public sector entities on matters arising from the conduct of audits.</w:t>
      </w:r>
    </w:p>
    <w:p w:rsidR="00C64B1A" w:rsidRPr="00CD3A14" w:rsidRDefault="00C64B1A" w:rsidP="0013400B">
      <w:pPr>
        <w:pStyle w:val="AGRBodyText"/>
        <w:rPr>
          <w:noProof w:val="0"/>
          <w:lang w:val="en-AU"/>
        </w:rPr>
      </w:pPr>
      <w:r w:rsidRPr="00CD3A14">
        <w:rPr>
          <w:noProof w:val="0"/>
          <w:lang w:val="en-AU"/>
        </w:rPr>
        <w:t>Reports provided to Parliament and public sector managers should be recognised as a useful source of independent analysis of Government information, and of the systems and controls underpinning the delivery of that information.</w:t>
      </w:r>
    </w:p>
    <w:p w:rsidR="00C64B1A" w:rsidRPr="00CD3A14" w:rsidRDefault="00C64B1A" w:rsidP="0013400B">
      <w:pPr>
        <w:pStyle w:val="AGRBodyText"/>
        <w:rPr>
          <w:noProof w:val="0"/>
          <w:lang w:val="en-AU"/>
        </w:rPr>
      </w:pPr>
      <w:r w:rsidRPr="00CD3A14">
        <w:rPr>
          <w:noProof w:val="0"/>
          <w:lang w:val="en-AU"/>
        </w:rPr>
        <w:t>The Auditor-General is assisted by personnel of the Northern Territory Auditor</w:t>
      </w:r>
      <w:r w:rsidRPr="00CD3A14">
        <w:rPr>
          <w:noProof w:val="0"/>
          <w:lang w:val="en-AU"/>
        </w:rPr>
        <w:noBreakHyphen/>
        <w:t>General’s Office who plan audits and tasks conducted by private sector Authorised Auditors.</w:t>
      </w:r>
    </w:p>
    <w:p w:rsidR="00C64B1A" w:rsidRPr="00CD3A14" w:rsidRDefault="00C64B1A" w:rsidP="0013400B">
      <w:pPr>
        <w:pStyle w:val="AGRBodyText"/>
        <w:rPr>
          <w:noProof w:val="0"/>
          <w:lang w:val="en-AU"/>
        </w:rPr>
      </w:pPr>
      <w:r w:rsidRPr="00CD3A14">
        <w:rPr>
          <w:noProof w:val="0"/>
          <w:lang w:val="en-AU"/>
        </w:rPr>
        <w:t xml:space="preserve">The requirements of the </w:t>
      </w:r>
      <w:r w:rsidRPr="00CD3A14">
        <w:rPr>
          <w:i/>
          <w:noProof w:val="0"/>
          <w:lang w:val="en-AU"/>
        </w:rPr>
        <w:t>Audit Act</w:t>
      </w:r>
      <w:r w:rsidRPr="00CD3A14">
        <w:rPr>
          <w:noProof w:val="0"/>
          <w:lang w:val="en-AU"/>
        </w:rPr>
        <w:t xml:space="preserve"> in relation to auditing the Public Account and other accounts are found in:</w:t>
      </w:r>
    </w:p>
    <w:p w:rsidR="00FF5D86" w:rsidRPr="00CD3A14" w:rsidRDefault="00C64B1A" w:rsidP="0013400B">
      <w:pPr>
        <w:pStyle w:val="AGRBulletText"/>
        <w:numPr>
          <w:ilvl w:val="0"/>
          <w:numId w:val="14"/>
        </w:numPr>
        <w:rPr>
          <w:noProof w:val="0"/>
          <w:lang w:val="en-AU"/>
        </w:rPr>
      </w:pPr>
      <w:r w:rsidRPr="00CD3A14">
        <w:rPr>
          <w:noProof w:val="0"/>
          <w:lang w:val="en-AU"/>
        </w:rPr>
        <w:t>Section 13, which requires the Auditor-General to audit the Public Account and other accounts, with regard to:</w:t>
      </w:r>
    </w:p>
    <w:p w:rsidR="00C64B1A" w:rsidRPr="00CD3A14" w:rsidRDefault="00C64B1A" w:rsidP="0013400B">
      <w:pPr>
        <w:pStyle w:val="AGRBulletText"/>
        <w:numPr>
          <w:ilvl w:val="1"/>
          <w:numId w:val="14"/>
        </w:numPr>
        <w:rPr>
          <w:noProof w:val="0"/>
          <w:lang w:val="en-AU"/>
        </w:rPr>
      </w:pPr>
      <w:r w:rsidRPr="00CD3A14">
        <w:rPr>
          <w:noProof w:val="0"/>
          <w:lang w:val="en-AU"/>
        </w:rPr>
        <w:t xml:space="preserve">the character and effectiveness of internal control; and </w:t>
      </w:r>
    </w:p>
    <w:p w:rsidR="00C64B1A" w:rsidRPr="00CD3A14" w:rsidRDefault="00C64B1A" w:rsidP="0013400B">
      <w:pPr>
        <w:pStyle w:val="AGRBulletText"/>
        <w:numPr>
          <w:ilvl w:val="1"/>
          <w:numId w:val="14"/>
        </w:numPr>
        <w:rPr>
          <w:noProof w:val="0"/>
          <w:lang w:val="en-AU"/>
        </w:rPr>
      </w:pPr>
      <w:proofErr w:type="gramStart"/>
      <w:r w:rsidRPr="00CD3A14">
        <w:rPr>
          <w:noProof w:val="0"/>
          <w:lang w:val="en-AU"/>
        </w:rPr>
        <w:t>professional</w:t>
      </w:r>
      <w:proofErr w:type="gramEnd"/>
      <w:r w:rsidRPr="00CD3A14">
        <w:rPr>
          <w:noProof w:val="0"/>
          <w:lang w:val="en-AU"/>
        </w:rPr>
        <w:t xml:space="preserve"> standards and practices.</w:t>
      </w:r>
    </w:p>
    <w:p w:rsidR="00C64B1A" w:rsidRPr="00CD3A14" w:rsidRDefault="00C64B1A" w:rsidP="0013400B">
      <w:pPr>
        <w:pStyle w:val="AGRBulletText"/>
        <w:numPr>
          <w:ilvl w:val="0"/>
          <w:numId w:val="14"/>
        </w:numPr>
        <w:rPr>
          <w:noProof w:val="0"/>
          <w:lang w:val="en-AU"/>
        </w:rPr>
      </w:pPr>
      <w:r w:rsidRPr="00CD3A14">
        <w:rPr>
          <w:noProof w:val="0"/>
          <w:lang w:val="en-AU"/>
        </w:rPr>
        <w:t>Section 25, which requires the Auditor-General to issue a report to the Treasurer on the Treasurer’s Annual Financial Statement.</w:t>
      </w:r>
    </w:p>
    <w:p w:rsidR="00C64B1A" w:rsidRPr="00CD3A14" w:rsidRDefault="00C64B1A" w:rsidP="00C64B1A">
      <w:pPr>
        <w:pStyle w:val="AGRHeading2"/>
      </w:pPr>
      <w:r w:rsidRPr="00CD3A14">
        <w:t>The Public Account</w:t>
      </w:r>
    </w:p>
    <w:p w:rsidR="00C64B1A" w:rsidRPr="00CD3A14" w:rsidRDefault="00C64B1A" w:rsidP="0013400B">
      <w:pPr>
        <w:pStyle w:val="AGRBodyText"/>
        <w:rPr>
          <w:noProof w:val="0"/>
          <w:lang w:val="en-AU"/>
        </w:rPr>
      </w:pPr>
      <w:r w:rsidRPr="00CD3A14">
        <w:rPr>
          <w:noProof w:val="0"/>
          <w:lang w:val="en-AU"/>
        </w:rPr>
        <w:t xml:space="preserve">The Public Account is defined in the </w:t>
      </w:r>
      <w:r w:rsidRPr="00CD3A14">
        <w:rPr>
          <w:i/>
          <w:noProof w:val="0"/>
          <w:lang w:val="en-AU"/>
        </w:rPr>
        <w:t>Financial Management Act</w:t>
      </w:r>
      <w:r w:rsidRPr="00CD3A14">
        <w:rPr>
          <w:noProof w:val="0"/>
          <w:lang w:val="en-AU"/>
        </w:rPr>
        <w:t xml:space="preserve"> as:</w:t>
      </w:r>
    </w:p>
    <w:p w:rsidR="00C64B1A" w:rsidRPr="00CD3A14" w:rsidRDefault="00C64B1A" w:rsidP="0013400B">
      <w:pPr>
        <w:pStyle w:val="AGRBulletText"/>
        <w:numPr>
          <w:ilvl w:val="0"/>
          <w:numId w:val="14"/>
        </w:numPr>
        <w:rPr>
          <w:noProof w:val="0"/>
          <w:lang w:val="en-AU"/>
        </w:rPr>
      </w:pPr>
      <w:r w:rsidRPr="00CD3A14">
        <w:rPr>
          <w:noProof w:val="0"/>
          <w:lang w:val="en-AU"/>
        </w:rPr>
        <w:t>The Central Holding Authority; and</w:t>
      </w:r>
    </w:p>
    <w:p w:rsidR="00C64B1A" w:rsidRPr="00CD3A14" w:rsidRDefault="00C64B1A" w:rsidP="0013400B">
      <w:pPr>
        <w:pStyle w:val="AGRBulletText"/>
        <w:numPr>
          <w:ilvl w:val="0"/>
          <w:numId w:val="14"/>
        </w:numPr>
        <w:rPr>
          <w:noProof w:val="0"/>
          <w:lang w:val="en-AU"/>
        </w:rPr>
      </w:pPr>
      <w:r w:rsidRPr="00CD3A14">
        <w:rPr>
          <w:noProof w:val="0"/>
          <w:lang w:val="en-AU"/>
        </w:rPr>
        <w:t>Operating accounts of Agencies and Government Business Divisions.</w:t>
      </w:r>
    </w:p>
    <w:p w:rsidR="00C64B1A" w:rsidRPr="00CD3A14" w:rsidRDefault="00C64B1A" w:rsidP="00C64B1A">
      <w:pPr>
        <w:pStyle w:val="AGRHeading1"/>
      </w:pPr>
      <w:r w:rsidRPr="00CD3A14">
        <w:t xml:space="preserve">The Role and Responsibilities of the Auditor-General </w:t>
      </w:r>
      <w:proofErr w:type="spellStart"/>
      <w:r w:rsidRPr="00CD3A14">
        <w:t>cont</w:t>
      </w:r>
      <w:proofErr w:type="spellEnd"/>
      <w:r w:rsidRPr="00CD3A14">
        <w:t>…</w:t>
      </w:r>
    </w:p>
    <w:p w:rsidR="00C64B1A" w:rsidRPr="00CD3A14" w:rsidRDefault="00C64B1A" w:rsidP="00C64B1A">
      <w:pPr>
        <w:pStyle w:val="AGRHeading2"/>
      </w:pPr>
      <w:r w:rsidRPr="00CD3A14">
        <w:t>Audit of the Treasurer’s Annual Financial Statement</w:t>
      </w:r>
    </w:p>
    <w:p w:rsidR="00C64B1A" w:rsidRPr="00CD3A14" w:rsidRDefault="00C64B1A" w:rsidP="0013400B">
      <w:pPr>
        <w:pStyle w:val="AGRBodyText"/>
        <w:rPr>
          <w:noProof w:val="0"/>
          <w:lang w:val="en-AU"/>
        </w:rPr>
      </w:pPr>
      <w:r w:rsidRPr="00CD3A14">
        <w:rPr>
          <w:noProof w:val="0"/>
          <w:lang w:val="en-AU"/>
        </w:rPr>
        <w:t>Using information about the effectiveness of internal controls identified in the overall control environment review, Agency Compliance Audits and financial statement audits, an audit approach is designed and implemented to substantiate</w:t>
      </w:r>
      <w:r w:rsidR="00C51B9B" w:rsidRPr="00CD3A14">
        <w:rPr>
          <w:noProof w:val="0"/>
          <w:lang w:val="en-AU"/>
        </w:rPr>
        <w:t xml:space="preserve"> </w:t>
      </w:r>
      <w:r w:rsidRPr="00CD3A14">
        <w:rPr>
          <w:noProof w:val="0"/>
          <w:lang w:val="en-AU"/>
        </w:rPr>
        <w:t>balances disclosed in the Treasurer’s Annual Financial Statement are in accordance with the disclosure requirements adopted by the Treasurer, and are within acceptable materiality standards.</w:t>
      </w:r>
    </w:p>
    <w:p w:rsidR="00C64B1A" w:rsidRPr="00CD3A14" w:rsidRDefault="00C64B1A" w:rsidP="0013400B">
      <w:pPr>
        <w:pStyle w:val="AGRBodyText"/>
        <w:rPr>
          <w:noProof w:val="0"/>
          <w:lang w:val="en-AU"/>
        </w:rPr>
      </w:pPr>
      <w:r w:rsidRPr="00CD3A14">
        <w:rPr>
          <w:noProof w:val="0"/>
          <w:lang w:val="en-AU"/>
        </w:rPr>
        <w:t>The audit report on the Treasurer’s Annual Financial Statement is issued to the Treasurer. The Treasurer then tables the audited Treasurer’s Annual Financial Statement to the Parliament as a key component of the accountability of the Government to the Parliament.</w:t>
      </w:r>
    </w:p>
    <w:p w:rsidR="00C64B1A" w:rsidRPr="00CD3A14" w:rsidRDefault="00C64B1A" w:rsidP="0013400B">
      <w:pPr>
        <w:pStyle w:val="AGRBodyText"/>
        <w:rPr>
          <w:noProof w:val="0"/>
          <w:lang w:val="en-AU"/>
        </w:rPr>
      </w:pPr>
      <w:r w:rsidRPr="00CD3A14">
        <w:rPr>
          <w:noProof w:val="0"/>
          <w:lang w:val="en-AU"/>
        </w:rPr>
        <w:t>Statutory bodies, Government Owned Corporations and Government Business Divisions are required by various Acts of Parliament to prepare annual financial statements and to submit those statements to the Auditor-General for audit.  Those statements are audited and audit opinions issued accordingly.  The opinions are included in the various entities’ annual reports that are tabled in the Legislative Assembly.  If matters of concern were noted during the course of an audit, specific comment is included in my report to the Legislative Assembly.</w:t>
      </w:r>
    </w:p>
    <w:p w:rsidR="00C64B1A" w:rsidRPr="00CD3A14" w:rsidRDefault="00C64B1A" w:rsidP="0013400B">
      <w:pPr>
        <w:pStyle w:val="AGRBodyText"/>
        <w:rPr>
          <w:noProof w:val="0"/>
          <w:lang w:val="en-AU"/>
        </w:rPr>
      </w:pPr>
      <w:r w:rsidRPr="00CD3A14">
        <w:rPr>
          <w:noProof w:val="0"/>
          <w:lang w:val="en-AU"/>
        </w:rPr>
        <w:t xml:space="preserve">In addition, the Northern Territory Government controls, either directly or indirectly, a small number of companies that have been incorporated pursuant to the Commonwealth </w:t>
      </w:r>
      <w:r w:rsidRPr="00CD3A14">
        <w:rPr>
          <w:i/>
          <w:noProof w:val="0"/>
          <w:lang w:val="en-AU"/>
        </w:rPr>
        <w:t>Corporations Act 2001</w:t>
      </w:r>
      <w:r w:rsidRPr="00CD3A14">
        <w:rPr>
          <w:noProof w:val="0"/>
          <w:lang w:val="en-AU"/>
        </w:rPr>
        <w:t xml:space="preserve">. These audits are performed subject to the provisions of the Commonwealth legislation, with the Auditor-General being deemed by the </w:t>
      </w:r>
      <w:r w:rsidRPr="00CD3A14">
        <w:rPr>
          <w:i/>
          <w:noProof w:val="0"/>
          <w:lang w:val="en-AU"/>
        </w:rPr>
        <w:t>Corporations Act 2001</w:t>
      </w:r>
      <w:r w:rsidRPr="00CD3A14">
        <w:rPr>
          <w:noProof w:val="0"/>
          <w:lang w:val="en-AU"/>
        </w:rPr>
        <w:t xml:space="preserve"> to be a Registered Company Auditor.  </w:t>
      </w:r>
    </w:p>
    <w:p w:rsidR="00C64B1A" w:rsidRPr="00CD3A14" w:rsidRDefault="00C64B1A" w:rsidP="0013400B">
      <w:pPr>
        <w:pStyle w:val="AGRBodyText"/>
        <w:rPr>
          <w:noProof w:val="0"/>
          <w:lang w:val="en-AU"/>
        </w:rPr>
      </w:pPr>
      <w:r w:rsidRPr="00CD3A14">
        <w:rPr>
          <w:noProof w:val="0"/>
          <w:lang w:val="en-AU"/>
        </w:rPr>
        <w:t xml:space="preserve">Audits by my Office are conducted in accordance with Australian Auditing Standards.  Those standards are issued by the Australian Auditing and Assurance Standards Board, a Commonwealth statutory body established under the </w:t>
      </w:r>
      <w:r w:rsidRPr="00CD3A14">
        <w:rPr>
          <w:i/>
          <w:noProof w:val="0"/>
          <w:lang w:val="en-AU"/>
        </w:rPr>
        <w:t>Australian Securities and Investments Commission Act 2001</w:t>
      </w:r>
      <w:r w:rsidRPr="00CD3A14">
        <w:rPr>
          <w:noProof w:val="0"/>
          <w:lang w:val="en-AU"/>
        </w:rPr>
        <w:t xml:space="preserve">.  Auditing standards issued by the Board have the force of law in respect of audits of corporations that fall within the ambit of the </w:t>
      </w:r>
      <w:r w:rsidRPr="00CD3A14">
        <w:rPr>
          <w:i/>
          <w:noProof w:val="0"/>
          <w:lang w:val="en-AU"/>
        </w:rPr>
        <w:t>Corporations Act 2001</w:t>
      </w:r>
      <w:r w:rsidRPr="00CD3A14">
        <w:rPr>
          <w:noProof w:val="0"/>
          <w:lang w:val="en-AU"/>
        </w:rPr>
        <w:t xml:space="preserve">, while the </w:t>
      </w:r>
      <w:r w:rsidRPr="00CD3A14">
        <w:rPr>
          <w:i/>
          <w:noProof w:val="0"/>
          <w:lang w:val="en-AU"/>
        </w:rPr>
        <w:t>Audit Act</w:t>
      </w:r>
      <w:r w:rsidRPr="00CD3A14">
        <w:rPr>
          <w:noProof w:val="0"/>
          <w:lang w:val="en-AU"/>
        </w:rPr>
        <w:t xml:space="preserve"> also requires that I have regard to those standards.</w:t>
      </w:r>
    </w:p>
    <w:p w:rsidR="00C64B1A" w:rsidRPr="00CD3A14" w:rsidRDefault="00C64B1A" w:rsidP="00C64B1A">
      <w:pPr>
        <w:pStyle w:val="AGRHeading1"/>
      </w:pPr>
      <w:r w:rsidRPr="00CD3A14">
        <w:t xml:space="preserve">The Role and Responsibilities of the Auditor-General </w:t>
      </w:r>
      <w:proofErr w:type="spellStart"/>
      <w:r w:rsidRPr="00CD3A14">
        <w:t>cont</w:t>
      </w:r>
      <w:proofErr w:type="spellEnd"/>
      <w:r w:rsidRPr="00CD3A14">
        <w:t>…</w:t>
      </w:r>
    </w:p>
    <w:p w:rsidR="00F94F44" w:rsidRPr="00CD3A14" w:rsidRDefault="00F94F44" w:rsidP="00F94F44">
      <w:pPr>
        <w:pStyle w:val="AGRHeading2"/>
      </w:pPr>
      <w:bookmarkStart w:id="5" w:name="_Toc185325877"/>
      <w:r w:rsidRPr="00CD3A14">
        <w:t>Audit of Performance Management Systems</w:t>
      </w:r>
    </w:p>
    <w:p w:rsidR="00F94F44" w:rsidRPr="00CD3A14" w:rsidRDefault="00F94F44" w:rsidP="00F94F44">
      <w:pPr>
        <w:pStyle w:val="AGRHeading3"/>
      </w:pPr>
      <w:r w:rsidRPr="00CD3A14">
        <w:t>Legislative Framework</w:t>
      </w:r>
      <w:bookmarkEnd w:id="5"/>
    </w:p>
    <w:p w:rsidR="00F94F44" w:rsidRPr="00CD3A14" w:rsidRDefault="00F94F44" w:rsidP="00F94F44">
      <w:pPr>
        <w:pStyle w:val="AGRBodyText"/>
        <w:rPr>
          <w:noProof w:val="0"/>
          <w:lang w:val="en-AU"/>
        </w:rPr>
      </w:pPr>
      <w:r w:rsidRPr="00CD3A14">
        <w:rPr>
          <w:noProof w:val="0"/>
          <w:lang w:val="en-AU"/>
        </w:rPr>
        <w:t>A Chief Executive Officer</w:t>
      </w:r>
      <w:r w:rsidR="00C51B9B" w:rsidRPr="00CD3A14">
        <w:rPr>
          <w:noProof w:val="0"/>
          <w:lang w:val="en-AU"/>
        </w:rPr>
        <w:t>, as an Accountable Officer,</w:t>
      </w:r>
      <w:r w:rsidRPr="00CD3A14">
        <w:rPr>
          <w:noProof w:val="0"/>
          <w:lang w:val="en-AU"/>
        </w:rPr>
        <w:t xml:space="preserve"> is responsible to the appropriate Minister under section 23 of the </w:t>
      </w:r>
      <w:r w:rsidRPr="00CD3A14">
        <w:rPr>
          <w:i/>
          <w:noProof w:val="0"/>
          <w:lang w:val="en-AU"/>
        </w:rPr>
        <w:t>Public Sector Employment and Management Act</w:t>
      </w:r>
      <w:r w:rsidRPr="00CD3A14">
        <w:rPr>
          <w:noProof w:val="0"/>
          <w:lang w:val="en-AU"/>
        </w:rPr>
        <w:t xml:space="preserve"> for the proper, efficient and economic administration of his or her agency.  Under section 13 (2</w:t>
      </w:r>
      <w:proofErr w:type="gramStart"/>
      <w:r w:rsidRPr="00CD3A14">
        <w:rPr>
          <w:noProof w:val="0"/>
          <w:lang w:val="en-AU"/>
        </w:rPr>
        <w:t>)(</w:t>
      </w:r>
      <w:proofErr w:type="gramEnd"/>
      <w:r w:rsidRPr="00CD3A14">
        <w:rPr>
          <w:noProof w:val="0"/>
          <w:lang w:val="en-AU"/>
        </w:rPr>
        <w:t xml:space="preserve">b) of the </w:t>
      </w:r>
      <w:r w:rsidRPr="00CD3A14">
        <w:rPr>
          <w:i/>
          <w:noProof w:val="0"/>
          <w:lang w:val="en-AU"/>
        </w:rPr>
        <w:t>Financial Management Act</w:t>
      </w:r>
      <w:r w:rsidR="00124E31">
        <w:rPr>
          <w:i/>
          <w:noProof w:val="0"/>
          <w:lang w:val="en-AU"/>
        </w:rPr>
        <w:t>,</w:t>
      </w:r>
      <w:r w:rsidRPr="00CD3A14">
        <w:rPr>
          <w:noProof w:val="0"/>
          <w:lang w:val="en-AU"/>
        </w:rPr>
        <w:t xml:space="preserve"> an Accountable Officer shall ensure that procedures “</w:t>
      </w:r>
      <w:r w:rsidRPr="00CD3A14">
        <w:rPr>
          <w:i/>
          <w:noProof w:val="0"/>
          <w:lang w:val="en-AU"/>
        </w:rPr>
        <w:t xml:space="preserve">in the agency are such as will at all times afford a proper internal control”.  </w:t>
      </w:r>
      <w:r w:rsidRPr="00CD3A14">
        <w:rPr>
          <w:noProof w:val="0"/>
          <w:lang w:val="en-AU"/>
        </w:rPr>
        <w:t>Internal control is further defined in section 3 of the Act to include</w:t>
      </w:r>
      <w:r w:rsidRPr="00CD3A14">
        <w:rPr>
          <w:i/>
          <w:noProof w:val="0"/>
          <w:lang w:val="en-AU"/>
        </w:rPr>
        <w:t xml:space="preserve"> “the methods and procedures adopted within an agency to promote operational efficiency, effectiveness and economy</w:t>
      </w:r>
      <w:r w:rsidRPr="00CD3A14">
        <w:rPr>
          <w:noProof w:val="0"/>
          <w:lang w:val="en-AU"/>
        </w:rPr>
        <w:t>”.</w:t>
      </w:r>
    </w:p>
    <w:p w:rsidR="00F94F44" w:rsidRPr="00CD3A14" w:rsidRDefault="00F94F44" w:rsidP="00F94F44">
      <w:pPr>
        <w:pStyle w:val="AGRBodyText"/>
        <w:rPr>
          <w:noProof w:val="0"/>
          <w:lang w:val="en-AU"/>
        </w:rPr>
      </w:pPr>
      <w:r w:rsidRPr="00CD3A14">
        <w:rPr>
          <w:noProof w:val="0"/>
          <w:lang w:val="en-AU"/>
        </w:rPr>
        <w:t xml:space="preserve">Section 15 of the </w:t>
      </w:r>
      <w:r w:rsidRPr="00CD3A14">
        <w:rPr>
          <w:i/>
          <w:noProof w:val="0"/>
          <w:lang w:val="en-AU"/>
        </w:rPr>
        <w:t>Audit Act</w:t>
      </w:r>
      <w:r w:rsidRPr="00CD3A14">
        <w:rPr>
          <w:noProof w:val="0"/>
          <w:lang w:val="en-AU"/>
        </w:rPr>
        <w:t xml:space="preserve"> complements the legislative requirements imposed on Chief Executive Officers by providing the Auditor-General with the power to audit performance management systems of any agency or other organisation in respect of the accounts of which the Auditor-General is required or permitted by a law of the Territory to conduct an audit.</w:t>
      </w:r>
    </w:p>
    <w:p w:rsidR="00F94F44" w:rsidRPr="00CD3A14" w:rsidRDefault="00F94F44" w:rsidP="00F94F44">
      <w:pPr>
        <w:pStyle w:val="AGRBodyText"/>
        <w:rPr>
          <w:noProof w:val="0"/>
          <w:lang w:val="en-AU"/>
        </w:rPr>
      </w:pPr>
      <w:r w:rsidRPr="00CD3A14">
        <w:rPr>
          <w:noProof w:val="0"/>
          <w:lang w:val="en-AU"/>
        </w:rPr>
        <w:t>A performance management system is not defined in the legislation, but section 15 identifies that: “</w:t>
      </w:r>
      <w:r w:rsidRPr="002A3C5B">
        <w:rPr>
          <w:i/>
          <w:noProof w:val="0"/>
          <w:lang w:val="en-AU"/>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Pr="00CD3A14">
        <w:rPr>
          <w:noProof w:val="0"/>
          <w:lang w:val="en-AU"/>
        </w:rPr>
        <w:t>.”</w:t>
      </w:r>
    </w:p>
    <w:p w:rsidR="00F94F44" w:rsidRPr="00CD3A14" w:rsidRDefault="00F94F44" w:rsidP="00F94F44">
      <w:pPr>
        <w:pStyle w:val="AGRHeading3"/>
      </w:pPr>
      <w:bookmarkStart w:id="6" w:name="_Toc185325878"/>
      <w:r w:rsidRPr="00CD3A14">
        <w:t>Operational Framework</w:t>
      </w:r>
      <w:bookmarkEnd w:id="6"/>
    </w:p>
    <w:p w:rsidR="00F94F44" w:rsidRPr="00CD3A14" w:rsidRDefault="00F94F44" w:rsidP="00F94F44">
      <w:pPr>
        <w:pStyle w:val="AGRBodyText"/>
        <w:rPr>
          <w:noProof w:val="0"/>
          <w:lang w:val="en-AU"/>
        </w:rPr>
      </w:pPr>
      <w:r w:rsidRPr="00CD3A14">
        <w:rPr>
          <w:noProof w:val="0"/>
          <w:lang w:val="en-AU"/>
        </w:rPr>
        <w:t xml:space="preserve">The Northern Territory Auditor-General’s Office has developed a framework for its approach to the conduct of performance management system audits, which is based on </w:t>
      </w:r>
      <w:r w:rsidR="00C51B9B" w:rsidRPr="00CD3A14">
        <w:rPr>
          <w:noProof w:val="0"/>
          <w:lang w:val="en-AU"/>
        </w:rPr>
        <w:t>the premise</w:t>
      </w:r>
      <w:r w:rsidRPr="00CD3A14">
        <w:rPr>
          <w:noProof w:val="0"/>
          <w:lang w:val="en-AU"/>
        </w:rPr>
        <w:t xml:space="preserve"> that an effective performance management system would contain the following elements:</w:t>
      </w:r>
    </w:p>
    <w:p w:rsidR="00F94F44" w:rsidRPr="00CD3A14" w:rsidRDefault="00F94F44" w:rsidP="00F94F44">
      <w:pPr>
        <w:pStyle w:val="AGRBulletText"/>
        <w:numPr>
          <w:ilvl w:val="0"/>
          <w:numId w:val="9"/>
        </w:numPr>
        <w:rPr>
          <w:noProof w:val="0"/>
          <w:lang w:val="en-AU"/>
        </w:rPr>
      </w:pPr>
      <w:r w:rsidRPr="00CD3A14">
        <w:rPr>
          <w:noProof w:val="0"/>
          <w:lang w:val="en-AU"/>
        </w:rPr>
        <w:t>identification of the policy and corporate objectives of the entity;</w:t>
      </w:r>
    </w:p>
    <w:p w:rsidR="00F94F44" w:rsidRPr="00CD3A14" w:rsidRDefault="00F94F44" w:rsidP="00F94F44">
      <w:pPr>
        <w:pStyle w:val="AGRBulletText"/>
        <w:numPr>
          <w:ilvl w:val="0"/>
          <w:numId w:val="9"/>
        </w:numPr>
        <w:rPr>
          <w:noProof w:val="0"/>
          <w:lang w:val="en-AU"/>
        </w:rPr>
      </w:pPr>
      <w:r w:rsidRPr="00CD3A14">
        <w:rPr>
          <w:noProof w:val="0"/>
          <w:lang w:val="en-AU"/>
        </w:rPr>
        <w:t>incorporation of those objectives in the entity’s corporate or strategic planning process and allocation of these to programs of the entity;</w:t>
      </w:r>
    </w:p>
    <w:p w:rsidR="00F94F44" w:rsidRPr="00CD3A14" w:rsidRDefault="00F94F44" w:rsidP="00F94F44">
      <w:pPr>
        <w:pStyle w:val="AGRBulletText"/>
        <w:numPr>
          <w:ilvl w:val="0"/>
          <w:numId w:val="9"/>
        </w:numPr>
        <w:rPr>
          <w:noProof w:val="0"/>
          <w:lang w:val="en-AU"/>
        </w:rPr>
      </w:pPr>
      <w:r w:rsidRPr="00CD3A14">
        <w:rPr>
          <w:noProof w:val="0"/>
          <w:lang w:val="en-AU"/>
        </w:rPr>
        <w:t>identification of what successful achievement of those corporate objectives would look like, and recording of these as performance targets;</w:t>
      </w:r>
    </w:p>
    <w:p w:rsidR="00F94F44" w:rsidRPr="00CD3A14" w:rsidRDefault="00F94F44" w:rsidP="00F94F44">
      <w:pPr>
        <w:pStyle w:val="AGRBulletText"/>
        <w:numPr>
          <w:ilvl w:val="0"/>
          <w:numId w:val="9"/>
        </w:numPr>
        <w:rPr>
          <w:noProof w:val="0"/>
          <w:lang w:val="en-AU"/>
        </w:rPr>
      </w:pPr>
      <w:r w:rsidRPr="00CD3A14">
        <w:rPr>
          <w:noProof w:val="0"/>
          <w:lang w:val="en-AU"/>
        </w:rPr>
        <w:t>development of strategies for achievement of the desired performance outcomes;</w:t>
      </w:r>
    </w:p>
    <w:p w:rsidR="00F94F44" w:rsidRPr="00CD3A14" w:rsidRDefault="00F94F44" w:rsidP="00F94F44">
      <w:pPr>
        <w:pStyle w:val="AGRBulletText"/>
        <w:numPr>
          <w:ilvl w:val="0"/>
          <w:numId w:val="9"/>
        </w:numPr>
        <w:rPr>
          <w:noProof w:val="0"/>
          <w:lang w:val="en-AU"/>
        </w:rPr>
      </w:pPr>
      <w:r w:rsidRPr="00CD3A14">
        <w:rPr>
          <w:noProof w:val="0"/>
          <w:lang w:val="en-AU"/>
        </w:rPr>
        <w:t xml:space="preserve">monitoring of the progress </w:t>
      </w:r>
      <w:r w:rsidR="002F57F0" w:rsidRPr="00CD3A14">
        <w:rPr>
          <w:noProof w:val="0"/>
          <w:lang w:val="en-AU"/>
        </w:rPr>
        <w:t>toward</w:t>
      </w:r>
      <w:r w:rsidRPr="00CD3A14">
        <w:rPr>
          <w:noProof w:val="0"/>
          <w:lang w:val="en-AU"/>
        </w:rPr>
        <w:t xml:space="preserve"> that achievement;</w:t>
      </w:r>
    </w:p>
    <w:p w:rsidR="00F94F44" w:rsidRPr="00CD3A14" w:rsidRDefault="00F94F44" w:rsidP="00F94F44">
      <w:pPr>
        <w:pStyle w:val="AGRHeading1"/>
      </w:pPr>
      <w:r w:rsidRPr="00CD3A14">
        <w:t xml:space="preserve">The Role and Responsibilities of the Auditor-General </w:t>
      </w:r>
      <w:proofErr w:type="spellStart"/>
      <w:r w:rsidRPr="00CD3A14">
        <w:t>cont</w:t>
      </w:r>
      <w:proofErr w:type="spellEnd"/>
      <w:r w:rsidRPr="00CD3A14">
        <w:t>…</w:t>
      </w:r>
    </w:p>
    <w:p w:rsidR="00F94F44" w:rsidRPr="00CD3A14" w:rsidRDefault="00F94F44" w:rsidP="00F94F44">
      <w:pPr>
        <w:pStyle w:val="AGRBulletText"/>
        <w:numPr>
          <w:ilvl w:val="0"/>
          <w:numId w:val="9"/>
        </w:numPr>
        <w:rPr>
          <w:noProof w:val="0"/>
          <w:lang w:val="en-AU"/>
        </w:rPr>
      </w:pPr>
      <w:r w:rsidRPr="00CD3A14">
        <w:rPr>
          <w:noProof w:val="0"/>
          <w:lang w:val="en-AU"/>
        </w:rPr>
        <w:t>evaluation of the effectiveness of the final outcome against the intended objectives; and</w:t>
      </w:r>
    </w:p>
    <w:p w:rsidR="00F94F44" w:rsidRPr="00CD3A14" w:rsidRDefault="00F94F44" w:rsidP="00F94F44">
      <w:pPr>
        <w:pStyle w:val="AGRBulletText"/>
        <w:numPr>
          <w:ilvl w:val="0"/>
          <w:numId w:val="9"/>
        </w:numPr>
        <w:rPr>
          <w:noProof w:val="0"/>
          <w:lang w:val="en-AU"/>
        </w:rPr>
      </w:pPr>
      <w:proofErr w:type="gramStart"/>
      <w:r w:rsidRPr="00CD3A14">
        <w:rPr>
          <w:noProof w:val="0"/>
          <w:lang w:val="en-AU"/>
        </w:rPr>
        <w:t>reporting</w:t>
      </w:r>
      <w:proofErr w:type="gramEnd"/>
      <w:r w:rsidRPr="00CD3A14">
        <w:rPr>
          <w:noProof w:val="0"/>
          <w:lang w:val="en-AU"/>
        </w:rPr>
        <w:t xml:space="preserve"> on the outcomes, together with recommendations for subsequent improvement.</w:t>
      </w:r>
    </w:p>
    <w:p w:rsidR="00F94F44" w:rsidRPr="00CD3A14" w:rsidRDefault="00F94F44" w:rsidP="00F94F44">
      <w:pPr>
        <w:pStyle w:val="AGRBodyText"/>
        <w:rPr>
          <w:noProof w:val="0"/>
          <w:lang w:val="en-AU"/>
        </w:rPr>
      </w:pPr>
      <w:r w:rsidRPr="00CD3A14">
        <w:rPr>
          <w:noProof w:val="0"/>
          <w:lang w:val="en-AU"/>
        </w:rPr>
        <w:t xml:space="preserve">Performance management system audits can be conducted at a corporate level, a program level, or at a category of cost level, such as capital expenditure.  All that is necessary is that there </w:t>
      </w:r>
      <w:proofErr w:type="gramStart"/>
      <w:r w:rsidRPr="00CD3A14">
        <w:rPr>
          <w:noProof w:val="0"/>
          <w:lang w:val="en-AU"/>
        </w:rPr>
        <w:t>be</w:t>
      </w:r>
      <w:proofErr w:type="gramEnd"/>
      <w:r w:rsidRPr="00CD3A14">
        <w:rPr>
          <w:noProof w:val="0"/>
          <w:lang w:val="en-AU"/>
        </w:rPr>
        <w:t xml:space="preserve"> a need to define objectives for intended or desired performance.</w:t>
      </w:r>
    </w:p>
    <w:p w:rsidR="00C64B1A" w:rsidRPr="00CD3A14" w:rsidRDefault="00C64B1A" w:rsidP="00C64B1A">
      <w:pPr>
        <w:pStyle w:val="AGRHeading2"/>
      </w:pPr>
      <w:r w:rsidRPr="00CD3A14">
        <w:t>Timing of Auditor-General’s Reports to the Legislative Assembly</w:t>
      </w:r>
    </w:p>
    <w:p w:rsidR="00C64B1A" w:rsidRPr="00CD3A14" w:rsidRDefault="00C64B1A" w:rsidP="0013400B">
      <w:pPr>
        <w:pStyle w:val="AGRBodyText"/>
        <w:rPr>
          <w:noProof w:val="0"/>
          <w:lang w:val="en-AU"/>
        </w:rPr>
      </w:pPr>
      <w:r w:rsidRPr="00CD3A14">
        <w:rPr>
          <w:noProof w:val="0"/>
          <w:lang w:val="en-AU"/>
        </w:rPr>
        <w:t xml:space="preserve">The </w:t>
      </w:r>
      <w:r w:rsidRPr="00CD3A14">
        <w:rPr>
          <w:i/>
          <w:noProof w:val="0"/>
          <w:lang w:val="en-AU"/>
        </w:rPr>
        <w:t>Audit Act</w:t>
      </w:r>
      <w:r w:rsidRPr="00CD3A14">
        <w:rPr>
          <w:noProof w:val="0"/>
          <w:lang w:val="en-AU"/>
        </w:rPr>
        <w:t xml:space="preserve"> requires the Auditor-General to report to the Legislative Assembly at least once each year. Established practice has been for reports to be submitted twice each year. </w:t>
      </w:r>
    </w:p>
    <w:p w:rsidR="00C64B1A" w:rsidRPr="00CD3A14" w:rsidRDefault="00C64B1A" w:rsidP="0013400B">
      <w:pPr>
        <w:pStyle w:val="AGRBodyText"/>
        <w:rPr>
          <w:noProof w:val="0"/>
          <w:lang w:val="en-AU"/>
        </w:rPr>
      </w:pPr>
      <w:r w:rsidRPr="00CD3A14">
        <w:rPr>
          <w:noProof w:val="0"/>
          <w:lang w:val="en-AU"/>
        </w:rPr>
        <w:t>Each report may contain findings from financial statement audits, agency compliance audits, information technology audits, controls and compliance audits, performance management system audits and findings from any special reviews conducted.</w:t>
      </w:r>
    </w:p>
    <w:p w:rsidR="00C64B1A" w:rsidRPr="00CD3A14" w:rsidRDefault="00C64B1A" w:rsidP="0013400B">
      <w:pPr>
        <w:pStyle w:val="AGRBodyText"/>
        <w:rPr>
          <w:noProof w:val="0"/>
          <w:lang w:val="en-AU"/>
        </w:rPr>
      </w:pPr>
      <w:r w:rsidRPr="00CD3A14">
        <w:rPr>
          <w:noProof w:val="0"/>
          <w:lang w:val="en-AU"/>
        </w:rPr>
        <w:t xml:space="preserve">Where there are delays in Agencies or </w:t>
      </w:r>
      <w:r w:rsidR="00124E31">
        <w:rPr>
          <w:noProof w:val="0"/>
          <w:lang w:val="en-AU"/>
        </w:rPr>
        <w:t>e</w:t>
      </w:r>
      <w:r w:rsidR="00124E31" w:rsidRPr="00580589">
        <w:rPr>
          <w:noProof w:val="0"/>
          <w:lang w:val="en-AU"/>
        </w:rPr>
        <w:t xml:space="preserve">ntities </w:t>
      </w:r>
      <w:r w:rsidRPr="00CD3A14">
        <w:rPr>
          <w:noProof w:val="0"/>
          <w:lang w:val="en-AU"/>
        </w:rPr>
        <w:t xml:space="preserve">completing financial statements and resultant delays occur in the </w:t>
      </w:r>
      <w:r w:rsidR="00124E31">
        <w:rPr>
          <w:noProof w:val="0"/>
          <w:lang w:val="en-AU"/>
        </w:rPr>
        <w:t>associated</w:t>
      </w:r>
      <w:r w:rsidRPr="00CD3A14">
        <w:rPr>
          <w:noProof w:val="0"/>
          <w:lang w:val="en-AU"/>
        </w:rPr>
        <w:t xml:space="preserve"> audit, it is sometimes necessary to comment on these activities in the next report.</w:t>
      </w:r>
    </w:p>
    <w:p w:rsidR="00C64B1A" w:rsidRPr="00CD3A14" w:rsidRDefault="00C64B1A" w:rsidP="0013400B">
      <w:pPr>
        <w:pStyle w:val="AGRBodyText"/>
        <w:rPr>
          <w:noProof w:val="0"/>
          <w:lang w:val="en-AU"/>
        </w:rPr>
      </w:pPr>
      <w:r w:rsidRPr="00CD3A14">
        <w:rPr>
          <w:noProof w:val="0"/>
          <w:lang w:val="en-AU"/>
        </w:rPr>
        <w:t xml:space="preserve">Results of any reviews of referred information under the </w:t>
      </w:r>
      <w:r w:rsidRPr="00CD3A14">
        <w:rPr>
          <w:i/>
          <w:noProof w:val="0"/>
          <w:lang w:val="en-AU"/>
        </w:rPr>
        <w:t>Public Information Act</w:t>
      </w:r>
      <w:r w:rsidRPr="00CD3A14">
        <w:rPr>
          <w:noProof w:val="0"/>
          <w:lang w:val="en-AU"/>
        </w:rPr>
        <w:t xml:space="preserve"> are included when the reviews are concluded.</w:t>
      </w:r>
    </w:p>
    <w:p w:rsidR="00C64B1A" w:rsidRPr="00CD3A14" w:rsidRDefault="00C64B1A" w:rsidP="0013400B">
      <w:pPr>
        <w:pStyle w:val="AGRBodyText"/>
        <w:rPr>
          <w:noProof w:val="0"/>
          <w:lang w:val="en-AU"/>
        </w:rPr>
      </w:pPr>
      <w:r w:rsidRPr="00CD3A14">
        <w:rPr>
          <w:noProof w:val="0"/>
          <w:lang w:val="en-AU"/>
        </w:rPr>
        <w:t>The approximate timing and the contents of these reports are:</w:t>
      </w:r>
    </w:p>
    <w:p w:rsidR="00C64B1A" w:rsidRPr="00CD3A14" w:rsidRDefault="00C64B1A" w:rsidP="0013400B">
      <w:pPr>
        <w:pStyle w:val="AGRBulletText"/>
        <w:numPr>
          <w:ilvl w:val="0"/>
          <w:numId w:val="14"/>
        </w:numPr>
        <w:rPr>
          <w:noProof w:val="0"/>
          <w:lang w:val="en-AU"/>
        </w:rPr>
      </w:pPr>
      <w:r w:rsidRPr="00CD3A14">
        <w:rPr>
          <w:noProof w:val="0"/>
          <w:lang w:val="en-AU"/>
        </w:rPr>
        <w:t xml:space="preserve">First half of the calendar year – contains commentary on Agencies and </w:t>
      </w:r>
      <w:r w:rsidR="00124E31">
        <w:rPr>
          <w:noProof w:val="0"/>
          <w:lang w:val="en-AU"/>
        </w:rPr>
        <w:t>e</w:t>
      </w:r>
      <w:r w:rsidR="00124E31" w:rsidRPr="00580589">
        <w:rPr>
          <w:noProof w:val="0"/>
          <w:lang w:val="en-AU"/>
        </w:rPr>
        <w:t xml:space="preserve">ntities </w:t>
      </w:r>
      <w:r w:rsidRPr="00CD3A14">
        <w:rPr>
          <w:noProof w:val="0"/>
          <w:lang w:val="en-AU"/>
        </w:rPr>
        <w:t>with a 30 June financial year-end being 30 June of the previous calendar year. Material is included depending on when each audit is completed.  The report also contains commentary on the Auditor-General’s audit of the Treasurer’s Annual Financial Statement.</w:t>
      </w:r>
    </w:p>
    <w:p w:rsidR="003530AB" w:rsidRPr="00CD3A14" w:rsidRDefault="00C64B1A" w:rsidP="00C64B1A">
      <w:pPr>
        <w:pStyle w:val="AGRBulletText"/>
        <w:numPr>
          <w:ilvl w:val="0"/>
          <w:numId w:val="14"/>
        </w:numPr>
        <w:rPr>
          <w:noProof w:val="0"/>
          <w:lang w:val="en-AU"/>
        </w:rPr>
      </w:pPr>
      <w:r w:rsidRPr="00CD3A14">
        <w:rPr>
          <w:noProof w:val="0"/>
          <w:lang w:val="en-AU"/>
        </w:rPr>
        <w:t xml:space="preserve">Second half of the calendar year – contains commentary on Agencies and </w:t>
      </w:r>
      <w:r w:rsidR="00124E31">
        <w:rPr>
          <w:noProof w:val="0"/>
          <w:lang w:val="en-AU"/>
        </w:rPr>
        <w:t>e</w:t>
      </w:r>
      <w:r w:rsidR="00124E31" w:rsidRPr="00580589">
        <w:rPr>
          <w:noProof w:val="0"/>
          <w:lang w:val="en-AU"/>
        </w:rPr>
        <w:t xml:space="preserve">ntities </w:t>
      </w:r>
      <w:r w:rsidRPr="00CD3A14">
        <w:rPr>
          <w:noProof w:val="0"/>
          <w:lang w:val="en-AU"/>
        </w:rPr>
        <w:t>with a 31 December year-end being 31 December of the previous calendar year together with the results of information technology audits, compliance audits and audits of performance management systems. Material is included depending on when each audit is completed.</w:t>
      </w:r>
    </w:p>
    <w:p w:rsidR="00571D93" w:rsidRPr="00CD3A14" w:rsidRDefault="00571D93" w:rsidP="00C67DA8">
      <w:pPr>
        <w:pStyle w:val="AGRHeading1"/>
        <w:sectPr w:rsidR="00571D93" w:rsidRPr="00CD3A14" w:rsidSect="00E0428E">
          <w:headerReference w:type="even" r:id="rId28"/>
          <w:headerReference w:type="default" r:id="rId29"/>
          <w:footerReference w:type="even" r:id="rId30"/>
          <w:footerReference w:type="default" r:id="rId31"/>
          <w:headerReference w:type="first" r:id="rId32"/>
          <w:footerReference w:type="first" r:id="rId33"/>
          <w:pgSz w:w="11906" w:h="16838" w:code="9"/>
          <w:pgMar w:top="3119" w:right="1418" w:bottom="1134" w:left="1418" w:header="340" w:footer="567" w:gutter="284"/>
          <w:cols w:space="708"/>
          <w:docGrid w:linePitch="360"/>
        </w:sectPr>
      </w:pPr>
    </w:p>
    <w:p w:rsidR="00571D93" w:rsidRPr="00CD3A14" w:rsidRDefault="00571D93" w:rsidP="00F17534">
      <w:pPr>
        <w:pStyle w:val="AGRHeading1"/>
        <w:jc w:val="center"/>
      </w:pPr>
      <w:bookmarkStart w:id="14" w:name="reporting_on_audits"/>
      <w:r w:rsidRPr="00CD3A14">
        <w:t>Reports on the Results of Audit</w:t>
      </w:r>
      <w:r w:rsidR="00BA7194" w:rsidRPr="00CD3A14">
        <w:t>, Reviews and Assessment</w:t>
      </w:r>
      <w:r w:rsidRPr="00CD3A14">
        <w:t>s</w:t>
      </w:r>
      <w:bookmarkEnd w:id="14"/>
    </w:p>
    <w:p w:rsidR="00C00331" w:rsidRPr="00CD3A14" w:rsidRDefault="00C00331" w:rsidP="00C67DA8">
      <w:pPr>
        <w:pStyle w:val="AGRHeading1"/>
        <w:sectPr w:rsidR="00C00331" w:rsidRPr="00CD3A14" w:rsidSect="00E0428E">
          <w:pgSz w:w="11906" w:h="16838" w:code="9"/>
          <w:pgMar w:top="1287" w:right="1418" w:bottom="1134" w:left="1418" w:header="340" w:footer="567" w:gutter="284"/>
          <w:cols w:space="708"/>
          <w:vAlign w:val="center"/>
          <w:docGrid w:linePitch="360"/>
        </w:sectPr>
      </w:pPr>
    </w:p>
    <w:p w:rsidR="00571D93" w:rsidRPr="00CD3A14" w:rsidRDefault="00F5017F" w:rsidP="00C67DA8">
      <w:pPr>
        <w:pStyle w:val="AGRHeading1"/>
        <w:sectPr w:rsidR="00571D93" w:rsidRPr="00CD3A14" w:rsidSect="00E0428E">
          <w:pgSz w:w="11906" w:h="16838" w:code="9"/>
          <w:pgMar w:top="3119" w:right="1418" w:bottom="1134" w:left="1418" w:header="340" w:footer="567" w:gutter="284"/>
          <w:cols w:space="708"/>
          <w:docGrid w:linePitch="360"/>
        </w:sectPr>
      </w:pPr>
      <w:r w:rsidRPr="00CD3A14">
        <w:rPr>
          <w:noProof/>
          <w:lang w:eastAsia="en-AU"/>
        </w:rPr>
        <mc:AlternateContent>
          <mc:Choice Requires="wps">
            <w:drawing>
              <wp:anchor distT="0" distB="0" distL="114300" distR="114300" simplePos="0" relativeHeight="251659264" behindDoc="0" locked="0" layoutInCell="1" allowOverlap="1" wp14:anchorId="32603235" wp14:editId="2F72F94A">
                <wp:simplePos x="0" y="0"/>
                <wp:positionH relativeFrom="page">
                  <wp:align>center</wp:align>
                </wp:positionH>
                <wp:positionV relativeFrom="page">
                  <wp:align>center</wp:align>
                </wp:positionV>
                <wp:extent cx="1836000" cy="2916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6548D9">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0;margin-top:0;width:144.55pt;height:22.9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" stroked="f" strokeweight="1pt">
                <v:textbox inset="0,0,0,0">
                  <w:txbxContent>
                    <w:p w:rsidR="002A3C5B" w:rsidRDefault="002A3C5B" w:rsidP="006548D9">
                      <w:pPr>
                        <w:pStyle w:val="AGRTableText"/>
                      </w:pPr>
                      <w:r>
                        <w:t>This page deliberately left blank.</w:t>
                      </w:r>
                    </w:p>
                  </w:txbxContent>
                </v:textbox>
                <w10:wrap anchorx="page" anchory="page"/>
              </v:rect>
            </w:pict>
          </mc:Fallback>
        </mc:AlternateContent>
      </w:r>
    </w:p>
    <w:p w:rsidR="00C90BF2" w:rsidRPr="00CD3A14" w:rsidRDefault="00C90BF2" w:rsidP="00C67DA8">
      <w:pPr>
        <w:pStyle w:val="AGRHeading1"/>
      </w:pPr>
      <w:bookmarkStart w:id="15" w:name="batchelor"/>
      <w:r w:rsidRPr="00CD3A14">
        <w:t>Batchelor Institute of Indigenous Tertiary Education</w:t>
      </w:r>
      <w:bookmarkEnd w:id="15"/>
      <w:r w:rsidRPr="00CD3A14">
        <w:t xml:space="preserve"> </w:t>
      </w:r>
    </w:p>
    <w:p w:rsidR="00C90BF2" w:rsidRPr="00CD3A14" w:rsidRDefault="00C90BF2" w:rsidP="00C90BF2">
      <w:pPr>
        <w:pStyle w:val="AGRHeading2"/>
      </w:pPr>
      <w:bookmarkStart w:id="16" w:name="batchelor_audit_title"/>
      <w:r w:rsidRPr="00CD3A14">
        <w:t xml:space="preserve">Audit findings and </w:t>
      </w:r>
      <w:r w:rsidR="004B45B6" w:rsidRPr="00CD3A14">
        <w:t xml:space="preserve">analysis </w:t>
      </w:r>
      <w:r w:rsidRPr="00CD3A14">
        <w:t xml:space="preserve">of the financial statements for the year ended </w:t>
      </w:r>
      <w:r w:rsidR="00C64B1A" w:rsidRPr="00CD3A14">
        <w:t>31 December 2014</w:t>
      </w:r>
      <w:bookmarkEnd w:id="16"/>
    </w:p>
    <w:p w:rsidR="00C90BF2" w:rsidRPr="00CD3A14" w:rsidRDefault="00C90BF2" w:rsidP="00C708C3">
      <w:pPr>
        <w:pStyle w:val="AGRHeading3"/>
      </w:pPr>
      <w:r w:rsidRPr="00CD3A14">
        <w:t>Background</w:t>
      </w:r>
    </w:p>
    <w:p w:rsidR="00B30BC0" w:rsidRPr="00CD3A14" w:rsidRDefault="008B7E1F" w:rsidP="0013400B">
      <w:pPr>
        <w:pStyle w:val="AGRBodyText"/>
        <w:rPr>
          <w:noProof w:val="0"/>
          <w:lang w:val="en-AU"/>
        </w:rPr>
      </w:pPr>
      <w:r w:rsidRPr="00CD3A14">
        <w:rPr>
          <w:noProof w:val="0"/>
          <w:lang w:val="en-AU"/>
        </w:rPr>
        <w:t xml:space="preserve">The </w:t>
      </w:r>
      <w:r w:rsidR="00FE79C8" w:rsidRPr="00CD3A14">
        <w:rPr>
          <w:noProof w:val="0"/>
          <w:lang w:val="en-AU"/>
        </w:rPr>
        <w:t xml:space="preserve">Batchelor Institute of Indigenous Tertiary Education (the </w:t>
      </w:r>
      <w:r w:rsidRPr="00CD3A14">
        <w:rPr>
          <w:noProof w:val="0"/>
          <w:lang w:val="en-AU"/>
        </w:rPr>
        <w:t>Institute</w:t>
      </w:r>
      <w:r w:rsidR="00FE79C8" w:rsidRPr="00CD3A14">
        <w:rPr>
          <w:noProof w:val="0"/>
          <w:lang w:val="en-AU"/>
        </w:rPr>
        <w:t>)</w:t>
      </w:r>
      <w:r w:rsidRPr="00CD3A14">
        <w:rPr>
          <w:noProof w:val="0"/>
          <w:lang w:val="en-AU"/>
        </w:rPr>
        <w:t xml:space="preserve"> </w:t>
      </w:r>
      <w:r w:rsidR="004C3EBD" w:rsidRPr="00CD3A14">
        <w:rPr>
          <w:noProof w:val="0"/>
          <w:lang w:val="en-AU"/>
        </w:rPr>
        <w:t xml:space="preserve">is </w:t>
      </w:r>
      <w:r w:rsidRPr="00CD3A14">
        <w:rPr>
          <w:noProof w:val="0"/>
          <w:lang w:val="en-AU"/>
        </w:rPr>
        <w:t xml:space="preserve">established under the </w:t>
      </w:r>
      <w:r w:rsidRPr="00CD3A14">
        <w:rPr>
          <w:i/>
          <w:noProof w:val="0"/>
          <w:lang w:val="en-AU"/>
        </w:rPr>
        <w:t>Batchelor Institute of Indigenous Tertiary Education Act</w:t>
      </w:r>
      <w:r w:rsidR="00CE469D" w:rsidRPr="00CD3A14">
        <w:rPr>
          <w:i/>
          <w:noProof w:val="0"/>
          <w:lang w:val="en-AU"/>
        </w:rPr>
        <w:t>.</w:t>
      </w:r>
      <w:r w:rsidRPr="00CD3A14">
        <w:rPr>
          <w:i/>
          <w:noProof w:val="0"/>
          <w:lang w:val="en-AU"/>
        </w:rPr>
        <w:t xml:space="preserve"> </w:t>
      </w:r>
      <w:r w:rsidR="009458BC" w:rsidRPr="00CD3A14">
        <w:rPr>
          <w:noProof w:val="0"/>
          <w:lang w:val="en-AU"/>
        </w:rPr>
        <w:t xml:space="preserve"> </w:t>
      </w:r>
      <w:r w:rsidRPr="00CD3A14">
        <w:rPr>
          <w:noProof w:val="0"/>
          <w:lang w:val="en-AU"/>
        </w:rPr>
        <w:t xml:space="preserve">Section 46 of the </w:t>
      </w:r>
      <w:r w:rsidR="00C46D3F" w:rsidRPr="00CD3A14">
        <w:rPr>
          <w:noProof w:val="0"/>
          <w:lang w:val="en-AU"/>
        </w:rPr>
        <w:t>Act</w:t>
      </w:r>
      <w:r w:rsidRPr="00CD3A14">
        <w:rPr>
          <w:noProof w:val="0"/>
          <w:lang w:val="en-AU"/>
        </w:rPr>
        <w:t xml:space="preserve"> requires the Institute to </w:t>
      </w:r>
      <w:r w:rsidR="004710A4" w:rsidRPr="00CD3A14">
        <w:rPr>
          <w:noProof w:val="0"/>
          <w:lang w:val="en-AU"/>
        </w:rPr>
        <w:t xml:space="preserve">prepare </w:t>
      </w:r>
      <w:r w:rsidRPr="00CD3A14">
        <w:rPr>
          <w:noProof w:val="0"/>
          <w:lang w:val="en-AU"/>
        </w:rPr>
        <w:t>financial statements within 3 months of the end of the Institute’s financial year (</w:t>
      </w:r>
      <w:r w:rsidR="00C64B1A" w:rsidRPr="00CD3A14">
        <w:rPr>
          <w:noProof w:val="0"/>
          <w:lang w:val="en-AU"/>
        </w:rPr>
        <w:t>31 December</w:t>
      </w:r>
      <w:r w:rsidRPr="00CD3A14">
        <w:rPr>
          <w:noProof w:val="0"/>
          <w:lang w:val="en-AU"/>
        </w:rPr>
        <w:t xml:space="preserve">) and </w:t>
      </w:r>
      <w:r w:rsidR="004710A4" w:rsidRPr="00CD3A14">
        <w:rPr>
          <w:noProof w:val="0"/>
          <w:lang w:val="en-AU"/>
        </w:rPr>
        <w:t xml:space="preserve">to </w:t>
      </w:r>
      <w:r w:rsidRPr="00CD3A14">
        <w:rPr>
          <w:noProof w:val="0"/>
          <w:lang w:val="en-AU"/>
        </w:rPr>
        <w:t xml:space="preserve">submit </w:t>
      </w:r>
      <w:r w:rsidR="004710A4" w:rsidRPr="00CD3A14">
        <w:rPr>
          <w:noProof w:val="0"/>
          <w:lang w:val="en-AU"/>
        </w:rPr>
        <w:t xml:space="preserve">those </w:t>
      </w:r>
      <w:r w:rsidR="00FF71B7" w:rsidRPr="00CD3A14">
        <w:rPr>
          <w:noProof w:val="0"/>
          <w:lang w:val="en-AU"/>
        </w:rPr>
        <w:t>to the Auditor</w:t>
      </w:r>
      <w:r w:rsidR="00FF71B7" w:rsidRPr="00CD3A14">
        <w:rPr>
          <w:noProof w:val="0"/>
          <w:lang w:val="en-AU"/>
        </w:rPr>
        <w:noBreakHyphen/>
      </w:r>
      <w:r w:rsidRPr="00CD3A14">
        <w:rPr>
          <w:noProof w:val="0"/>
          <w:lang w:val="en-AU"/>
        </w:rPr>
        <w:t>General</w:t>
      </w:r>
      <w:r w:rsidR="004710A4" w:rsidRPr="00CD3A14">
        <w:rPr>
          <w:noProof w:val="0"/>
          <w:lang w:val="en-AU"/>
        </w:rPr>
        <w:t>.</w:t>
      </w:r>
    </w:p>
    <w:p w:rsidR="00177BC6" w:rsidRPr="00CD3A14" w:rsidRDefault="00177BC6" w:rsidP="00C708C3">
      <w:pPr>
        <w:pStyle w:val="AGRHeading3"/>
      </w:pPr>
      <w:r w:rsidRPr="00CD3A14">
        <w:t>Audit Opinion</w:t>
      </w:r>
    </w:p>
    <w:p w:rsidR="00177BC6" w:rsidRPr="00CD3A14" w:rsidRDefault="00FE79C8" w:rsidP="0013400B">
      <w:pPr>
        <w:pStyle w:val="AGRBodyText"/>
        <w:rPr>
          <w:noProof w:val="0"/>
          <w:lang w:val="en-AU"/>
        </w:rPr>
      </w:pPr>
      <w:r w:rsidRPr="00CD3A14">
        <w:rPr>
          <w:noProof w:val="0"/>
          <w:lang w:val="en-AU"/>
        </w:rPr>
        <w:t xml:space="preserve">The audit of the financial statements of </w:t>
      </w:r>
      <w:r w:rsidR="005E4911" w:rsidRPr="00CD3A14">
        <w:rPr>
          <w:noProof w:val="0"/>
          <w:lang w:val="en-AU"/>
        </w:rPr>
        <w:t xml:space="preserve">the </w:t>
      </w:r>
      <w:r w:rsidRPr="00CD3A14">
        <w:rPr>
          <w:noProof w:val="0"/>
          <w:lang w:val="en-AU"/>
        </w:rPr>
        <w:t xml:space="preserve">Institute for the year ended </w:t>
      </w:r>
      <w:r w:rsidR="00C64B1A" w:rsidRPr="00CD3A14">
        <w:rPr>
          <w:noProof w:val="0"/>
          <w:lang w:val="en-AU"/>
        </w:rPr>
        <w:t>31 December 2014</w:t>
      </w:r>
      <w:r w:rsidRPr="00CD3A14">
        <w:rPr>
          <w:noProof w:val="0"/>
          <w:lang w:val="en-AU"/>
        </w:rPr>
        <w:t xml:space="preserve"> resulted in an </w:t>
      </w:r>
      <w:r w:rsidR="006A1F59" w:rsidRPr="00CD3A14">
        <w:rPr>
          <w:noProof w:val="0"/>
          <w:lang w:val="en-AU"/>
        </w:rPr>
        <w:t>unmodified</w:t>
      </w:r>
      <w:r w:rsidRPr="00CD3A14">
        <w:rPr>
          <w:noProof w:val="0"/>
          <w:lang w:val="en-AU"/>
        </w:rPr>
        <w:t xml:space="preserve"> independent audit opinion</w:t>
      </w:r>
      <w:r w:rsidR="007456F5" w:rsidRPr="00CD3A14">
        <w:rPr>
          <w:noProof w:val="0"/>
          <w:lang w:val="en-AU"/>
        </w:rPr>
        <w:t>.  T</w:t>
      </w:r>
      <w:r w:rsidR="006F0E7E" w:rsidRPr="00CD3A14">
        <w:rPr>
          <w:noProof w:val="0"/>
          <w:lang w:val="en-AU"/>
        </w:rPr>
        <w:t>ha</w:t>
      </w:r>
      <w:r w:rsidR="004C3EBD" w:rsidRPr="00CD3A14">
        <w:rPr>
          <w:noProof w:val="0"/>
          <w:lang w:val="en-AU"/>
        </w:rPr>
        <w:t xml:space="preserve">t opinion </w:t>
      </w:r>
      <w:r w:rsidR="004A2426" w:rsidRPr="00CD3A14">
        <w:rPr>
          <w:noProof w:val="0"/>
          <w:lang w:val="en-AU"/>
        </w:rPr>
        <w:t>was issued</w:t>
      </w:r>
      <w:r w:rsidR="004764F9">
        <w:rPr>
          <w:noProof w:val="0"/>
          <w:lang w:val="en-AU"/>
        </w:rPr>
        <w:t xml:space="preserve"> on </w:t>
      </w:r>
      <w:r w:rsidR="00C65F45" w:rsidRPr="00CD3A14">
        <w:rPr>
          <w:noProof w:val="0"/>
          <w:lang w:val="en-AU"/>
        </w:rPr>
        <w:t>30</w:t>
      </w:r>
      <w:r w:rsidR="0021315B" w:rsidRPr="00CD3A14">
        <w:rPr>
          <w:noProof w:val="0"/>
          <w:lang w:val="en-AU"/>
        </w:rPr>
        <w:t> June 201</w:t>
      </w:r>
      <w:r w:rsidR="00C65F45" w:rsidRPr="00CD3A14">
        <w:rPr>
          <w:noProof w:val="0"/>
          <w:lang w:val="en-AU"/>
        </w:rPr>
        <w:t>5</w:t>
      </w:r>
      <w:r w:rsidR="00177BC6" w:rsidRPr="00CD3A14">
        <w:rPr>
          <w:noProof w:val="0"/>
          <w:lang w:val="en-AU"/>
        </w:rPr>
        <w:t>.</w:t>
      </w:r>
    </w:p>
    <w:p w:rsidR="00C90BF2" w:rsidRPr="00CD3A14" w:rsidRDefault="00C90BF2" w:rsidP="00C708C3">
      <w:pPr>
        <w:pStyle w:val="AGRHeading3"/>
      </w:pPr>
      <w:r w:rsidRPr="00CD3A14">
        <w:t xml:space="preserve">Key </w:t>
      </w:r>
      <w:r w:rsidR="00177BC6" w:rsidRPr="00CD3A14">
        <w:t>Findings</w:t>
      </w:r>
    </w:p>
    <w:p w:rsidR="00B339A5" w:rsidRPr="00CD3A14" w:rsidRDefault="00B339A5" w:rsidP="00C708C3">
      <w:pPr>
        <w:pStyle w:val="AGRHeading4"/>
      </w:pPr>
      <w:r w:rsidRPr="00CD3A14">
        <w:t>Financial analysis</w:t>
      </w:r>
    </w:p>
    <w:p w:rsidR="009635E5" w:rsidRPr="00CD3A14" w:rsidRDefault="004C3EBD" w:rsidP="0013400B">
      <w:pPr>
        <w:pStyle w:val="AGRBodyText"/>
        <w:rPr>
          <w:noProof w:val="0"/>
          <w:lang w:val="en-AU"/>
        </w:rPr>
      </w:pPr>
      <w:r w:rsidRPr="00CD3A14">
        <w:rPr>
          <w:noProof w:val="0"/>
          <w:lang w:val="en-AU"/>
        </w:rPr>
        <w:t>The</w:t>
      </w:r>
      <w:r w:rsidR="006F0E7E" w:rsidRPr="00CD3A14">
        <w:rPr>
          <w:noProof w:val="0"/>
          <w:lang w:val="en-AU"/>
        </w:rPr>
        <w:t xml:space="preserve"> </w:t>
      </w:r>
      <w:r w:rsidRPr="00CD3A14">
        <w:rPr>
          <w:noProof w:val="0"/>
          <w:lang w:val="en-AU"/>
        </w:rPr>
        <w:t xml:space="preserve">financial performance and financial position of the Institute </w:t>
      </w:r>
      <w:r w:rsidR="0003191B" w:rsidRPr="00CD3A14">
        <w:rPr>
          <w:noProof w:val="0"/>
          <w:lang w:val="en-AU"/>
        </w:rPr>
        <w:t>are illustrated in the following tables.</w:t>
      </w:r>
    </w:p>
    <w:p w:rsidR="00793A59" w:rsidRPr="00CD3A14" w:rsidRDefault="00793A59" w:rsidP="00C67DA8">
      <w:pPr>
        <w:pStyle w:val="AGRHeading1"/>
      </w:pPr>
      <w:r w:rsidRPr="00CD3A14">
        <w:t xml:space="preserve">Batchelor Institute of Indigenous Tertiary Education </w:t>
      </w:r>
      <w:proofErr w:type="spellStart"/>
      <w:r w:rsidRPr="00CD3A14">
        <w:t>cont</w:t>
      </w:r>
      <w:proofErr w:type="spellEnd"/>
      <w:r w:rsidRPr="00CD3A14">
        <w:t>…</w:t>
      </w:r>
    </w:p>
    <w:p w:rsidR="0003191B" w:rsidRPr="00CD3A14" w:rsidRDefault="0003191B" w:rsidP="00C708C3">
      <w:pPr>
        <w:pStyle w:val="AGRHeading3"/>
      </w:pPr>
      <w:r w:rsidRPr="00CD3A14">
        <w:t>Financial Performance for the year</w:t>
      </w:r>
    </w:p>
    <w:tbl>
      <w:tblPr>
        <w:tblW w:w="7371" w:type="dxa"/>
        <w:tblInd w:w="851" w:type="dxa"/>
        <w:tblLook w:val="01E0" w:firstRow="1" w:lastRow="1" w:firstColumn="1" w:lastColumn="1" w:noHBand="0" w:noVBand="0"/>
      </w:tblPr>
      <w:tblGrid>
        <w:gridCol w:w="4728"/>
        <w:gridCol w:w="1322"/>
        <w:gridCol w:w="1321"/>
      </w:tblGrid>
      <w:tr w:rsidR="0003191B" w:rsidRPr="00CD3A14" w:rsidTr="0003191B">
        <w:tc>
          <w:tcPr>
            <w:tcW w:w="4728" w:type="dxa"/>
            <w:tcBorders>
              <w:bottom w:val="single" w:sz="4" w:space="0" w:color="auto"/>
            </w:tcBorders>
          </w:tcPr>
          <w:p w:rsidR="0003191B" w:rsidRPr="00CD3A14" w:rsidRDefault="0003191B" w:rsidP="0003191B">
            <w:pPr>
              <w:pStyle w:val="AGRTableText"/>
            </w:pPr>
          </w:p>
        </w:tc>
        <w:tc>
          <w:tcPr>
            <w:tcW w:w="1322" w:type="dxa"/>
            <w:tcBorders>
              <w:bottom w:val="single" w:sz="4" w:space="0" w:color="auto"/>
            </w:tcBorders>
          </w:tcPr>
          <w:p w:rsidR="0003191B" w:rsidRPr="00CD3A14" w:rsidRDefault="0003191B" w:rsidP="00C64B1A">
            <w:pPr>
              <w:pStyle w:val="AGRTableText"/>
              <w:tabs>
                <w:tab w:val="center" w:pos="570"/>
              </w:tabs>
            </w:pPr>
            <w:r w:rsidRPr="00CD3A14">
              <w:tab/>
            </w:r>
            <w:r w:rsidR="00313635" w:rsidRPr="00CD3A14">
              <w:t>201</w:t>
            </w:r>
            <w:r w:rsidR="00C64B1A" w:rsidRPr="00CD3A14">
              <w:t>4</w:t>
            </w:r>
          </w:p>
        </w:tc>
        <w:tc>
          <w:tcPr>
            <w:tcW w:w="1321" w:type="dxa"/>
            <w:tcBorders>
              <w:bottom w:val="single" w:sz="4" w:space="0" w:color="auto"/>
            </w:tcBorders>
          </w:tcPr>
          <w:p w:rsidR="0003191B" w:rsidRPr="00CD3A14" w:rsidRDefault="0003191B" w:rsidP="00C64B1A">
            <w:pPr>
              <w:pStyle w:val="AGRTableText"/>
              <w:tabs>
                <w:tab w:val="center" w:pos="570"/>
              </w:tabs>
            </w:pPr>
            <w:r w:rsidRPr="00CD3A14">
              <w:tab/>
            </w:r>
            <w:r w:rsidR="00982C76" w:rsidRPr="00CD3A14">
              <w:t>201</w:t>
            </w:r>
            <w:r w:rsidR="00C64B1A" w:rsidRPr="00CD3A14">
              <w:t>3</w:t>
            </w:r>
          </w:p>
        </w:tc>
      </w:tr>
      <w:tr w:rsidR="00C64B1A" w:rsidRPr="00CD3A14" w:rsidTr="0003191B">
        <w:tc>
          <w:tcPr>
            <w:tcW w:w="4728" w:type="dxa"/>
            <w:tcBorders>
              <w:top w:val="single" w:sz="4" w:space="0" w:color="auto"/>
            </w:tcBorders>
          </w:tcPr>
          <w:p w:rsidR="00C64B1A" w:rsidRPr="00CD3A14" w:rsidRDefault="00C64B1A" w:rsidP="0003191B">
            <w:pPr>
              <w:pStyle w:val="AGRTableText"/>
            </w:pPr>
          </w:p>
        </w:tc>
        <w:tc>
          <w:tcPr>
            <w:tcW w:w="1322" w:type="dxa"/>
            <w:tcBorders>
              <w:top w:val="single" w:sz="4" w:space="0" w:color="auto"/>
            </w:tcBorders>
          </w:tcPr>
          <w:p w:rsidR="00C64B1A" w:rsidRPr="00CD3A14" w:rsidRDefault="00C64B1A" w:rsidP="0003191B">
            <w:pPr>
              <w:pStyle w:val="AGRTableText"/>
              <w:tabs>
                <w:tab w:val="center" w:pos="570"/>
              </w:tabs>
            </w:pPr>
            <w:r w:rsidRPr="00CD3A14">
              <w:tab/>
              <w:t>$’000</w:t>
            </w:r>
          </w:p>
        </w:tc>
        <w:tc>
          <w:tcPr>
            <w:tcW w:w="1321" w:type="dxa"/>
            <w:tcBorders>
              <w:top w:val="single" w:sz="4" w:space="0" w:color="auto"/>
            </w:tcBorders>
          </w:tcPr>
          <w:p w:rsidR="00C64B1A" w:rsidRPr="00CD3A14" w:rsidRDefault="00C64B1A" w:rsidP="00C64B1A">
            <w:pPr>
              <w:pStyle w:val="AGRTableText"/>
              <w:tabs>
                <w:tab w:val="center" w:pos="570"/>
              </w:tabs>
            </w:pPr>
            <w:r w:rsidRPr="00CD3A14">
              <w:tab/>
              <w:t>$’000</w:t>
            </w:r>
          </w:p>
        </w:tc>
      </w:tr>
      <w:tr w:rsidR="00C64B1A" w:rsidRPr="00CD3A14" w:rsidTr="0003191B">
        <w:tc>
          <w:tcPr>
            <w:tcW w:w="4728" w:type="dxa"/>
            <w:tcBorders>
              <w:bottom w:val="single" w:sz="4" w:space="0" w:color="auto"/>
            </w:tcBorders>
          </w:tcPr>
          <w:p w:rsidR="00C64B1A" w:rsidRPr="00CD3A14" w:rsidRDefault="00C64B1A" w:rsidP="0003191B">
            <w:pPr>
              <w:pStyle w:val="AGRTableTextBold"/>
            </w:pPr>
            <w:r w:rsidRPr="00CD3A14">
              <w:t xml:space="preserve">Revenue from continuing operations </w:t>
            </w:r>
          </w:p>
        </w:tc>
        <w:tc>
          <w:tcPr>
            <w:tcW w:w="1322" w:type="dxa"/>
            <w:tcBorders>
              <w:bottom w:val="single" w:sz="4" w:space="0" w:color="auto"/>
            </w:tcBorders>
          </w:tcPr>
          <w:p w:rsidR="00C64B1A" w:rsidRPr="00CD3A14" w:rsidRDefault="00C65F45" w:rsidP="00A16513">
            <w:pPr>
              <w:pStyle w:val="AGRTableNumbersBold"/>
            </w:pPr>
            <w:r w:rsidRPr="00CD3A14">
              <w:t>41,266</w:t>
            </w:r>
          </w:p>
        </w:tc>
        <w:tc>
          <w:tcPr>
            <w:tcW w:w="1321" w:type="dxa"/>
            <w:tcBorders>
              <w:bottom w:val="single" w:sz="4" w:space="0" w:color="auto"/>
            </w:tcBorders>
          </w:tcPr>
          <w:p w:rsidR="00C64B1A" w:rsidRPr="00CD3A14" w:rsidRDefault="00C64B1A" w:rsidP="00C64B1A">
            <w:pPr>
              <w:pStyle w:val="AGRTableNumbersBold"/>
            </w:pPr>
            <w:r w:rsidRPr="00CD3A14">
              <w:t>41,550</w:t>
            </w:r>
          </w:p>
        </w:tc>
      </w:tr>
      <w:tr w:rsidR="00C64B1A" w:rsidRPr="00CD3A14" w:rsidTr="0003191B">
        <w:tc>
          <w:tcPr>
            <w:tcW w:w="4728" w:type="dxa"/>
            <w:tcBorders>
              <w:top w:val="single" w:sz="4" w:space="0" w:color="auto"/>
            </w:tcBorders>
          </w:tcPr>
          <w:p w:rsidR="00C64B1A" w:rsidRPr="00CD3A14" w:rsidRDefault="00C64B1A" w:rsidP="0003191B">
            <w:pPr>
              <w:pStyle w:val="AGRTableTextBold"/>
            </w:pPr>
            <w:r w:rsidRPr="00CD3A14">
              <w:t>Less expenses from ordinary activities</w:t>
            </w:r>
          </w:p>
        </w:tc>
        <w:tc>
          <w:tcPr>
            <w:tcW w:w="1322" w:type="dxa"/>
            <w:tcBorders>
              <w:top w:val="single" w:sz="4" w:space="0" w:color="auto"/>
            </w:tcBorders>
          </w:tcPr>
          <w:p w:rsidR="00C64B1A" w:rsidRPr="00CD3A14" w:rsidRDefault="00C64B1A" w:rsidP="0003191B">
            <w:pPr>
              <w:pStyle w:val="AGRTableText"/>
              <w:tabs>
                <w:tab w:val="decimal" w:pos="811"/>
              </w:tabs>
            </w:pPr>
          </w:p>
        </w:tc>
        <w:tc>
          <w:tcPr>
            <w:tcW w:w="1321" w:type="dxa"/>
            <w:tcBorders>
              <w:top w:val="single" w:sz="4" w:space="0" w:color="auto"/>
            </w:tcBorders>
          </w:tcPr>
          <w:p w:rsidR="00C64B1A" w:rsidRPr="00CD3A14" w:rsidRDefault="00C64B1A" w:rsidP="00C64B1A">
            <w:pPr>
              <w:pStyle w:val="AGRTableText"/>
              <w:tabs>
                <w:tab w:val="decimal" w:pos="811"/>
              </w:tabs>
            </w:pPr>
          </w:p>
        </w:tc>
      </w:tr>
      <w:tr w:rsidR="00C64B1A" w:rsidRPr="00CD3A14" w:rsidTr="0003191B">
        <w:tc>
          <w:tcPr>
            <w:tcW w:w="4728" w:type="dxa"/>
          </w:tcPr>
          <w:p w:rsidR="00C64B1A" w:rsidRPr="00CD3A14" w:rsidRDefault="00C64B1A" w:rsidP="0003191B">
            <w:pPr>
              <w:pStyle w:val="AGRTableText"/>
            </w:pPr>
            <w:r w:rsidRPr="00CD3A14">
              <w:t>Employee expenses</w:t>
            </w:r>
          </w:p>
        </w:tc>
        <w:tc>
          <w:tcPr>
            <w:tcW w:w="1322" w:type="dxa"/>
          </w:tcPr>
          <w:p w:rsidR="00C64B1A" w:rsidRPr="00CD3A14" w:rsidRDefault="00C65F45" w:rsidP="00982C76">
            <w:pPr>
              <w:pStyle w:val="AGRTableNumbers"/>
            </w:pPr>
            <w:r w:rsidRPr="00CD3A14">
              <w:t>(27,291)</w:t>
            </w:r>
          </w:p>
        </w:tc>
        <w:tc>
          <w:tcPr>
            <w:tcW w:w="1321" w:type="dxa"/>
          </w:tcPr>
          <w:p w:rsidR="00C64B1A" w:rsidRPr="00CD3A14" w:rsidRDefault="00C64B1A" w:rsidP="00C64B1A">
            <w:pPr>
              <w:pStyle w:val="AGRTableNumbers"/>
            </w:pPr>
            <w:r w:rsidRPr="00CD3A14">
              <w:t>(26,680)</w:t>
            </w:r>
          </w:p>
        </w:tc>
      </w:tr>
      <w:tr w:rsidR="00C64B1A" w:rsidRPr="00CD3A14" w:rsidTr="0003191B">
        <w:tc>
          <w:tcPr>
            <w:tcW w:w="4728" w:type="dxa"/>
          </w:tcPr>
          <w:p w:rsidR="00C64B1A" w:rsidRPr="00CD3A14" w:rsidRDefault="00C64B1A" w:rsidP="0003191B">
            <w:pPr>
              <w:pStyle w:val="AGRTableText"/>
            </w:pPr>
            <w:r w:rsidRPr="00CD3A14">
              <w:t>Depreciation</w:t>
            </w:r>
          </w:p>
        </w:tc>
        <w:tc>
          <w:tcPr>
            <w:tcW w:w="1322" w:type="dxa"/>
          </w:tcPr>
          <w:p w:rsidR="00C64B1A" w:rsidRPr="00CD3A14" w:rsidRDefault="00C65F45" w:rsidP="00982C76">
            <w:pPr>
              <w:pStyle w:val="AGRTableText"/>
              <w:tabs>
                <w:tab w:val="decimal" w:pos="811"/>
              </w:tabs>
            </w:pPr>
            <w:r w:rsidRPr="00CD3A14">
              <w:t>(1,657)</w:t>
            </w:r>
          </w:p>
        </w:tc>
        <w:tc>
          <w:tcPr>
            <w:tcW w:w="1321" w:type="dxa"/>
          </w:tcPr>
          <w:p w:rsidR="00C64B1A" w:rsidRPr="00CD3A14" w:rsidRDefault="00C64B1A" w:rsidP="00C64B1A">
            <w:pPr>
              <w:pStyle w:val="AGRTableText"/>
              <w:tabs>
                <w:tab w:val="decimal" w:pos="811"/>
              </w:tabs>
            </w:pPr>
            <w:r w:rsidRPr="00CD3A14">
              <w:t>(1,571)</w:t>
            </w:r>
          </w:p>
        </w:tc>
      </w:tr>
      <w:tr w:rsidR="00C64B1A" w:rsidRPr="00CD3A14" w:rsidTr="0003191B">
        <w:tc>
          <w:tcPr>
            <w:tcW w:w="4728" w:type="dxa"/>
          </w:tcPr>
          <w:p w:rsidR="00C64B1A" w:rsidRPr="00CD3A14" w:rsidRDefault="00C64B1A" w:rsidP="0003191B">
            <w:pPr>
              <w:pStyle w:val="AGRTableText"/>
            </w:pPr>
            <w:r w:rsidRPr="00CD3A14">
              <w:t>Other</w:t>
            </w:r>
          </w:p>
        </w:tc>
        <w:tc>
          <w:tcPr>
            <w:tcW w:w="1322" w:type="dxa"/>
          </w:tcPr>
          <w:p w:rsidR="00C64B1A" w:rsidRPr="00CD3A14" w:rsidRDefault="00C65F45" w:rsidP="00982C76">
            <w:pPr>
              <w:pStyle w:val="AGRTableText"/>
              <w:tabs>
                <w:tab w:val="decimal" w:pos="811"/>
              </w:tabs>
            </w:pPr>
            <w:r w:rsidRPr="00CD3A14">
              <w:t>(13,635)</w:t>
            </w:r>
          </w:p>
        </w:tc>
        <w:tc>
          <w:tcPr>
            <w:tcW w:w="1321" w:type="dxa"/>
          </w:tcPr>
          <w:p w:rsidR="00C64B1A" w:rsidRPr="00CD3A14" w:rsidRDefault="00C64B1A" w:rsidP="00C64B1A">
            <w:pPr>
              <w:pStyle w:val="AGRTableText"/>
              <w:tabs>
                <w:tab w:val="decimal" w:pos="811"/>
              </w:tabs>
            </w:pPr>
            <w:r w:rsidRPr="00CD3A14">
              <w:t>(13,227)</w:t>
            </w:r>
          </w:p>
        </w:tc>
      </w:tr>
      <w:tr w:rsidR="00C64B1A" w:rsidRPr="00CD3A14" w:rsidTr="0003191B">
        <w:tc>
          <w:tcPr>
            <w:tcW w:w="4728" w:type="dxa"/>
            <w:tcBorders>
              <w:bottom w:val="single" w:sz="4" w:space="0" w:color="auto"/>
            </w:tcBorders>
          </w:tcPr>
          <w:p w:rsidR="00C64B1A" w:rsidRPr="00CD3A14" w:rsidRDefault="00C64B1A" w:rsidP="0003191B">
            <w:pPr>
              <w:pStyle w:val="AGRTableTextBold"/>
            </w:pPr>
            <w:r w:rsidRPr="00CD3A14">
              <w:t>Total expenses from continuous operations</w:t>
            </w:r>
          </w:p>
        </w:tc>
        <w:tc>
          <w:tcPr>
            <w:tcW w:w="1322" w:type="dxa"/>
            <w:tcBorders>
              <w:bottom w:val="single" w:sz="4" w:space="0" w:color="auto"/>
            </w:tcBorders>
          </w:tcPr>
          <w:p w:rsidR="00C64B1A" w:rsidRPr="00CD3A14" w:rsidRDefault="00C65F45" w:rsidP="00537460">
            <w:pPr>
              <w:pStyle w:val="AGRTableNumbersBold"/>
            </w:pPr>
            <w:r w:rsidRPr="00CD3A14">
              <w:t>(42,583)</w:t>
            </w:r>
          </w:p>
        </w:tc>
        <w:tc>
          <w:tcPr>
            <w:tcW w:w="1321" w:type="dxa"/>
            <w:tcBorders>
              <w:bottom w:val="single" w:sz="4" w:space="0" w:color="auto"/>
            </w:tcBorders>
          </w:tcPr>
          <w:p w:rsidR="00C64B1A" w:rsidRPr="00CD3A14" w:rsidRDefault="00C64B1A" w:rsidP="00C64B1A">
            <w:pPr>
              <w:pStyle w:val="AGRTableNumbersBold"/>
            </w:pPr>
            <w:r w:rsidRPr="00CD3A14">
              <w:t>(41,478)</w:t>
            </w:r>
          </w:p>
        </w:tc>
      </w:tr>
      <w:tr w:rsidR="00C64B1A" w:rsidRPr="00CD3A14" w:rsidTr="0003191B">
        <w:tc>
          <w:tcPr>
            <w:tcW w:w="4728" w:type="dxa"/>
            <w:tcBorders>
              <w:top w:val="single" w:sz="4" w:space="0" w:color="auto"/>
              <w:bottom w:val="single" w:sz="4" w:space="0" w:color="auto"/>
            </w:tcBorders>
          </w:tcPr>
          <w:p w:rsidR="00C64B1A" w:rsidRPr="00CD3A14" w:rsidRDefault="00C64B1A" w:rsidP="0003191B">
            <w:pPr>
              <w:pStyle w:val="AGRTableText"/>
            </w:pPr>
            <w:r w:rsidRPr="00CD3A14">
              <w:t>Operating result before income tax expense</w:t>
            </w:r>
          </w:p>
        </w:tc>
        <w:tc>
          <w:tcPr>
            <w:tcW w:w="1322" w:type="dxa"/>
            <w:tcBorders>
              <w:top w:val="single" w:sz="4" w:space="0" w:color="auto"/>
              <w:bottom w:val="single" w:sz="4" w:space="0" w:color="auto"/>
            </w:tcBorders>
          </w:tcPr>
          <w:p w:rsidR="00C64B1A" w:rsidRPr="00CD3A14" w:rsidRDefault="00C65F45" w:rsidP="00537460">
            <w:pPr>
              <w:pStyle w:val="AGRTableNumbersBold"/>
            </w:pPr>
            <w:r w:rsidRPr="00CD3A14">
              <w:t>(1,317)</w:t>
            </w:r>
          </w:p>
        </w:tc>
        <w:tc>
          <w:tcPr>
            <w:tcW w:w="1321" w:type="dxa"/>
            <w:tcBorders>
              <w:top w:val="single" w:sz="4" w:space="0" w:color="auto"/>
              <w:bottom w:val="single" w:sz="4" w:space="0" w:color="auto"/>
            </w:tcBorders>
          </w:tcPr>
          <w:p w:rsidR="00C64B1A" w:rsidRPr="00CD3A14" w:rsidRDefault="00C64B1A" w:rsidP="00C64B1A">
            <w:pPr>
              <w:pStyle w:val="AGRTableNumbersBold"/>
            </w:pPr>
            <w:r w:rsidRPr="00CD3A14">
              <w:t>72</w:t>
            </w:r>
          </w:p>
        </w:tc>
      </w:tr>
      <w:tr w:rsidR="00C64B1A" w:rsidRPr="00CD3A14" w:rsidTr="00D53C7A">
        <w:tc>
          <w:tcPr>
            <w:tcW w:w="4728" w:type="dxa"/>
            <w:tcBorders>
              <w:top w:val="single" w:sz="4" w:space="0" w:color="auto"/>
            </w:tcBorders>
          </w:tcPr>
          <w:p w:rsidR="00C64B1A" w:rsidRPr="00CD3A14" w:rsidRDefault="004764F9" w:rsidP="0003191B">
            <w:pPr>
              <w:pStyle w:val="AGRTableText"/>
            </w:pPr>
            <w:r>
              <w:t>Less i</w:t>
            </w:r>
            <w:r w:rsidR="00C64B1A" w:rsidRPr="00CD3A14">
              <w:t>ncome tax expense</w:t>
            </w:r>
          </w:p>
        </w:tc>
        <w:tc>
          <w:tcPr>
            <w:tcW w:w="1322" w:type="dxa"/>
            <w:tcBorders>
              <w:top w:val="single" w:sz="4" w:space="0" w:color="auto"/>
            </w:tcBorders>
          </w:tcPr>
          <w:p w:rsidR="00C64B1A" w:rsidRPr="00CD3A14" w:rsidRDefault="00C65F45" w:rsidP="0003191B">
            <w:pPr>
              <w:pStyle w:val="AGRTableText"/>
              <w:tabs>
                <w:tab w:val="decimal" w:pos="811"/>
              </w:tabs>
            </w:pPr>
            <w:r w:rsidRPr="00CD3A14">
              <w:t>-</w:t>
            </w:r>
          </w:p>
        </w:tc>
        <w:tc>
          <w:tcPr>
            <w:tcW w:w="1321" w:type="dxa"/>
            <w:tcBorders>
              <w:top w:val="single" w:sz="4" w:space="0" w:color="auto"/>
            </w:tcBorders>
          </w:tcPr>
          <w:p w:rsidR="00C64B1A" w:rsidRPr="00CD3A14" w:rsidRDefault="00C64B1A" w:rsidP="00C64B1A">
            <w:pPr>
              <w:pStyle w:val="AGRTableText"/>
              <w:tabs>
                <w:tab w:val="decimal" w:pos="811"/>
              </w:tabs>
            </w:pPr>
            <w:r w:rsidRPr="00CD3A14">
              <w:t>-</w:t>
            </w:r>
          </w:p>
        </w:tc>
      </w:tr>
      <w:tr w:rsidR="00C64B1A" w:rsidRPr="00CD3A14" w:rsidTr="00D53C7A">
        <w:tc>
          <w:tcPr>
            <w:tcW w:w="4728" w:type="dxa"/>
            <w:tcBorders>
              <w:bottom w:val="single" w:sz="4" w:space="0" w:color="auto"/>
            </w:tcBorders>
          </w:tcPr>
          <w:p w:rsidR="00C64B1A" w:rsidRPr="00CD3A14" w:rsidRDefault="00C64B1A" w:rsidP="00AF6CDA">
            <w:pPr>
              <w:pStyle w:val="AGRTableTextBold"/>
            </w:pPr>
            <w:r w:rsidRPr="00CD3A14">
              <w:t>Operating result after income tax expense</w:t>
            </w:r>
          </w:p>
        </w:tc>
        <w:tc>
          <w:tcPr>
            <w:tcW w:w="1322" w:type="dxa"/>
            <w:tcBorders>
              <w:bottom w:val="single" w:sz="4" w:space="0" w:color="auto"/>
            </w:tcBorders>
          </w:tcPr>
          <w:p w:rsidR="00C64B1A" w:rsidRPr="00CD3A14" w:rsidRDefault="00C65F45" w:rsidP="00982C76">
            <w:pPr>
              <w:pStyle w:val="AGRTableNumbersBold"/>
            </w:pPr>
            <w:r w:rsidRPr="00CD3A14">
              <w:t>(1,317)</w:t>
            </w:r>
          </w:p>
        </w:tc>
        <w:tc>
          <w:tcPr>
            <w:tcW w:w="1321" w:type="dxa"/>
            <w:tcBorders>
              <w:bottom w:val="single" w:sz="4" w:space="0" w:color="auto"/>
            </w:tcBorders>
          </w:tcPr>
          <w:p w:rsidR="00C64B1A" w:rsidRPr="00CD3A14" w:rsidRDefault="00C64B1A" w:rsidP="00C64B1A">
            <w:pPr>
              <w:pStyle w:val="AGRTableNumbersBold"/>
            </w:pPr>
            <w:r w:rsidRPr="00CD3A14">
              <w:t>72</w:t>
            </w:r>
          </w:p>
        </w:tc>
      </w:tr>
    </w:tbl>
    <w:p w:rsidR="00C65F45" w:rsidRPr="00CD3A14" w:rsidRDefault="00C65F45" w:rsidP="0013400B">
      <w:pPr>
        <w:pStyle w:val="AGRBodyText"/>
        <w:rPr>
          <w:noProof w:val="0"/>
          <w:lang w:val="en-AU"/>
        </w:rPr>
      </w:pPr>
      <w:r w:rsidRPr="00CD3A14">
        <w:rPr>
          <w:noProof w:val="0"/>
          <w:lang w:val="en-AU"/>
        </w:rPr>
        <w:t xml:space="preserve">The Institute reported a deficit of $1.3 million for the year ended 31 December 2014, in comparison to a surplus of $0.1 million in the prior year. The decrease is mainly attributable to the Institute not achieving the set milestones on a specific project </w:t>
      </w:r>
      <w:r w:rsidR="00DA034A" w:rsidRPr="00CD3A14">
        <w:rPr>
          <w:noProof w:val="0"/>
          <w:lang w:val="en-AU"/>
        </w:rPr>
        <w:t>receiving</w:t>
      </w:r>
      <w:r w:rsidRPr="00CD3A14">
        <w:rPr>
          <w:noProof w:val="0"/>
          <w:lang w:val="en-AU"/>
        </w:rPr>
        <w:t xml:space="preserve"> NT Government funding and a provision for unearned revenue of $1.8 million being recorded in the financial statements to reflect deferred income. Other movements were mainly related to: </w:t>
      </w:r>
    </w:p>
    <w:p w:rsidR="00C65F45" w:rsidRPr="00CD3A14" w:rsidRDefault="00C65F45" w:rsidP="0013400B">
      <w:pPr>
        <w:pStyle w:val="AGRBulletText"/>
        <w:rPr>
          <w:noProof w:val="0"/>
          <w:lang w:val="en-AU"/>
        </w:rPr>
      </w:pPr>
      <w:r w:rsidRPr="00CD3A14">
        <w:rPr>
          <w:noProof w:val="0"/>
          <w:lang w:val="en-AU"/>
        </w:rPr>
        <w:t xml:space="preserve">An increase in other revenue from funding bodies which is mainly due to increased course fees of $0.8 </w:t>
      </w:r>
      <w:proofErr w:type="gramStart"/>
      <w:r w:rsidRPr="00CD3A14">
        <w:rPr>
          <w:noProof w:val="0"/>
          <w:lang w:val="en-AU"/>
        </w:rPr>
        <w:t>million,</w:t>
      </w:r>
      <w:proofErr w:type="gramEnd"/>
      <w:r w:rsidRPr="00CD3A14">
        <w:rPr>
          <w:noProof w:val="0"/>
          <w:lang w:val="en-AU"/>
        </w:rPr>
        <w:t xml:space="preserve"> increased Australian Government funding of $3.7 million, and increased other consulting and cont</w:t>
      </w:r>
      <w:r w:rsidR="004764F9">
        <w:rPr>
          <w:noProof w:val="0"/>
          <w:lang w:val="en-AU"/>
        </w:rPr>
        <w:t>r</w:t>
      </w:r>
      <w:r w:rsidRPr="00CD3A14">
        <w:rPr>
          <w:noProof w:val="0"/>
          <w:lang w:val="en-AU"/>
        </w:rPr>
        <w:t xml:space="preserve">acting fees of $0.9 million. These were offset by a reduction in Australian Centre for Indigenous </w:t>
      </w:r>
      <w:proofErr w:type="spellStart"/>
      <w:r w:rsidRPr="00CD3A14">
        <w:rPr>
          <w:noProof w:val="0"/>
          <w:lang w:val="en-AU"/>
        </w:rPr>
        <w:t>Knowledges</w:t>
      </w:r>
      <w:proofErr w:type="spellEnd"/>
      <w:r w:rsidRPr="00CD3A14">
        <w:rPr>
          <w:noProof w:val="0"/>
          <w:lang w:val="en-AU"/>
        </w:rPr>
        <w:t xml:space="preserve"> and Education revenue of $3.4 million and NT Government funding of $0.5 million (excluding the $1.8 million provision mentioned above).</w:t>
      </w:r>
    </w:p>
    <w:p w:rsidR="00C65F45" w:rsidRPr="00CD3A14" w:rsidRDefault="00C65F45" w:rsidP="0013400B">
      <w:pPr>
        <w:pStyle w:val="AGRBulletText"/>
        <w:rPr>
          <w:noProof w:val="0"/>
          <w:lang w:val="en-AU"/>
        </w:rPr>
      </w:pPr>
      <w:r w:rsidRPr="00CD3A14">
        <w:rPr>
          <w:noProof w:val="0"/>
          <w:lang w:val="en-AU"/>
        </w:rPr>
        <w:t xml:space="preserve">An increase in employee costs of $0.6 million which is </w:t>
      </w:r>
      <w:r w:rsidR="00DA034A" w:rsidRPr="00CD3A14">
        <w:rPr>
          <w:noProof w:val="0"/>
          <w:lang w:val="en-AU"/>
        </w:rPr>
        <w:t>largely</w:t>
      </w:r>
      <w:r w:rsidRPr="00CD3A14">
        <w:rPr>
          <w:noProof w:val="0"/>
          <w:lang w:val="en-AU"/>
        </w:rPr>
        <w:t xml:space="preserve"> attributable to the salary increases as per the Enterprise Bargaining Agreement for the year.</w:t>
      </w:r>
    </w:p>
    <w:p w:rsidR="001D49AD" w:rsidRPr="00CD3A14" w:rsidRDefault="00C65F45" w:rsidP="0013400B">
      <w:pPr>
        <w:pStyle w:val="AGRBulletText"/>
        <w:rPr>
          <w:noProof w:val="0"/>
          <w:lang w:val="en-AU"/>
        </w:rPr>
      </w:pPr>
      <w:r w:rsidRPr="00CD3A14">
        <w:rPr>
          <w:noProof w:val="0"/>
          <w:lang w:val="en-AU"/>
        </w:rPr>
        <w:t xml:space="preserve">An increase in other expenses of $0.5 million </w:t>
      </w:r>
      <w:r w:rsidR="00DA034A" w:rsidRPr="00CD3A14">
        <w:rPr>
          <w:noProof w:val="0"/>
          <w:lang w:val="en-AU"/>
        </w:rPr>
        <w:t>primarily</w:t>
      </w:r>
      <w:r w:rsidRPr="00CD3A14">
        <w:rPr>
          <w:noProof w:val="0"/>
          <w:lang w:val="en-AU"/>
        </w:rPr>
        <w:t xml:space="preserve"> related to higher depreciation expense of $0.1 million, communication and utilities expenses of $0.4 million, and property management expenses of $0.2 million, </w:t>
      </w:r>
      <w:r w:rsidR="00DA034A" w:rsidRPr="00CD3A14">
        <w:rPr>
          <w:noProof w:val="0"/>
          <w:lang w:val="en-AU"/>
        </w:rPr>
        <w:t xml:space="preserve">all of </w:t>
      </w:r>
      <w:r w:rsidRPr="00CD3A14">
        <w:rPr>
          <w:noProof w:val="0"/>
          <w:lang w:val="en-AU"/>
        </w:rPr>
        <w:t>which were partially offset by a decrease in other expenditures of $0.2 million.</w:t>
      </w:r>
    </w:p>
    <w:p w:rsidR="00C90BF2" w:rsidRPr="00CD3A14" w:rsidRDefault="00C90BF2" w:rsidP="00C67DA8">
      <w:pPr>
        <w:pStyle w:val="AGRHeading1"/>
      </w:pPr>
      <w:r w:rsidRPr="00CD3A14">
        <w:t xml:space="preserve">Batchelor Institute of Indigenous Tertiary Education </w:t>
      </w:r>
      <w:proofErr w:type="spellStart"/>
      <w:r w:rsidRPr="00CD3A14">
        <w:t>cont</w:t>
      </w:r>
      <w:proofErr w:type="spellEnd"/>
      <w:r w:rsidRPr="00CD3A14">
        <w:t>…</w:t>
      </w:r>
    </w:p>
    <w:p w:rsidR="00C90BF2" w:rsidRPr="00CD3A14" w:rsidRDefault="005602EC" w:rsidP="00C708C3">
      <w:pPr>
        <w:pStyle w:val="AGRHeading3"/>
      </w:pPr>
      <w:r w:rsidRPr="00CD3A14">
        <w:t>Financial Position at year end</w:t>
      </w:r>
    </w:p>
    <w:tbl>
      <w:tblPr>
        <w:tblW w:w="7371" w:type="dxa"/>
        <w:tblInd w:w="851" w:type="dxa"/>
        <w:tblLook w:val="01E0" w:firstRow="1" w:lastRow="1" w:firstColumn="1" w:lastColumn="1" w:noHBand="0" w:noVBand="0"/>
      </w:tblPr>
      <w:tblGrid>
        <w:gridCol w:w="4728"/>
        <w:gridCol w:w="1322"/>
        <w:gridCol w:w="1321"/>
      </w:tblGrid>
      <w:tr w:rsidR="00036669" w:rsidRPr="00CD3A14" w:rsidTr="00036669">
        <w:tc>
          <w:tcPr>
            <w:tcW w:w="4728" w:type="dxa"/>
            <w:tcBorders>
              <w:bottom w:val="single" w:sz="4" w:space="0" w:color="auto"/>
            </w:tcBorders>
          </w:tcPr>
          <w:p w:rsidR="00036669" w:rsidRPr="00CD3A14" w:rsidRDefault="00036669" w:rsidP="00C90BF2">
            <w:pPr>
              <w:pStyle w:val="AGRTableText"/>
            </w:pPr>
          </w:p>
        </w:tc>
        <w:tc>
          <w:tcPr>
            <w:tcW w:w="1322" w:type="dxa"/>
            <w:tcBorders>
              <w:bottom w:val="single" w:sz="4" w:space="0" w:color="auto"/>
            </w:tcBorders>
          </w:tcPr>
          <w:p w:rsidR="00036669" w:rsidRPr="00CD3A14" w:rsidRDefault="00036669" w:rsidP="00C64B1A">
            <w:pPr>
              <w:pStyle w:val="AGRTableText"/>
              <w:tabs>
                <w:tab w:val="center" w:pos="570"/>
              </w:tabs>
            </w:pPr>
            <w:r w:rsidRPr="00CD3A14">
              <w:tab/>
              <w:t>2</w:t>
            </w:r>
            <w:r w:rsidR="00C64B1A" w:rsidRPr="00CD3A14">
              <w:t>014</w:t>
            </w:r>
          </w:p>
        </w:tc>
        <w:tc>
          <w:tcPr>
            <w:tcW w:w="1321" w:type="dxa"/>
            <w:tcBorders>
              <w:bottom w:val="single" w:sz="4" w:space="0" w:color="auto"/>
            </w:tcBorders>
          </w:tcPr>
          <w:p w:rsidR="00036669" w:rsidRPr="00CD3A14" w:rsidRDefault="00036669" w:rsidP="00C64B1A">
            <w:pPr>
              <w:pStyle w:val="AGRTableText"/>
              <w:tabs>
                <w:tab w:val="center" w:pos="570"/>
              </w:tabs>
            </w:pPr>
            <w:r w:rsidRPr="00CD3A14">
              <w:tab/>
              <w:t>201</w:t>
            </w:r>
            <w:r w:rsidR="00C64B1A" w:rsidRPr="00CD3A14">
              <w:t>3</w:t>
            </w:r>
          </w:p>
        </w:tc>
      </w:tr>
      <w:tr w:rsidR="00036669" w:rsidRPr="00CD3A14" w:rsidTr="00036669">
        <w:tc>
          <w:tcPr>
            <w:tcW w:w="4728" w:type="dxa"/>
            <w:tcBorders>
              <w:top w:val="single" w:sz="4" w:space="0" w:color="auto"/>
            </w:tcBorders>
          </w:tcPr>
          <w:p w:rsidR="00036669" w:rsidRPr="00CD3A14" w:rsidRDefault="00036669" w:rsidP="00C90BF2">
            <w:pPr>
              <w:pStyle w:val="AGRTableText"/>
            </w:pPr>
          </w:p>
        </w:tc>
        <w:tc>
          <w:tcPr>
            <w:tcW w:w="1322" w:type="dxa"/>
            <w:tcBorders>
              <w:top w:val="single" w:sz="4" w:space="0" w:color="auto"/>
            </w:tcBorders>
          </w:tcPr>
          <w:p w:rsidR="00036669" w:rsidRPr="00CD3A14" w:rsidRDefault="00036669" w:rsidP="00C90BF2">
            <w:pPr>
              <w:pStyle w:val="AGRTableText"/>
              <w:tabs>
                <w:tab w:val="center" w:pos="570"/>
              </w:tabs>
            </w:pPr>
            <w:r w:rsidRPr="00CD3A14">
              <w:tab/>
              <w:t>$’000</w:t>
            </w:r>
          </w:p>
        </w:tc>
        <w:tc>
          <w:tcPr>
            <w:tcW w:w="1321" w:type="dxa"/>
            <w:tcBorders>
              <w:top w:val="single" w:sz="4" w:space="0" w:color="auto"/>
            </w:tcBorders>
          </w:tcPr>
          <w:p w:rsidR="00036669" w:rsidRPr="00CD3A14" w:rsidRDefault="00036669" w:rsidP="00B94157">
            <w:pPr>
              <w:pStyle w:val="AGRTableText"/>
              <w:tabs>
                <w:tab w:val="center" w:pos="570"/>
              </w:tabs>
            </w:pPr>
            <w:r w:rsidRPr="00CD3A14">
              <w:tab/>
              <w:t>$’000</w:t>
            </w:r>
          </w:p>
        </w:tc>
      </w:tr>
      <w:tr w:rsidR="00C64B1A" w:rsidRPr="00CD3A14" w:rsidTr="00036669">
        <w:tc>
          <w:tcPr>
            <w:tcW w:w="4728" w:type="dxa"/>
          </w:tcPr>
          <w:p w:rsidR="00C64B1A" w:rsidRPr="00CD3A14" w:rsidRDefault="00C64B1A" w:rsidP="00C90BF2">
            <w:pPr>
              <w:pStyle w:val="AGRTableText"/>
            </w:pPr>
            <w:r w:rsidRPr="00CD3A14">
              <w:t>Current assets</w:t>
            </w:r>
          </w:p>
        </w:tc>
        <w:tc>
          <w:tcPr>
            <w:tcW w:w="1322" w:type="dxa"/>
          </w:tcPr>
          <w:p w:rsidR="00C64B1A" w:rsidRPr="00CD3A14" w:rsidRDefault="00C65F45" w:rsidP="00C90BF2">
            <w:pPr>
              <w:pStyle w:val="AGRTableNumbers"/>
            </w:pPr>
            <w:r w:rsidRPr="00CD3A14">
              <w:t>19,685</w:t>
            </w:r>
          </w:p>
        </w:tc>
        <w:tc>
          <w:tcPr>
            <w:tcW w:w="1321" w:type="dxa"/>
          </w:tcPr>
          <w:p w:rsidR="00C64B1A" w:rsidRPr="00CD3A14" w:rsidRDefault="00C64B1A" w:rsidP="00C64B1A">
            <w:pPr>
              <w:pStyle w:val="AGRTableNumbers"/>
            </w:pPr>
            <w:r w:rsidRPr="00CD3A14">
              <w:t>18,155</w:t>
            </w:r>
          </w:p>
        </w:tc>
      </w:tr>
      <w:tr w:rsidR="00C64B1A" w:rsidRPr="00CD3A14" w:rsidTr="00036669">
        <w:tc>
          <w:tcPr>
            <w:tcW w:w="4728" w:type="dxa"/>
          </w:tcPr>
          <w:p w:rsidR="00C64B1A" w:rsidRPr="00CD3A14" w:rsidRDefault="00C64B1A" w:rsidP="00E8401B">
            <w:pPr>
              <w:pStyle w:val="AGRTableText"/>
            </w:pPr>
            <w:r w:rsidRPr="00CD3A14">
              <w:t>Less current liabilities</w:t>
            </w:r>
          </w:p>
        </w:tc>
        <w:tc>
          <w:tcPr>
            <w:tcW w:w="1322" w:type="dxa"/>
          </w:tcPr>
          <w:p w:rsidR="00C64B1A" w:rsidRPr="00CD3A14" w:rsidRDefault="00C65F45" w:rsidP="00C65F45">
            <w:pPr>
              <w:pStyle w:val="AGRTableText"/>
              <w:tabs>
                <w:tab w:val="decimal" w:pos="811"/>
              </w:tabs>
            </w:pPr>
            <w:r w:rsidRPr="00CD3A14">
              <w:t>(6,714)</w:t>
            </w:r>
          </w:p>
        </w:tc>
        <w:tc>
          <w:tcPr>
            <w:tcW w:w="1321" w:type="dxa"/>
          </w:tcPr>
          <w:p w:rsidR="00C64B1A" w:rsidRPr="00CD3A14" w:rsidRDefault="00C64B1A" w:rsidP="00C64B1A">
            <w:pPr>
              <w:pStyle w:val="AGRTableText"/>
              <w:tabs>
                <w:tab w:val="decimal" w:pos="811"/>
              </w:tabs>
            </w:pPr>
            <w:r w:rsidRPr="00CD3A14">
              <w:t>(5,191)</w:t>
            </w:r>
          </w:p>
        </w:tc>
      </w:tr>
      <w:tr w:rsidR="00C64B1A" w:rsidRPr="00CD3A14" w:rsidTr="00036669">
        <w:tc>
          <w:tcPr>
            <w:tcW w:w="4728" w:type="dxa"/>
            <w:tcBorders>
              <w:bottom w:val="single" w:sz="4" w:space="0" w:color="auto"/>
            </w:tcBorders>
          </w:tcPr>
          <w:p w:rsidR="00C64B1A" w:rsidRPr="00CD3A14" w:rsidRDefault="00C64B1A" w:rsidP="00C90BF2">
            <w:pPr>
              <w:pStyle w:val="AGRTableTextBold"/>
            </w:pPr>
            <w:r w:rsidRPr="00CD3A14">
              <w:t>Working capital</w:t>
            </w:r>
          </w:p>
        </w:tc>
        <w:tc>
          <w:tcPr>
            <w:tcW w:w="1322" w:type="dxa"/>
            <w:tcBorders>
              <w:bottom w:val="single" w:sz="4" w:space="0" w:color="auto"/>
            </w:tcBorders>
          </w:tcPr>
          <w:p w:rsidR="00C64B1A" w:rsidRPr="00CD3A14" w:rsidRDefault="00C65F45" w:rsidP="004C5492">
            <w:pPr>
              <w:pStyle w:val="AGRTableNumbersBold"/>
            </w:pPr>
            <w:r w:rsidRPr="00CD3A14">
              <w:t>12,971</w:t>
            </w:r>
          </w:p>
        </w:tc>
        <w:tc>
          <w:tcPr>
            <w:tcW w:w="1321" w:type="dxa"/>
            <w:tcBorders>
              <w:bottom w:val="single" w:sz="4" w:space="0" w:color="auto"/>
            </w:tcBorders>
          </w:tcPr>
          <w:p w:rsidR="00C64B1A" w:rsidRPr="00CD3A14" w:rsidRDefault="00C64B1A" w:rsidP="00C64B1A">
            <w:pPr>
              <w:pStyle w:val="AGRTableNumbersBold"/>
            </w:pPr>
            <w:r w:rsidRPr="00CD3A14">
              <w:t>12,964</w:t>
            </w:r>
          </w:p>
        </w:tc>
      </w:tr>
      <w:tr w:rsidR="00C64B1A" w:rsidRPr="00CD3A14" w:rsidTr="00036669">
        <w:tc>
          <w:tcPr>
            <w:tcW w:w="4728" w:type="dxa"/>
            <w:tcBorders>
              <w:top w:val="single" w:sz="4" w:space="0" w:color="auto"/>
            </w:tcBorders>
          </w:tcPr>
          <w:p w:rsidR="00C64B1A" w:rsidRPr="00CD3A14" w:rsidRDefault="00C64B1A" w:rsidP="00E8401B">
            <w:pPr>
              <w:pStyle w:val="AGRTableText"/>
            </w:pPr>
            <w:r w:rsidRPr="00CD3A14">
              <w:t>Add non current assets</w:t>
            </w:r>
          </w:p>
        </w:tc>
        <w:tc>
          <w:tcPr>
            <w:tcW w:w="1322" w:type="dxa"/>
            <w:tcBorders>
              <w:top w:val="single" w:sz="4" w:space="0" w:color="auto"/>
            </w:tcBorders>
          </w:tcPr>
          <w:p w:rsidR="00C64B1A" w:rsidRPr="00CD3A14" w:rsidRDefault="00C65F45" w:rsidP="00982C76">
            <w:pPr>
              <w:pStyle w:val="AGRTableText"/>
              <w:tabs>
                <w:tab w:val="decimal" w:pos="811"/>
              </w:tabs>
            </w:pPr>
            <w:r w:rsidRPr="00CD3A14">
              <w:t>34,166</w:t>
            </w:r>
          </w:p>
        </w:tc>
        <w:tc>
          <w:tcPr>
            <w:tcW w:w="1321" w:type="dxa"/>
            <w:tcBorders>
              <w:top w:val="single" w:sz="4" w:space="0" w:color="auto"/>
            </w:tcBorders>
          </w:tcPr>
          <w:p w:rsidR="00C64B1A" w:rsidRPr="00CD3A14" w:rsidRDefault="00C64B1A" w:rsidP="00C64B1A">
            <w:pPr>
              <w:pStyle w:val="AGRTableText"/>
              <w:tabs>
                <w:tab w:val="decimal" w:pos="811"/>
              </w:tabs>
            </w:pPr>
            <w:r w:rsidRPr="00CD3A14">
              <w:t>35,394</w:t>
            </w:r>
          </w:p>
        </w:tc>
      </w:tr>
      <w:tr w:rsidR="00C64B1A" w:rsidRPr="00CD3A14" w:rsidTr="00036669">
        <w:tc>
          <w:tcPr>
            <w:tcW w:w="4728" w:type="dxa"/>
          </w:tcPr>
          <w:p w:rsidR="00C64B1A" w:rsidRPr="00CD3A14" w:rsidRDefault="00C64B1A" w:rsidP="00C90BF2">
            <w:pPr>
              <w:pStyle w:val="AGRTableText"/>
            </w:pPr>
          </w:p>
        </w:tc>
        <w:tc>
          <w:tcPr>
            <w:tcW w:w="1322" w:type="dxa"/>
          </w:tcPr>
          <w:p w:rsidR="00C64B1A" w:rsidRPr="00CD3A14" w:rsidRDefault="00C65F45" w:rsidP="00C65F45">
            <w:pPr>
              <w:pStyle w:val="AGRTableNumbers"/>
            </w:pPr>
            <w:r w:rsidRPr="00CD3A14">
              <w:t>47,137</w:t>
            </w:r>
          </w:p>
        </w:tc>
        <w:tc>
          <w:tcPr>
            <w:tcW w:w="1321" w:type="dxa"/>
          </w:tcPr>
          <w:p w:rsidR="00C64B1A" w:rsidRPr="00CD3A14" w:rsidRDefault="00C64B1A" w:rsidP="00C64B1A">
            <w:pPr>
              <w:pStyle w:val="AGRTableNumbers"/>
            </w:pPr>
            <w:r w:rsidRPr="00CD3A14">
              <w:t>48,358</w:t>
            </w:r>
          </w:p>
        </w:tc>
      </w:tr>
      <w:tr w:rsidR="00C64B1A" w:rsidRPr="00CD3A14" w:rsidTr="00036669">
        <w:tc>
          <w:tcPr>
            <w:tcW w:w="4728" w:type="dxa"/>
          </w:tcPr>
          <w:p w:rsidR="00C64B1A" w:rsidRPr="00CD3A14" w:rsidRDefault="00C64B1A" w:rsidP="00E8401B">
            <w:pPr>
              <w:pStyle w:val="AGRTableText"/>
            </w:pPr>
            <w:r w:rsidRPr="00CD3A14">
              <w:t>Less non current liabilities</w:t>
            </w:r>
          </w:p>
        </w:tc>
        <w:tc>
          <w:tcPr>
            <w:tcW w:w="1322" w:type="dxa"/>
          </w:tcPr>
          <w:p w:rsidR="00C64B1A" w:rsidRPr="00CD3A14" w:rsidRDefault="00C65F45" w:rsidP="00C65F45">
            <w:pPr>
              <w:pStyle w:val="AGRTableNumbers"/>
            </w:pPr>
            <w:r w:rsidRPr="00CD3A14">
              <w:t>(870)</w:t>
            </w:r>
          </w:p>
        </w:tc>
        <w:tc>
          <w:tcPr>
            <w:tcW w:w="1321" w:type="dxa"/>
          </w:tcPr>
          <w:p w:rsidR="00C64B1A" w:rsidRPr="00CD3A14" w:rsidRDefault="00C64B1A" w:rsidP="00C64B1A">
            <w:pPr>
              <w:pStyle w:val="AGRTableNumbers"/>
            </w:pPr>
            <w:r w:rsidRPr="00CD3A14">
              <w:t>(774)</w:t>
            </w:r>
          </w:p>
        </w:tc>
      </w:tr>
      <w:tr w:rsidR="00C64B1A" w:rsidRPr="00CD3A14" w:rsidTr="00036669">
        <w:tc>
          <w:tcPr>
            <w:tcW w:w="4728" w:type="dxa"/>
            <w:tcBorders>
              <w:bottom w:val="single" w:sz="4" w:space="0" w:color="auto"/>
            </w:tcBorders>
          </w:tcPr>
          <w:p w:rsidR="00C64B1A" w:rsidRPr="00CD3A14" w:rsidRDefault="00C64B1A" w:rsidP="00C90BF2">
            <w:pPr>
              <w:pStyle w:val="AGRTableTextBold"/>
            </w:pPr>
            <w:r w:rsidRPr="00CD3A14">
              <w:t>Net assets</w:t>
            </w:r>
          </w:p>
        </w:tc>
        <w:tc>
          <w:tcPr>
            <w:tcW w:w="1322" w:type="dxa"/>
            <w:tcBorders>
              <w:bottom w:val="single" w:sz="4" w:space="0" w:color="auto"/>
            </w:tcBorders>
          </w:tcPr>
          <w:p w:rsidR="00C64B1A" w:rsidRPr="00CD3A14" w:rsidRDefault="00C65F45" w:rsidP="00C65F45">
            <w:pPr>
              <w:pStyle w:val="AGRTableNumbersBold"/>
            </w:pPr>
            <w:r w:rsidRPr="00CD3A14">
              <w:t>46,267</w:t>
            </w:r>
          </w:p>
        </w:tc>
        <w:tc>
          <w:tcPr>
            <w:tcW w:w="1321" w:type="dxa"/>
            <w:tcBorders>
              <w:bottom w:val="single" w:sz="4" w:space="0" w:color="auto"/>
            </w:tcBorders>
          </w:tcPr>
          <w:p w:rsidR="00C64B1A" w:rsidRPr="00CD3A14" w:rsidRDefault="00C64B1A" w:rsidP="00C64B1A">
            <w:pPr>
              <w:pStyle w:val="AGRTableNumbersBold"/>
            </w:pPr>
            <w:r w:rsidRPr="00CD3A14">
              <w:t>47,584</w:t>
            </w:r>
          </w:p>
        </w:tc>
      </w:tr>
      <w:tr w:rsidR="00C64B1A" w:rsidRPr="00CD3A14" w:rsidTr="00036669">
        <w:tc>
          <w:tcPr>
            <w:tcW w:w="4728" w:type="dxa"/>
            <w:tcBorders>
              <w:top w:val="single" w:sz="4" w:space="0" w:color="auto"/>
            </w:tcBorders>
          </w:tcPr>
          <w:p w:rsidR="00C64B1A" w:rsidRPr="00CD3A14" w:rsidRDefault="00C64B1A" w:rsidP="00C90BF2">
            <w:pPr>
              <w:pStyle w:val="AGRTableText"/>
            </w:pPr>
            <w:r w:rsidRPr="00CD3A14">
              <w:t>Represented by:</w:t>
            </w:r>
          </w:p>
        </w:tc>
        <w:tc>
          <w:tcPr>
            <w:tcW w:w="1322" w:type="dxa"/>
            <w:tcBorders>
              <w:top w:val="single" w:sz="4" w:space="0" w:color="auto"/>
            </w:tcBorders>
          </w:tcPr>
          <w:p w:rsidR="00C64B1A" w:rsidRPr="00CD3A14" w:rsidRDefault="00C64B1A" w:rsidP="00C90BF2">
            <w:pPr>
              <w:pStyle w:val="AGRTableNumbers"/>
            </w:pPr>
          </w:p>
        </w:tc>
        <w:tc>
          <w:tcPr>
            <w:tcW w:w="1321" w:type="dxa"/>
            <w:tcBorders>
              <w:top w:val="single" w:sz="4" w:space="0" w:color="auto"/>
            </w:tcBorders>
          </w:tcPr>
          <w:p w:rsidR="00C64B1A" w:rsidRPr="00CD3A14" w:rsidRDefault="00C64B1A" w:rsidP="00C64B1A">
            <w:pPr>
              <w:pStyle w:val="AGRTableNumbers"/>
            </w:pPr>
          </w:p>
        </w:tc>
      </w:tr>
      <w:tr w:rsidR="00C64B1A" w:rsidRPr="00CD3A14" w:rsidTr="00036669">
        <w:tc>
          <w:tcPr>
            <w:tcW w:w="4728" w:type="dxa"/>
          </w:tcPr>
          <w:p w:rsidR="00C64B1A" w:rsidRPr="00CD3A14" w:rsidRDefault="00C64B1A" w:rsidP="00C90BF2">
            <w:pPr>
              <w:pStyle w:val="AGRTableText"/>
            </w:pPr>
            <w:r w:rsidRPr="00CD3A14">
              <w:t>Reserves</w:t>
            </w:r>
          </w:p>
        </w:tc>
        <w:tc>
          <w:tcPr>
            <w:tcW w:w="1322" w:type="dxa"/>
          </w:tcPr>
          <w:p w:rsidR="00C64B1A" w:rsidRPr="00CD3A14" w:rsidRDefault="00C65F45" w:rsidP="00C90BF2">
            <w:pPr>
              <w:pStyle w:val="AGRTableNumbers"/>
            </w:pPr>
            <w:r w:rsidRPr="00CD3A14">
              <w:t>30,393</w:t>
            </w:r>
          </w:p>
        </w:tc>
        <w:tc>
          <w:tcPr>
            <w:tcW w:w="1321" w:type="dxa"/>
          </w:tcPr>
          <w:p w:rsidR="00C64B1A" w:rsidRPr="00CD3A14" w:rsidRDefault="00C64B1A" w:rsidP="00C64B1A">
            <w:pPr>
              <w:pStyle w:val="AGRTableNumbers"/>
            </w:pPr>
            <w:r w:rsidRPr="00CD3A14">
              <w:t>30,393</w:t>
            </w:r>
          </w:p>
        </w:tc>
      </w:tr>
      <w:tr w:rsidR="00C64B1A" w:rsidRPr="00CD3A14" w:rsidTr="002A3C5B">
        <w:tc>
          <w:tcPr>
            <w:tcW w:w="4728" w:type="dxa"/>
          </w:tcPr>
          <w:p w:rsidR="00C64B1A" w:rsidRPr="00CD3A14" w:rsidRDefault="00C64B1A" w:rsidP="00E8401B">
            <w:pPr>
              <w:pStyle w:val="AGRTableText"/>
            </w:pPr>
            <w:r w:rsidRPr="00CD3A14">
              <w:t>Accumulated funds</w:t>
            </w:r>
          </w:p>
        </w:tc>
        <w:tc>
          <w:tcPr>
            <w:tcW w:w="1322" w:type="dxa"/>
          </w:tcPr>
          <w:p w:rsidR="00C64B1A" w:rsidRPr="00CD3A14" w:rsidRDefault="00C65F45" w:rsidP="00C90BF2">
            <w:pPr>
              <w:pStyle w:val="AGRTableNumbers"/>
            </w:pPr>
            <w:r w:rsidRPr="00CD3A14">
              <w:t>15,874</w:t>
            </w:r>
          </w:p>
        </w:tc>
        <w:tc>
          <w:tcPr>
            <w:tcW w:w="1321" w:type="dxa"/>
          </w:tcPr>
          <w:p w:rsidR="00C64B1A" w:rsidRPr="00CD3A14" w:rsidRDefault="00C64B1A" w:rsidP="00C64B1A">
            <w:pPr>
              <w:pStyle w:val="AGRTableNumbers"/>
            </w:pPr>
            <w:r w:rsidRPr="00CD3A14">
              <w:t>17,191</w:t>
            </w:r>
          </w:p>
        </w:tc>
      </w:tr>
      <w:tr w:rsidR="00C64B1A" w:rsidRPr="00CD3A14" w:rsidTr="002A3C5B">
        <w:tc>
          <w:tcPr>
            <w:tcW w:w="4728" w:type="dxa"/>
            <w:tcBorders>
              <w:bottom w:val="single" w:sz="4" w:space="0" w:color="auto"/>
            </w:tcBorders>
          </w:tcPr>
          <w:p w:rsidR="00C64B1A" w:rsidRPr="00CD3A14" w:rsidRDefault="00C64B1A" w:rsidP="00C90BF2">
            <w:pPr>
              <w:pStyle w:val="AGRTableTextBold"/>
            </w:pPr>
            <w:r w:rsidRPr="00CD3A14">
              <w:t>Equity</w:t>
            </w:r>
          </w:p>
        </w:tc>
        <w:tc>
          <w:tcPr>
            <w:tcW w:w="1322" w:type="dxa"/>
            <w:tcBorders>
              <w:bottom w:val="single" w:sz="4" w:space="0" w:color="auto"/>
            </w:tcBorders>
          </w:tcPr>
          <w:p w:rsidR="00C64B1A" w:rsidRPr="00CD3A14" w:rsidRDefault="00C65F45" w:rsidP="00D4750A">
            <w:pPr>
              <w:pStyle w:val="AGRTableNumbersBold"/>
            </w:pPr>
            <w:r w:rsidRPr="00CD3A14">
              <w:t>46,267</w:t>
            </w:r>
          </w:p>
        </w:tc>
        <w:tc>
          <w:tcPr>
            <w:tcW w:w="1321" w:type="dxa"/>
            <w:tcBorders>
              <w:bottom w:val="single" w:sz="4" w:space="0" w:color="auto"/>
            </w:tcBorders>
          </w:tcPr>
          <w:p w:rsidR="00C64B1A" w:rsidRPr="00CD3A14" w:rsidRDefault="00C64B1A" w:rsidP="00C64B1A">
            <w:pPr>
              <w:pStyle w:val="AGRTableNumbersBold"/>
            </w:pPr>
            <w:r w:rsidRPr="00CD3A14">
              <w:t>47,584</w:t>
            </w:r>
          </w:p>
        </w:tc>
      </w:tr>
    </w:tbl>
    <w:p w:rsidR="00617B80" w:rsidRPr="00617B80" w:rsidRDefault="00617B80" w:rsidP="00617B80">
      <w:pPr>
        <w:pStyle w:val="AGRBodyText"/>
        <w:rPr>
          <w:noProof w:val="0"/>
          <w:lang w:val="en-AU"/>
        </w:rPr>
      </w:pPr>
    </w:p>
    <w:p w:rsidR="00E207A1" w:rsidRPr="00CD3A14" w:rsidRDefault="00E207A1" w:rsidP="00C67DA8">
      <w:pPr>
        <w:pStyle w:val="AGRHeading1"/>
      </w:pPr>
      <w:bookmarkStart w:id="17" w:name="cdu_amenities"/>
      <w:r w:rsidRPr="00CD3A14">
        <w:t>CDU Amenities Limited</w:t>
      </w:r>
      <w:bookmarkEnd w:id="17"/>
    </w:p>
    <w:p w:rsidR="00E207A1" w:rsidRPr="00CD3A14" w:rsidRDefault="00E207A1" w:rsidP="00E207A1">
      <w:pPr>
        <w:pStyle w:val="AGRHeading2"/>
      </w:pPr>
      <w:bookmarkStart w:id="18" w:name="cdu_amenities_audit_title"/>
      <w:r w:rsidRPr="00CD3A14">
        <w:t xml:space="preserve">Audit findings and analysis of the financial statements for the year ended </w:t>
      </w:r>
      <w:r w:rsidR="00C64B1A" w:rsidRPr="00CD3A14">
        <w:t>31 December 2014</w:t>
      </w:r>
      <w:bookmarkEnd w:id="18"/>
    </w:p>
    <w:p w:rsidR="00E207A1" w:rsidRPr="00CD3A14" w:rsidRDefault="00E207A1" w:rsidP="00E207A1">
      <w:pPr>
        <w:pStyle w:val="AGRHeading3"/>
      </w:pPr>
      <w:r w:rsidRPr="00CD3A14">
        <w:t>Background</w:t>
      </w:r>
    </w:p>
    <w:p w:rsidR="00E207A1" w:rsidRPr="00CD3A14" w:rsidRDefault="00E74CE1" w:rsidP="0013400B">
      <w:pPr>
        <w:pStyle w:val="AGRBodyText"/>
        <w:rPr>
          <w:noProof w:val="0"/>
          <w:lang w:val="en-AU"/>
        </w:rPr>
      </w:pPr>
      <w:r w:rsidRPr="00CD3A14">
        <w:rPr>
          <w:noProof w:val="0"/>
          <w:lang w:val="en-AU"/>
        </w:rPr>
        <w:t>CDU Amenities Limited is a company limited by guarantee with the liability of each member being lim</w:t>
      </w:r>
      <w:r w:rsidR="00424226" w:rsidRPr="00CD3A14">
        <w:rPr>
          <w:noProof w:val="0"/>
          <w:lang w:val="en-AU"/>
        </w:rPr>
        <w:t>i</w:t>
      </w:r>
      <w:r w:rsidRPr="00CD3A14">
        <w:rPr>
          <w:noProof w:val="0"/>
          <w:lang w:val="en-AU"/>
        </w:rPr>
        <w:t xml:space="preserve">ted to an amount of $20. </w:t>
      </w:r>
      <w:r w:rsidR="000155C1" w:rsidRPr="00CD3A14">
        <w:rPr>
          <w:noProof w:val="0"/>
          <w:lang w:val="en-AU"/>
        </w:rPr>
        <w:t xml:space="preserve"> </w:t>
      </w:r>
      <w:r w:rsidRPr="00CD3A14">
        <w:rPr>
          <w:noProof w:val="0"/>
          <w:lang w:val="en-AU"/>
        </w:rPr>
        <w:t>The sole member of the company is Charles Darwin University.</w:t>
      </w:r>
    </w:p>
    <w:p w:rsidR="00E74CE1" w:rsidRPr="00CD3A14" w:rsidRDefault="00E74CE1" w:rsidP="0013400B">
      <w:pPr>
        <w:pStyle w:val="AGRBodyText"/>
        <w:rPr>
          <w:noProof w:val="0"/>
          <w:lang w:val="en-AU"/>
        </w:rPr>
      </w:pPr>
      <w:r w:rsidRPr="00CD3A14">
        <w:rPr>
          <w:noProof w:val="0"/>
          <w:lang w:val="en-AU"/>
        </w:rPr>
        <w:t xml:space="preserve">CDU Amenities Limited was formed in March 2007 to coordinate </w:t>
      </w:r>
      <w:r w:rsidR="00424226" w:rsidRPr="00CD3A14">
        <w:rPr>
          <w:noProof w:val="0"/>
          <w:lang w:val="en-AU"/>
        </w:rPr>
        <w:t xml:space="preserve">some </w:t>
      </w:r>
      <w:r w:rsidRPr="00CD3A14">
        <w:rPr>
          <w:noProof w:val="0"/>
          <w:lang w:val="en-AU"/>
        </w:rPr>
        <w:t>support</w:t>
      </w:r>
      <w:r w:rsidR="00424226" w:rsidRPr="00CD3A14">
        <w:rPr>
          <w:noProof w:val="0"/>
          <w:lang w:val="en-AU"/>
        </w:rPr>
        <w:t xml:space="preserve"> activities</w:t>
      </w:r>
      <w:r w:rsidRPr="00CD3A14">
        <w:rPr>
          <w:noProof w:val="0"/>
          <w:lang w:val="en-AU"/>
        </w:rPr>
        <w:t xml:space="preserve"> for students and student organisations</w:t>
      </w:r>
      <w:r w:rsidR="00AB0268" w:rsidRPr="00CD3A14">
        <w:rPr>
          <w:noProof w:val="0"/>
          <w:lang w:val="en-AU"/>
        </w:rPr>
        <w:t>.</w:t>
      </w:r>
    </w:p>
    <w:p w:rsidR="00E207A1" w:rsidRPr="00CD3A14" w:rsidRDefault="00E207A1" w:rsidP="00E207A1">
      <w:pPr>
        <w:pStyle w:val="AGRHeading3"/>
      </w:pPr>
      <w:r w:rsidRPr="00CD3A14">
        <w:t>Audit Opinion</w:t>
      </w:r>
    </w:p>
    <w:p w:rsidR="00E207A1" w:rsidRPr="00CD3A14" w:rsidRDefault="00E207A1" w:rsidP="0013400B">
      <w:pPr>
        <w:pStyle w:val="AGRBodyText"/>
        <w:rPr>
          <w:noProof w:val="0"/>
          <w:lang w:val="en-AU"/>
        </w:rPr>
      </w:pPr>
      <w:r w:rsidRPr="00CD3A14">
        <w:rPr>
          <w:noProof w:val="0"/>
          <w:lang w:val="en-AU"/>
        </w:rPr>
        <w:t xml:space="preserve">The audit of the financial statements of </w:t>
      </w:r>
      <w:r w:rsidR="00E74CE1" w:rsidRPr="00CD3A14">
        <w:rPr>
          <w:noProof w:val="0"/>
          <w:lang w:val="en-AU"/>
        </w:rPr>
        <w:t xml:space="preserve">CDU Amenities Limited for the year ended </w:t>
      </w:r>
      <w:r w:rsidR="00C64B1A" w:rsidRPr="00CD3A14">
        <w:rPr>
          <w:noProof w:val="0"/>
          <w:lang w:val="en-AU"/>
        </w:rPr>
        <w:t>31 December 2014</w:t>
      </w:r>
      <w:r w:rsidRPr="00CD3A14">
        <w:rPr>
          <w:noProof w:val="0"/>
          <w:lang w:val="en-AU"/>
        </w:rPr>
        <w:t xml:space="preserve"> resulted in an </w:t>
      </w:r>
      <w:r w:rsidR="006A1F59" w:rsidRPr="00CD3A14">
        <w:rPr>
          <w:noProof w:val="0"/>
          <w:lang w:val="en-AU"/>
        </w:rPr>
        <w:t>unmodified</w:t>
      </w:r>
      <w:r w:rsidRPr="00CD3A14">
        <w:rPr>
          <w:noProof w:val="0"/>
          <w:lang w:val="en-AU"/>
        </w:rPr>
        <w:t xml:space="preserve"> independent audit opinion.  That opinion was issued on </w:t>
      </w:r>
      <w:r w:rsidR="00226D93" w:rsidRPr="00CD3A14">
        <w:rPr>
          <w:noProof w:val="0"/>
          <w:lang w:val="en-AU"/>
        </w:rPr>
        <w:t>22 April 2015</w:t>
      </w:r>
      <w:r w:rsidRPr="00CD3A14">
        <w:rPr>
          <w:noProof w:val="0"/>
          <w:lang w:val="en-AU"/>
        </w:rPr>
        <w:t>.</w:t>
      </w:r>
    </w:p>
    <w:p w:rsidR="00E207A1" w:rsidRPr="00CD3A14" w:rsidRDefault="00E207A1" w:rsidP="00E207A1">
      <w:pPr>
        <w:pStyle w:val="AGRHeading3"/>
      </w:pPr>
      <w:r w:rsidRPr="00CD3A14">
        <w:t>Key Findings</w:t>
      </w:r>
    </w:p>
    <w:p w:rsidR="00E207A1" w:rsidRPr="00CD3A14" w:rsidRDefault="00E207A1" w:rsidP="00E207A1">
      <w:pPr>
        <w:pStyle w:val="AGRHeading4"/>
      </w:pPr>
      <w:r w:rsidRPr="00CD3A14">
        <w:t>Financial analysis</w:t>
      </w:r>
    </w:p>
    <w:p w:rsidR="00226D93" w:rsidRPr="00CD3A14" w:rsidRDefault="00226D93" w:rsidP="0013400B">
      <w:pPr>
        <w:pStyle w:val="AGRBodyText"/>
        <w:rPr>
          <w:noProof w:val="0"/>
          <w:lang w:val="en-AU"/>
        </w:rPr>
      </w:pPr>
      <w:r w:rsidRPr="00CD3A14">
        <w:rPr>
          <w:noProof w:val="0"/>
          <w:lang w:val="en-AU"/>
        </w:rPr>
        <w:t>The Company’s total revenue has increased from $399,270 in 2013 to $464,014 in 2014</w:t>
      </w:r>
      <w:r w:rsidR="00DA034A" w:rsidRPr="00CD3A14">
        <w:rPr>
          <w:noProof w:val="0"/>
          <w:lang w:val="en-AU"/>
        </w:rPr>
        <w:t xml:space="preserve"> largely </w:t>
      </w:r>
      <w:r w:rsidRPr="00CD3A14">
        <w:rPr>
          <w:noProof w:val="0"/>
          <w:lang w:val="en-AU"/>
        </w:rPr>
        <w:t>due to the increase in grant revenue received during the year compared to the prior year. Expenditure also increased from $418,991 in 2013 to $500,009 in 2014, mostly due to increased salary, wages and travel expenditure. The company incurred an operating loss for the year of $35,995.</w:t>
      </w:r>
    </w:p>
    <w:p w:rsidR="00226D93" w:rsidRPr="00CD3A14" w:rsidRDefault="00226D93" w:rsidP="00226D93">
      <w:pPr>
        <w:pStyle w:val="AGRHeading4"/>
      </w:pPr>
      <w:r w:rsidRPr="00CD3A14">
        <w:t>Going Concern:</w:t>
      </w:r>
    </w:p>
    <w:p w:rsidR="00226D93" w:rsidRPr="00CD3A14" w:rsidRDefault="00226D93" w:rsidP="0013400B">
      <w:pPr>
        <w:pStyle w:val="AGRBodyText"/>
        <w:rPr>
          <w:noProof w:val="0"/>
          <w:lang w:val="en-AU"/>
        </w:rPr>
      </w:pPr>
      <w:r w:rsidRPr="00CD3A14">
        <w:rPr>
          <w:noProof w:val="0"/>
          <w:lang w:val="en-AU"/>
        </w:rPr>
        <w:t xml:space="preserve">In addition to incurring an operating loss of $35,995 in the current year, the Company has net liabilities of $40,871 at year end. This means that current liabilities outweigh current assets at this date.  As such, the Company is dependent on continued financial support for its operations from Charles Darwin University, the parent entity. The parent entity has provided a letter of support to the Company stating that it will provide financial assistance to enable the payment of debts as and when they fall due. </w:t>
      </w:r>
    </w:p>
    <w:p w:rsidR="00226D93" w:rsidRPr="00CD3A14" w:rsidRDefault="00226D93" w:rsidP="0013400B">
      <w:pPr>
        <w:pStyle w:val="AGRBodyText"/>
        <w:rPr>
          <w:noProof w:val="0"/>
          <w:lang w:val="en-AU"/>
        </w:rPr>
      </w:pPr>
      <w:r w:rsidRPr="00CD3A14">
        <w:rPr>
          <w:noProof w:val="0"/>
          <w:lang w:val="en-AU"/>
        </w:rPr>
        <w:t xml:space="preserve">As a result of the parent undertaking to extend continued financial support to the Company and, in the absence of any other issues identified as a result of the audit, an unmodified audit opinion </w:t>
      </w:r>
      <w:r w:rsidR="004764F9">
        <w:rPr>
          <w:noProof w:val="0"/>
          <w:lang w:val="en-AU"/>
        </w:rPr>
        <w:t>was</w:t>
      </w:r>
      <w:r w:rsidRPr="00CD3A14">
        <w:rPr>
          <w:noProof w:val="0"/>
          <w:lang w:val="en-AU"/>
        </w:rPr>
        <w:t xml:space="preserve"> appropriate.</w:t>
      </w:r>
    </w:p>
    <w:p w:rsidR="00226D93" w:rsidRPr="00CD3A14" w:rsidRDefault="00226D93" w:rsidP="0013400B">
      <w:pPr>
        <w:pStyle w:val="AGRBodyText"/>
        <w:rPr>
          <w:noProof w:val="0"/>
          <w:lang w:val="en-AU"/>
        </w:rPr>
      </w:pPr>
      <w:r w:rsidRPr="00CD3A14">
        <w:rPr>
          <w:noProof w:val="0"/>
          <w:lang w:val="en-AU"/>
        </w:rPr>
        <w:t>Although support has been provided by the parent entity, the Company should assess the ongoing viability of its future operations.</w:t>
      </w:r>
    </w:p>
    <w:p w:rsidR="00E207A1" w:rsidRPr="00CD3A14" w:rsidRDefault="00E207A1" w:rsidP="00C67DA8">
      <w:pPr>
        <w:pStyle w:val="AGRHeading1"/>
      </w:pPr>
      <w:r w:rsidRPr="00CD3A14">
        <w:t xml:space="preserve">CDU Amenities Limited </w:t>
      </w:r>
      <w:proofErr w:type="spellStart"/>
      <w:r w:rsidRPr="00CD3A14">
        <w:t>cont</w:t>
      </w:r>
      <w:proofErr w:type="spellEnd"/>
      <w:r w:rsidRPr="00CD3A14">
        <w:t>…</w:t>
      </w:r>
    </w:p>
    <w:p w:rsidR="00E207A1" w:rsidRPr="00CD3A14" w:rsidRDefault="00E207A1" w:rsidP="00E207A1">
      <w:pPr>
        <w:pStyle w:val="AGRHeading3"/>
      </w:pPr>
      <w:r w:rsidRPr="00CD3A14">
        <w:t>Financial Performance for the year</w:t>
      </w:r>
    </w:p>
    <w:tbl>
      <w:tblPr>
        <w:tblW w:w="7654" w:type="dxa"/>
        <w:tblInd w:w="851" w:type="dxa"/>
        <w:tblLayout w:type="fixed"/>
        <w:tblLook w:val="01E0" w:firstRow="1" w:lastRow="1" w:firstColumn="1" w:lastColumn="1" w:noHBand="0" w:noVBand="0"/>
      </w:tblPr>
      <w:tblGrid>
        <w:gridCol w:w="4883"/>
        <w:gridCol w:w="1354"/>
        <w:gridCol w:w="1417"/>
      </w:tblGrid>
      <w:tr w:rsidR="00E207A1" w:rsidRPr="00CD3A14" w:rsidTr="0094455B">
        <w:tc>
          <w:tcPr>
            <w:tcW w:w="4883" w:type="dxa"/>
            <w:tcBorders>
              <w:bottom w:val="single" w:sz="4" w:space="0" w:color="auto"/>
            </w:tcBorders>
          </w:tcPr>
          <w:p w:rsidR="00E207A1" w:rsidRPr="00CD3A14" w:rsidRDefault="00E207A1" w:rsidP="0094455B">
            <w:pPr>
              <w:pStyle w:val="AGRTableText"/>
              <w:keepNext/>
              <w:ind w:left="720" w:hanging="720"/>
            </w:pPr>
          </w:p>
        </w:tc>
        <w:tc>
          <w:tcPr>
            <w:tcW w:w="1354" w:type="dxa"/>
            <w:tcBorders>
              <w:bottom w:val="single" w:sz="4" w:space="0" w:color="auto"/>
            </w:tcBorders>
          </w:tcPr>
          <w:p w:rsidR="00E207A1" w:rsidRPr="00CD3A14" w:rsidRDefault="00E207A1" w:rsidP="00C64B1A">
            <w:pPr>
              <w:pStyle w:val="AGRTableText"/>
              <w:jc w:val="center"/>
            </w:pPr>
            <w:r w:rsidRPr="00CD3A14">
              <w:t>201</w:t>
            </w:r>
            <w:r w:rsidR="00C64B1A" w:rsidRPr="00CD3A14">
              <w:t>4</w:t>
            </w:r>
          </w:p>
        </w:tc>
        <w:tc>
          <w:tcPr>
            <w:tcW w:w="1417" w:type="dxa"/>
            <w:tcBorders>
              <w:bottom w:val="single" w:sz="4" w:space="0" w:color="auto"/>
            </w:tcBorders>
          </w:tcPr>
          <w:p w:rsidR="00E207A1" w:rsidRPr="00CD3A14" w:rsidRDefault="00E207A1" w:rsidP="00C64B1A">
            <w:pPr>
              <w:pStyle w:val="AGRTableText"/>
              <w:jc w:val="center"/>
            </w:pPr>
            <w:r w:rsidRPr="00CD3A14">
              <w:t>20</w:t>
            </w:r>
            <w:r w:rsidR="00C64B1A" w:rsidRPr="00CD3A14">
              <w:t>13</w:t>
            </w:r>
          </w:p>
        </w:tc>
      </w:tr>
      <w:tr w:rsidR="00E207A1" w:rsidRPr="00CD3A14" w:rsidTr="0094455B">
        <w:tc>
          <w:tcPr>
            <w:tcW w:w="4883" w:type="dxa"/>
            <w:tcBorders>
              <w:top w:val="single" w:sz="4" w:space="0" w:color="auto"/>
            </w:tcBorders>
          </w:tcPr>
          <w:p w:rsidR="00E207A1" w:rsidRPr="00CD3A14" w:rsidRDefault="00E207A1" w:rsidP="0094455B">
            <w:pPr>
              <w:pStyle w:val="AGRTableText"/>
              <w:keepNext/>
              <w:ind w:left="720" w:hanging="720"/>
            </w:pPr>
          </w:p>
        </w:tc>
        <w:tc>
          <w:tcPr>
            <w:tcW w:w="1354" w:type="dxa"/>
            <w:tcBorders>
              <w:top w:val="single" w:sz="4" w:space="0" w:color="auto"/>
            </w:tcBorders>
          </w:tcPr>
          <w:p w:rsidR="00E207A1" w:rsidRPr="00CD3A14" w:rsidRDefault="00E207A1" w:rsidP="0094455B">
            <w:pPr>
              <w:pStyle w:val="AGRTableText"/>
              <w:jc w:val="center"/>
            </w:pPr>
            <w:r w:rsidRPr="00CD3A14">
              <w:t>$’000</w:t>
            </w:r>
          </w:p>
        </w:tc>
        <w:tc>
          <w:tcPr>
            <w:tcW w:w="1417" w:type="dxa"/>
            <w:tcBorders>
              <w:top w:val="single" w:sz="4" w:space="0" w:color="auto"/>
            </w:tcBorders>
          </w:tcPr>
          <w:p w:rsidR="00E207A1" w:rsidRPr="00CD3A14" w:rsidRDefault="00E207A1" w:rsidP="0094455B">
            <w:pPr>
              <w:pStyle w:val="AGRTableText"/>
              <w:jc w:val="center"/>
            </w:pPr>
            <w:r w:rsidRPr="00CD3A14">
              <w:t>$’000</w:t>
            </w:r>
          </w:p>
        </w:tc>
      </w:tr>
      <w:tr w:rsidR="00E207A1" w:rsidRPr="00CD3A14" w:rsidTr="0094455B">
        <w:tc>
          <w:tcPr>
            <w:tcW w:w="4883" w:type="dxa"/>
          </w:tcPr>
          <w:p w:rsidR="00E207A1" w:rsidRPr="00CD3A14" w:rsidRDefault="00E207A1" w:rsidP="0094455B">
            <w:pPr>
              <w:pStyle w:val="AGRTableText"/>
              <w:rPr>
                <w:b/>
                <w:bCs/>
              </w:rPr>
            </w:pPr>
            <w:r w:rsidRPr="00CD3A14">
              <w:rPr>
                <w:b/>
                <w:bCs/>
              </w:rPr>
              <w:t xml:space="preserve">Revenue from ordinary activities </w:t>
            </w:r>
          </w:p>
        </w:tc>
        <w:tc>
          <w:tcPr>
            <w:tcW w:w="1354" w:type="dxa"/>
          </w:tcPr>
          <w:p w:rsidR="00E207A1" w:rsidRPr="00CD3A14" w:rsidRDefault="00E207A1" w:rsidP="0094455B">
            <w:pPr>
              <w:pStyle w:val="AGRTableNumbers"/>
              <w:tabs>
                <w:tab w:val="decimal" w:pos="1070"/>
              </w:tabs>
              <w:ind w:right="170"/>
            </w:pPr>
          </w:p>
        </w:tc>
        <w:tc>
          <w:tcPr>
            <w:tcW w:w="1417" w:type="dxa"/>
          </w:tcPr>
          <w:p w:rsidR="00E207A1" w:rsidRPr="00CD3A14" w:rsidRDefault="00E207A1" w:rsidP="0094455B">
            <w:pPr>
              <w:pStyle w:val="AGRTableNumbers"/>
              <w:tabs>
                <w:tab w:val="decimal" w:pos="1070"/>
              </w:tabs>
              <w:ind w:right="170"/>
            </w:pPr>
          </w:p>
        </w:tc>
      </w:tr>
      <w:tr w:rsidR="00C64B1A" w:rsidRPr="00CD3A14" w:rsidTr="0094455B">
        <w:tc>
          <w:tcPr>
            <w:tcW w:w="4883" w:type="dxa"/>
          </w:tcPr>
          <w:p w:rsidR="00C64B1A" w:rsidRPr="00CD3A14" w:rsidRDefault="00C64B1A" w:rsidP="00E74CE1">
            <w:pPr>
              <w:pStyle w:val="AGRTableText"/>
            </w:pPr>
            <w:r w:rsidRPr="00CD3A14">
              <w:t>CDU grant</w:t>
            </w:r>
          </w:p>
        </w:tc>
        <w:tc>
          <w:tcPr>
            <w:tcW w:w="1354" w:type="dxa"/>
          </w:tcPr>
          <w:p w:rsidR="00C64B1A" w:rsidRPr="00CD3A14" w:rsidRDefault="00226D93" w:rsidP="0094455B">
            <w:pPr>
              <w:pStyle w:val="AGRTableNumbersBold"/>
              <w:tabs>
                <w:tab w:val="clear" w:pos="811"/>
                <w:tab w:val="decimal" w:pos="1106"/>
              </w:tabs>
              <w:rPr>
                <w:b w:val="0"/>
              </w:rPr>
            </w:pPr>
            <w:r w:rsidRPr="00CD3A14">
              <w:rPr>
                <w:b w:val="0"/>
              </w:rPr>
              <w:t>184</w:t>
            </w:r>
          </w:p>
        </w:tc>
        <w:tc>
          <w:tcPr>
            <w:tcW w:w="1417" w:type="dxa"/>
          </w:tcPr>
          <w:p w:rsidR="00C64B1A" w:rsidRPr="00CD3A14" w:rsidRDefault="00C64B1A" w:rsidP="00C64B1A">
            <w:pPr>
              <w:pStyle w:val="AGRTableNumbersBold"/>
              <w:tabs>
                <w:tab w:val="clear" w:pos="811"/>
                <w:tab w:val="decimal" w:pos="1106"/>
              </w:tabs>
              <w:rPr>
                <w:b w:val="0"/>
              </w:rPr>
            </w:pPr>
            <w:r w:rsidRPr="00CD3A14">
              <w:rPr>
                <w:b w:val="0"/>
              </w:rPr>
              <w:t>119</w:t>
            </w:r>
          </w:p>
        </w:tc>
      </w:tr>
      <w:tr w:rsidR="00C64B1A" w:rsidRPr="00CD3A14" w:rsidTr="0094455B">
        <w:tc>
          <w:tcPr>
            <w:tcW w:w="4883" w:type="dxa"/>
          </w:tcPr>
          <w:p w:rsidR="00C64B1A" w:rsidRPr="00CD3A14" w:rsidRDefault="00C64B1A" w:rsidP="0094455B">
            <w:pPr>
              <w:pStyle w:val="AGRTableText"/>
            </w:pPr>
            <w:r w:rsidRPr="00CD3A14">
              <w:t>Gym sales</w:t>
            </w:r>
          </w:p>
        </w:tc>
        <w:tc>
          <w:tcPr>
            <w:tcW w:w="1354" w:type="dxa"/>
          </w:tcPr>
          <w:p w:rsidR="00C64B1A" w:rsidRPr="00CD3A14" w:rsidRDefault="00226D93" w:rsidP="0094455B">
            <w:pPr>
              <w:pStyle w:val="AGRTableNumbersBold"/>
              <w:tabs>
                <w:tab w:val="clear" w:pos="811"/>
                <w:tab w:val="decimal" w:pos="1106"/>
              </w:tabs>
              <w:rPr>
                <w:b w:val="0"/>
              </w:rPr>
            </w:pPr>
            <w:r w:rsidRPr="00CD3A14">
              <w:rPr>
                <w:b w:val="0"/>
              </w:rPr>
              <w:t>237</w:t>
            </w:r>
          </w:p>
        </w:tc>
        <w:tc>
          <w:tcPr>
            <w:tcW w:w="1417" w:type="dxa"/>
          </w:tcPr>
          <w:p w:rsidR="00C64B1A" w:rsidRPr="00CD3A14" w:rsidRDefault="00C64B1A" w:rsidP="00C64B1A">
            <w:pPr>
              <w:pStyle w:val="AGRTableNumbersBold"/>
              <w:tabs>
                <w:tab w:val="clear" w:pos="811"/>
                <w:tab w:val="decimal" w:pos="1106"/>
              </w:tabs>
              <w:rPr>
                <w:b w:val="0"/>
              </w:rPr>
            </w:pPr>
            <w:r w:rsidRPr="00CD3A14">
              <w:rPr>
                <w:b w:val="0"/>
              </w:rPr>
              <w:t>225</w:t>
            </w:r>
          </w:p>
        </w:tc>
      </w:tr>
      <w:tr w:rsidR="00C64B1A" w:rsidRPr="00CD3A14" w:rsidTr="0094455B">
        <w:tc>
          <w:tcPr>
            <w:tcW w:w="4883" w:type="dxa"/>
          </w:tcPr>
          <w:p w:rsidR="00C64B1A" w:rsidRPr="00CD3A14" w:rsidRDefault="00C64B1A" w:rsidP="00E74CE1">
            <w:pPr>
              <w:pStyle w:val="AGRTableText"/>
            </w:pPr>
            <w:r w:rsidRPr="00CD3A14">
              <w:t xml:space="preserve">Other </w:t>
            </w:r>
          </w:p>
        </w:tc>
        <w:tc>
          <w:tcPr>
            <w:tcW w:w="1354" w:type="dxa"/>
          </w:tcPr>
          <w:p w:rsidR="00C64B1A" w:rsidRPr="00CD3A14" w:rsidRDefault="00226D93" w:rsidP="0094455B">
            <w:pPr>
              <w:pStyle w:val="AGRTableNumbersBold"/>
              <w:tabs>
                <w:tab w:val="clear" w:pos="811"/>
                <w:tab w:val="decimal" w:pos="1106"/>
              </w:tabs>
              <w:rPr>
                <w:b w:val="0"/>
              </w:rPr>
            </w:pPr>
            <w:r w:rsidRPr="00CD3A14">
              <w:rPr>
                <w:b w:val="0"/>
              </w:rPr>
              <w:t>43</w:t>
            </w:r>
          </w:p>
        </w:tc>
        <w:tc>
          <w:tcPr>
            <w:tcW w:w="1417" w:type="dxa"/>
          </w:tcPr>
          <w:p w:rsidR="00C64B1A" w:rsidRPr="00CD3A14" w:rsidRDefault="00C64B1A" w:rsidP="00C64B1A">
            <w:pPr>
              <w:pStyle w:val="AGRTableNumbersBold"/>
              <w:tabs>
                <w:tab w:val="clear" w:pos="811"/>
                <w:tab w:val="decimal" w:pos="1106"/>
              </w:tabs>
              <w:rPr>
                <w:b w:val="0"/>
              </w:rPr>
            </w:pPr>
            <w:r w:rsidRPr="00CD3A14">
              <w:rPr>
                <w:b w:val="0"/>
              </w:rPr>
              <w:t>55</w:t>
            </w:r>
          </w:p>
        </w:tc>
      </w:tr>
      <w:tr w:rsidR="00C64B1A" w:rsidRPr="00CD3A14" w:rsidTr="0094455B">
        <w:tc>
          <w:tcPr>
            <w:tcW w:w="4883" w:type="dxa"/>
            <w:tcBorders>
              <w:bottom w:val="single" w:sz="4" w:space="0" w:color="auto"/>
            </w:tcBorders>
          </w:tcPr>
          <w:p w:rsidR="00C64B1A" w:rsidRPr="00CD3A14" w:rsidRDefault="00C64B1A" w:rsidP="0094455B">
            <w:pPr>
              <w:pStyle w:val="AGRTableText"/>
              <w:rPr>
                <w:b/>
                <w:bCs/>
              </w:rPr>
            </w:pPr>
            <w:r w:rsidRPr="00CD3A14">
              <w:rPr>
                <w:b/>
                <w:bCs/>
              </w:rPr>
              <w:t xml:space="preserve">Total revenue from ordinary activities </w:t>
            </w:r>
          </w:p>
        </w:tc>
        <w:tc>
          <w:tcPr>
            <w:tcW w:w="1354" w:type="dxa"/>
            <w:tcBorders>
              <w:bottom w:val="single" w:sz="4" w:space="0" w:color="auto"/>
            </w:tcBorders>
          </w:tcPr>
          <w:p w:rsidR="00C64B1A" w:rsidRPr="00CD3A14" w:rsidRDefault="00226D93" w:rsidP="00226D93">
            <w:pPr>
              <w:pStyle w:val="AGRTableNumbersBold"/>
              <w:tabs>
                <w:tab w:val="clear" w:pos="811"/>
                <w:tab w:val="decimal" w:pos="1106"/>
              </w:tabs>
            </w:pPr>
            <w:r w:rsidRPr="00CD3A14">
              <w:t>464</w:t>
            </w:r>
          </w:p>
        </w:tc>
        <w:tc>
          <w:tcPr>
            <w:tcW w:w="1417" w:type="dxa"/>
            <w:tcBorders>
              <w:bottom w:val="single" w:sz="4" w:space="0" w:color="auto"/>
            </w:tcBorders>
          </w:tcPr>
          <w:p w:rsidR="00C64B1A" w:rsidRPr="00CD3A14" w:rsidRDefault="00226D93" w:rsidP="00C64B1A">
            <w:pPr>
              <w:pStyle w:val="AGRTableNumbersBold"/>
              <w:tabs>
                <w:tab w:val="clear" w:pos="811"/>
                <w:tab w:val="decimal" w:pos="1106"/>
              </w:tabs>
            </w:pPr>
            <w:r w:rsidRPr="00CD3A14">
              <w:t>399</w:t>
            </w:r>
          </w:p>
        </w:tc>
      </w:tr>
      <w:tr w:rsidR="00C64B1A" w:rsidRPr="00CD3A14" w:rsidTr="0094455B">
        <w:tc>
          <w:tcPr>
            <w:tcW w:w="4883" w:type="dxa"/>
            <w:tcBorders>
              <w:top w:val="single" w:sz="4" w:space="0" w:color="auto"/>
            </w:tcBorders>
          </w:tcPr>
          <w:p w:rsidR="00C64B1A" w:rsidRPr="00CD3A14" w:rsidRDefault="00C64B1A" w:rsidP="0094455B">
            <w:pPr>
              <w:pStyle w:val="AGRTableText"/>
              <w:rPr>
                <w:b/>
                <w:bCs/>
              </w:rPr>
            </w:pPr>
            <w:r w:rsidRPr="00CD3A14">
              <w:rPr>
                <w:b/>
                <w:bCs/>
              </w:rPr>
              <w:t xml:space="preserve">Less expenses from ordinary activities </w:t>
            </w:r>
          </w:p>
        </w:tc>
        <w:tc>
          <w:tcPr>
            <w:tcW w:w="1354" w:type="dxa"/>
            <w:tcBorders>
              <w:top w:val="single" w:sz="4" w:space="0" w:color="auto"/>
            </w:tcBorders>
          </w:tcPr>
          <w:p w:rsidR="00C64B1A" w:rsidRPr="00CD3A14" w:rsidRDefault="00C64B1A" w:rsidP="0094455B">
            <w:pPr>
              <w:pStyle w:val="AGRTableNumbersBold"/>
              <w:tabs>
                <w:tab w:val="clear" w:pos="811"/>
                <w:tab w:val="decimal" w:pos="1106"/>
              </w:tabs>
            </w:pPr>
          </w:p>
        </w:tc>
        <w:tc>
          <w:tcPr>
            <w:tcW w:w="1417" w:type="dxa"/>
            <w:tcBorders>
              <w:top w:val="single" w:sz="4" w:space="0" w:color="auto"/>
            </w:tcBorders>
          </w:tcPr>
          <w:p w:rsidR="00C64B1A" w:rsidRPr="00CD3A14" w:rsidRDefault="00C64B1A" w:rsidP="00C64B1A">
            <w:pPr>
              <w:pStyle w:val="AGRTableNumbersBold"/>
              <w:tabs>
                <w:tab w:val="clear" w:pos="811"/>
                <w:tab w:val="decimal" w:pos="1106"/>
              </w:tabs>
            </w:pPr>
          </w:p>
        </w:tc>
      </w:tr>
      <w:tr w:rsidR="00C64B1A" w:rsidRPr="00CD3A14" w:rsidTr="0094455B">
        <w:tc>
          <w:tcPr>
            <w:tcW w:w="4883" w:type="dxa"/>
          </w:tcPr>
          <w:p w:rsidR="00C64B1A" w:rsidRPr="00CD3A14" w:rsidRDefault="00C64B1A" w:rsidP="0094455B">
            <w:pPr>
              <w:pStyle w:val="AGRTableText"/>
            </w:pPr>
            <w:r w:rsidRPr="00CD3A14">
              <w:t>Employee related costs</w:t>
            </w:r>
          </w:p>
        </w:tc>
        <w:tc>
          <w:tcPr>
            <w:tcW w:w="1354" w:type="dxa"/>
          </w:tcPr>
          <w:p w:rsidR="00C64B1A" w:rsidRPr="00CD3A14" w:rsidRDefault="00226D93" w:rsidP="0094455B">
            <w:pPr>
              <w:pStyle w:val="AGRTableNumbersBold"/>
              <w:tabs>
                <w:tab w:val="clear" w:pos="811"/>
                <w:tab w:val="decimal" w:pos="1106"/>
              </w:tabs>
              <w:rPr>
                <w:b w:val="0"/>
              </w:rPr>
            </w:pPr>
            <w:r w:rsidRPr="00CD3A14">
              <w:rPr>
                <w:b w:val="0"/>
              </w:rPr>
              <w:t>(353)</w:t>
            </w:r>
          </w:p>
        </w:tc>
        <w:tc>
          <w:tcPr>
            <w:tcW w:w="1417" w:type="dxa"/>
          </w:tcPr>
          <w:p w:rsidR="00C64B1A" w:rsidRPr="00CD3A14" w:rsidRDefault="00C64B1A" w:rsidP="00C64B1A">
            <w:pPr>
              <w:pStyle w:val="AGRTableNumbersBold"/>
              <w:tabs>
                <w:tab w:val="clear" w:pos="811"/>
                <w:tab w:val="decimal" w:pos="1106"/>
              </w:tabs>
              <w:rPr>
                <w:b w:val="0"/>
              </w:rPr>
            </w:pPr>
            <w:r w:rsidRPr="00CD3A14">
              <w:rPr>
                <w:b w:val="0"/>
              </w:rPr>
              <w:t>(259)</w:t>
            </w:r>
          </w:p>
        </w:tc>
      </w:tr>
      <w:tr w:rsidR="00C64B1A" w:rsidRPr="00CD3A14" w:rsidTr="0094455B">
        <w:tc>
          <w:tcPr>
            <w:tcW w:w="4883" w:type="dxa"/>
          </w:tcPr>
          <w:p w:rsidR="00C64B1A" w:rsidRPr="00CD3A14" w:rsidRDefault="00C64B1A" w:rsidP="0094455B">
            <w:pPr>
              <w:pStyle w:val="AGRTableText"/>
            </w:pPr>
            <w:r w:rsidRPr="00CD3A14">
              <w:t>Administration, operational and other expenses</w:t>
            </w:r>
          </w:p>
        </w:tc>
        <w:tc>
          <w:tcPr>
            <w:tcW w:w="1354" w:type="dxa"/>
          </w:tcPr>
          <w:p w:rsidR="00C64B1A" w:rsidRPr="00CD3A14" w:rsidRDefault="00226D93" w:rsidP="0094455B">
            <w:pPr>
              <w:pStyle w:val="AGRTableNumbersBold"/>
              <w:tabs>
                <w:tab w:val="clear" w:pos="811"/>
                <w:tab w:val="decimal" w:pos="1106"/>
              </w:tabs>
              <w:rPr>
                <w:b w:val="0"/>
              </w:rPr>
            </w:pPr>
            <w:r w:rsidRPr="00CD3A14">
              <w:rPr>
                <w:b w:val="0"/>
              </w:rPr>
              <w:t>(147)</w:t>
            </w:r>
          </w:p>
        </w:tc>
        <w:tc>
          <w:tcPr>
            <w:tcW w:w="1417" w:type="dxa"/>
          </w:tcPr>
          <w:p w:rsidR="00C64B1A" w:rsidRPr="00CD3A14" w:rsidRDefault="00C64B1A" w:rsidP="00C64B1A">
            <w:pPr>
              <w:pStyle w:val="AGRTableNumbersBold"/>
              <w:tabs>
                <w:tab w:val="clear" w:pos="811"/>
                <w:tab w:val="decimal" w:pos="1106"/>
              </w:tabs>
              <w:rPr>
                <w:b w:val="0"/>
              </w:rPr>
            </w:pPr>
            <w:r w:rsidRPr="00CD3A14">
              <w:rPr>
                <w:b w:val="0"/>
              </w:rPr>
              <w:t>(160)</w:t>
            </w:r>
          </w:p>
        </w:tc>
      </w:tr>
      <w:tr w:rsidR="00C64B1A" w:rsidRPr="00CD3A14" w:rsidTr="0094455B">
        <w:tc>
          <w:tcPr>
            <w:tcW w:w="4883" w:type="dxa"/>
            <w:tcBorders>
              <w:bottom w:val="single" w:sz="4" w:space="0" w:color="auto"/>
            </w:tcBorders>
          </w:tcPr>
          <w:p w:rsidR="00C64B1A" w:rsidRPr="00CD3A14" w:rsidRDefault="00C64B1A" w:rsidP="0094455B">
            <w:pPr>
              <w:pStyle w:val="AGRTableText"/>
              <w:rPr>
                <w:b/>
                <w:bCs/>
              </w:rPr>
            </w:pPr>
            <w:r w:rsidRPr="00CD3A14">
              <w:rPr>
                <w:b/>
                <w:bCs/>
              </w:rPr>
              <w:t xml:space="preserve">Total expenses from ordinary activities </w:t>
            </w:r>
          </w:p>
        </w:tc>
        <w:tc>
          <w:tcPr>
            <w:tcW w:w="1354" w:type="dxa"/>
            <w:tcBorders>
              <w:bottom w:val="single" w:sz="4" w:space="0" w:color="auto"/>
            </w:tcBorders>
          </w:tcPr>
          <w:p w:rsidR="00C64B1A" w:rsidRPr="00CD3A14" w:rsidRDefault="00226D93" w:rsidP="0094455B">
            <w:pPr>
              <w:pStyle w:val="AGRTableNumbersBold"/>
              <w:tabs>
                <w:tab w:val="clear" w:pos="811"/>
                <w:tab w:val="decimal" w:pos="1106"/>
              </w:tabs>
            </w:pPr>
            <w:r w:rsidRPr="00CD3A14">
              <w:t>(500)</w:t>
            </w:r>
          </w:p>
        </w:tc>
        <w:tc>
          <w:tcPr>
            <w:tcW w:w="1417" w:type="dxa"/>
            <w:tcBorders>
              <w:bottom w:val="single" w:sz="4" w:space="0" w:color="auto"/>
            </w:tcBorders>
          </w:tcPr>
          <w:p w:rsidR="00C64B1A" w:rsidRPr="00CD3A14" w:rsidRDefault="00C64B1A" w:rsidP="00C64B1A">
            <w:pPr>
              <w:pStyle w:val="AGRTableNumbersBold"/>
              <w:tabs>
                <w:tab w:val="clear" w:pos="811"/>
                <w:tab w:val="decimal" w:pos="1106"/>
              </w:tabs>
            </w:pPr>
            <w:r w:rsidRPr="00CD3A14">
              <w:t>(419)</w:t>
            </w:r>
          </w:p>
        </w:tc>
      </w:tr>
      <w:tr w:rsidR="00C64B1A" w:rsidRPr="00CD3A14" w:rsidTr="0094455B">
        <w:tc>
          <w:tcPr>
            <w:tcW w:w="4883" w:type="dxa"/>
            <w:tcBorders>
              <w:top w:val="single" w:sz="4" w:space="0" w:color="auto"/>
              <w:bottom w:val="single" w:sz="4" w:space="0" w:color="auto"/>
            </w:tcBorders>
          </w:tcPr>
          <w:p w:rsidR="00C64B1A" w:rsidRPr="00CD3A14" w:rsidRDefault="00C64B1A" w:rsidP="0094455B">
            <w:pPr>
              <w:pStyle w:val="AGRTableText"/>
              <w:rPr>
                <w:b/>
                <w:bCs/>
              </w:rPr>
            </w:pPr>
            <w:r w:rsidRPr="00CD3A14">
              <w:rPr>
                <w:b/>
                <w:bCs/>
              </w:rPr>
              <w:t>Operating result for the year</w:t>
            </w:r>
          </w:p>
        </w:tc>
        <w:tc>
          <w:tcPr>
            <w:tcW w:w="1354" w:type="dxa"/>
            <w:tcBorders>
              <w:top w:val="single" w:sz="4" w:space="0" w:color="auto"/>
              <w:bottom w:val="single" w:sz="4" w:space="0" w:color="auto"/>
            </w:tcBorders>
          </w:tcPr>
          <w:p w:rsidR="00C64B1A" w:rsidRPr="00CD3A14" w:rsidRDefault="00226D93" w:rsidP="0094455B">
            <w:pPr>
              <w:pStyle w:val="AGRTableNumbersBold"/>
              <w:tabs>
                <w:tab w:val="clear" w:pos="811"/>
                <w:tab w:val="decimal" w:pos="1106"/>
              </w:tabs>
            </w:pPr>
            <w:r w:rsidRPr="00CD3A14">
              <w:t>(36)</w:t>
            </w:r>
          </w:p>
        </w:tc>
        <w:tc>
          <w:tcPr>
            <w:tcW w:w="1417" w:type="dxa"/>
            <w:tcBorders>
              <w:top w:val="single" w:sz="4" w:space="0" w:color="auto"/>
              <w:bottom w:val="single" w:sz="4" w:space="0" w:color="auto"/>
            </w:tcBorders>
          </w:tcPr>
          <w:p w:rsidR="00C64B1A" w:rsidRPr="00CD3A14" w:rsidRDefault="00C64B1A" w:rsidP="00C64B1A">
            <w:pPr>
              <w:pStyle w:val="AGRTableNumbersBold"/>
              <w:tabs>
                <w:tab w:val="clear" w:pos="811"/>
                <w:tab w:val="decimal" w:pos="1106"/>
              </w:tabs>
            </w:pPr>
            <w:r w:rsidRPr="00CD3A14">
              <w:t>(20)</w:t>
            </w:r>
          </w:p>
        </w:tc>
      </w:tr>
    </w:tbl>
    <w:p w:rsidR="00E207A1" w:rsidRPr="00CD3A14" w:rsidRDefault="00E207A1" w:rsidP="0013400B">
      <w:pPr>
        <w:pStyle w:val="AGRBodyText"/>
        <w:rPr>
          <w:noProof w:val="0"/>
          <w:lang w:val="en-AU"/>
        </w:rPr>
      </w:pPr>
    </w:p>
    <w:p w:rsidR="00E207A1" w:rsidRPr="00CD3A14" w:rsidRDefault="00E207A1" w:rsidP="00C67DA8">
      <w:pPr>
        <w:pStyle w:val="AGRHeading1"/>
      </w:pPr>
      <w:r w:rsidRPr="00CD3A14">
        <w:t xml:space="preserve">CDU Amenities Limited </w:t>
      </w:r>
      <w:proofErr w:type="spellStart"/>
      <w:r w:rsidRPr="00CD3A14">
        <w:t>cont</w:t>
      </w:r>
      <w:proofErr w:type="spellEnd"/>
      <w:r w:rsidRPr="00CD3A14">
        <w:t>…</w:t>
      </w:r>
    </w:p>
    <w:p w:rsidR="00E207A1" w:rsidRPr="00CD3A14" w:rsidRDefault="00E207A1" w:rsidP="00E207A1">
      <w:pPr>
        <w:pStyle w:val="AGRHeading3"/>
      </w:pPr>
      <w:r w:rsidRPr="00CD3A14">
        <w:t>Financial Position at year end</w:t>
      </w:r>
    </w:p>
    <w:tbl>
      <w:tblPr>
        <w:tblW w:w="7371" w:type="dxa"/>
        <w:tblInd w:w="851" w:type="dxa"/>
        <w:tblLook w:val="01E0" w:firstRow="1" w:lastRow="1" w:firstColumn="1" w:lastColumn="1" w:noHBand="0" w:noVBand="0"/>
      </w:tblPr>
      <w:tblGrid>
        <w:gridCol w:w="4728"/>
        <w:gridCol w:w="1322"/>
        <w:gridCol w:w="1321"/>
      </w:tblGrid>
      <w:tr w:rsidR="00E207A1" w:rsidRPr="00CD3A14" w:rsidTr="0094455B">
        <w:tc>
          <w:tcPr>
            <w:tcW w:w="4728" w:type="dxa"/>
            <w:tcBorders>
              <w:bottom w:val="single" w:sz="4" w:space="0" w:color="auto"/>
            </w:tcBorders>
          </w:tcPr>
          <w:p w:rsidR="00E207A1" w:rsidRPr="00CD3A14" w:rsidRDefault="00E207A1" w:rsidP="0094455B">
            <w:pPr>
              <w:pStyle w:val="AGRTableText"/>
            </w:pPr>
          </w:p>
        </w:tc>
        <w:tc>
          <w:tcPr>
            <w:tcW w:w="1322" w:type="dxa"/>
            <w:tcBorders>
              <w:bottom w:val="single" w:sz="4" w:space="0" w:color="auto"/>
            </w:tcBorders>
          </w:tcPr>
          <w:p w:rsidR="00E207A1" w:rsidRPr="00CD3A14" w:rsidRDefault="00E207A1" w:rsidP="00C64B1A">
            <w:pPr>
              <w:pStyle w:val="AGRTableText"/>
              <w:tabs>
                <w:tab w:val="center" w:pos="570"/>
              </w:tabs>
            </w:pPr>
            <w:r w:rsidRPr="00CD3A14">
              <w:tab/>
              <w:t>201</w:t>
            </w:r>
            <w:r w:rsidR="00C64B1A" w:rsidRPr="00CD3A14">
              <w:t>4</w:t>
            </w:r>
          </w:p>
        </w:tc>
        <w:tc>
          <w:tcPr>
            <w:tcW w:w="1321" w:type="dxa"/>
            <w:tcBorders>
              <w:bottom w:val="single" w:sz="4" w:space="0" w:color="auto"/>
            </w:tcBorders>
          </w:tcPr>
          <w:p w:rsidR="00E207A1" w:rsidRPr="00CD3A14" w:rsidRDefault="00E207A1" w:rsidP="00C64B1A">
            <w:pPr>
              <w:pStyle w:val="AGRTableText"/>
              <w:tabs>
                <w:tab w:val="center" w:pos="570"/>
              </w:tabs>
            </w:pPr>
            <w:r w:rsidRPr="00CD3A14">
              <w:tab/>
              <w:t>201</w:t>
            </w:r>
            <w:r w:rsidR="00C64B1A" w:rsidRPr="00CD3A14">
              <w:t>3</w:t>
            </w:r>
          </w:p>
        </w:tc>
      </w:tr>
      <w:tr w:rsidR="00E207A1" w:rsidRPr="00CD3A14" w:rsidTr="0094455B">
        <w:tc>
          <w:tcPr>
            <w:tcW w:w="4728" w:type="dxa"/>
            <w:tcBorders>
              <w:top w:val="single" w:sz="4" w:space="0" w:color="auto"/>
            </w:tcBorders>
          </w:tcPr>
          <w:p w:rsidR="00E207A1" w:rsidRPr="00CD3A14" w:rsidRDefault="00E207A1" w:rsidP="0094455B">
            <w:pPr>
              <w:pStyle w:val="AGRTableText"/>
            </w:pPr>
          </w:p>
        </w:tc>
        <w:tc>
          <w:tcPr>
            <w:tcW w:w="1322" w:type="dxa"/>
            <w:tcBorders>
              <w:top w:val="single" w:sz="4" w:space="0" w:color="auto"/>
            </w:tcBorders>
          </w:tcPr>
          <w:p w:rsidR="00E207A1" w:rsidRPr="00CD3A14" w:rsidRDefault="00E207A1" w:rsidP="0094455B">
            <w:pPr>
              <w:pStyle w:val="AGRTableText"/>
              <w:tabs>
                <w:tab w:val="center" w:pos="570"/>
              </w:tabs>
            </w:pPr>
            <w:r w:rsidRPr="00CD3A14">
              <w:tab/>
              <w:t>$’000</w:t>
            </w:r>
          </w:p>
        </w:tc>
        <w:tc>
          <w:tcPr>
            <w:tcW w:w="1321" w:type="dxa"/>
            <w:tcBorders>
              <w:top w:val="single" w:sz="4" w:space="0" w:color="auto"/>
            </w:tcBorders>
          </w:tcPr>
          <w:p w:rsidR="00E207A1" w:rsidRPr="00CD3A14" w:rsidRDefault="00E207A1" w:rsidP="0094455B">
            <w:pPr>
              <w:pStyle w:val="AGRTableText"/>
              <w:tabs>
                <w:tab w:val="center" w:pos="570"/>
              </w:tabs>
            </w:pPr>
            <w:r w:rsidRPr="00CD3A14">
              <w:tab/>
              <w:t>$’000</w:t>
            </w:r>
          </w:p>
        </w:tc>
      </w:tr>
      <w:tr w:rsidR="00C64B1A" w:rsidRPr="00CD3A14" w:rsidTr="0094455B">
        <w:tc>
          <w:tcPr>
            <w:tcW w:w="4728" w:type="dxa"/>
          </w:tcPr>
          <w:p w:rsidR="00C64B1A" w:rsidRPr="00CD3A14" w:rsidRDefault="00C64B1A" w:rsidP="0094455B">
            <w:pPr>
              <w:pStyle w:val="AGRTableText"/>
            </w:pPr>
            <w:r w:rsidRPr="00CD3A14">
              <w:t>Current assets</w:t>
            </w:r>
          </w:p>
        </w:tc>
        <w:tc>
          <w:tcPr>
            <w:tcW w:w="1322" w:type="dxa"/>
          </w:tcPr>
          <w:p w:rsidR="00C64B1A" w:rsidRPr="00CD3A14" w:rsidRDefault="00226D93" w:rsidP="0094455B">
            <w:pPr>
              <w:pStyle w:val="AGRTableNumbers"/>
            </w:pPr>
            <w:r w:rsidRPr="00CD3A14">
              <w:t>47</w:t>
            </w:r>
          </w:p>
        </w:tc>
        <w:tc>
          <w:tcPr>
            <w:tcW w:w="1321" w:type="dxa"/>
          </w:tcPr>
          <w:p w:rsidR="00C64B1A" w:rsidRPr="00CD3A14" w:rsidRDefault="00C64B1A" w:rsidP="00C64B1A">
            <w:pPr>
              <w:pStyle w:val="AGRTableNumbers"/>
            </w:pPr>
            <w:r w:rsidRPr="00CD3A14">
              <w:t>62</w:t>
            </w:r>
          </w:p>
        </w:tc>
      </w:tr>
      <w:tr w:rsidR="00C64B1A" w:rsidRPr="00CD3A14" w:rsidTr="0094455B">
        <w:tc>
          <w:tcPr>
            <w:tcW w:w="4728" w:type="dxa"/>
          </w:tcPr>
          <w:p w:rsidR="00C64B1A" w:rsidRPr="00CD3A14" w:rsidRDefault="00C64B1A" w:rsidP="0094455B">
            <w:pPr>
              <w:pStyle w:val="AGRTableText"/>
            </w:pPr>
            <w:r w:rsidRPr="00CD3A14">
              <w:t>Less current liabilities</w:t>
            </w:r>
          </w:p>
        </w:tc>
        <w:tc>
          <w:tcPr>
            <w:tcW w:w="1322" w:type="dxa"/>
          </w:tcPr>
          <w:p w:rsidR="00C64B1A" w:rsidRPr="00CD3A14" w:rsidRDefault="00226D93" w:rsidP="0094455B">
            <w:pPr>
              <w:pStyle w:val="AGRTableText"/>
              <w:tabs>
                <w:tab w:val="decimal" w:pos="811"/>
              </w:tabs>
            </w:pPr>
            <w:r w:rsidRPr="00CD3A14">
              <w:t>(88)</w:t>
            </w:r>
          </w:p>
        </w:tc>
        <w:tc>
          <w:tcPr>
            <w:tcW w:w="1321" w:type="dxa"/>
          </w:tcPr>
          <w:p w:rsidR="00C64B1A" w:rsidRPr="00CD3A14" w:rsidRDefault="00C64B1A" w:rsidP="00C64B1A">
            <w:pPr>
              <w:pStyle w:val="AGRTableText"/>
              <w:tabs>
                <w:tab w:val="decimal" w:pos="811"/>
              </w:tabs>
            </w:pPr>
            <w:r w:rsidRPr="00CD3A14">
              <w:t>(67)</w:t>
            </w:r>
          </w:p>
        </w:tc>
      </w:tr>
      <w:tr w:rsidR="00C64B1A" w:rsidRPr="00CD3A14" w:rsidTr="0094455B">
        <w:tc>
          <w:tcPr>
            <w:tcW w:w="4728" w:type="dxa"/>
            <w:tcBorders>
              <w:bottom w:val="single" w:sz="4" w:space="0" w:color="auto"/>
            </w:tcBorders>
          </w:tcPr>
          <w:p w:rsidR="00C64B1A" w:rsidRPr="00CD3A14" w:rsidRDefault="00C64B1A" w:rsidP="0094455B">
            <w:pPr>
              <w:pStyle w:val="AGRTableTextBold"/>
            </w:pPr>
            <w:r w:rsidRPr="00CD3A14">
              <w:t>Working capital</w:t>
            </w:r>
          </w:p>
        </w:tc>
        <w:tc>
          <w:tcPr>
            <w:tcW w:w="1322" w:type="dxa"/>
            <w:tcBorders>
              <w:bottom w:val="single" w:sz="4" w:space="0" w:color="auto"/>
            </w:tcBorders>
          </w:tcPr>
          <w:p w:rsidR="00C64B1A" w:rsidRPr="00CD3A14" w:rsidRDefault="00226D93" w:rsidP="0094455B">
            <w:pPr>
              <w:pStyle w:val="AGRTableNumbersBold"/>
            </w:pPr>
            <w:r w:rsidRPr="00CD3A14">
              <w:t>(41)</w:t>
            </w:r>
          </w:p>
        </w:tc>
        <w:tc>
          <w:tcPr>
            <w:tcW w:w="1321" w:type="dxa"/>
            <w:tcBorders>
              <w:bottom w:val="single" w:sz="4" w:space="0" w:color="auto"/>
            </w:tcBorders>
          </w:tcPr>
          <w:p w:rsidR="00C64B1A" w:rsidRPr="00CD3A14" w:rsidRDefault="00C64B1A" w:rsidP="00C64B1A">
            <w:pPr>
              <w:pStyle w:val="AGRTableNumbersBold"/>
            </w:pPr>
            <w:r w:rsidRPr="00CD3A14">
              <w:t>(5)</w:t>
            </w:r>
          </w:p>
        </w:tc>
      </w:tr>
      <w:tr w:rsidR="00C64B1A" w:rsidRPr="00CD3A14" w:rsidTr="0094455B">
        <w:tc>
          <w:tcPr>
            <w:tcW w:w="4728" w:type="dxa"/>
            <w:tcBorders>
              <w:top w:val="single" w:sz="4" w:space="0" w:color="auto"/>
            </w:tcBorders>
          </w:tcPr>
          <w:p w:rsidR="00C64B1A" w:rsidRPr="00CD3A14" w:rsidRDefault="00C64B1A" w:rsidP="0094455B">
            <w:pPr>
              <w:pStyle w:val="AGRTableText"/>
            </w:pPr>
            <w:r w:rsidRPr="00CD3A14">
              <w:t>Add non current assets</w:t>
            </w:r>
          </w:p>
        </w:tc>
        <w:tc>
          <w:tcPr>
            <w:tcW w:w="1322" w:type="dxa"/>
            <w:tcBorders>
              <w:top w:val="single" w:sz="4" w:space="0" w:color="auto"/>
            </w:tcBorders>
          </w:tcPr>
          <w:p w:rsidR="00C64B1A" w:rsidRPr="00CD3A14" w:rsidRDefault="00226D93" w:rsidP="0094455B">
            <w:pPr>
              <w:pStyle w:val="AGRTableText"/>
              <w:tabs>
                <w:tab w:val="decimal" w:pos="811"/>
              </w:tabs>
            </w:pPr>
            <w:r w:rsidRPr="00CD3A14">
              <w:t>-</w:t>
            </w:r>
          </w:p>
        </w:tc>
        <w:tc>
          <w:tcPr>
            <w:tcW w:w="1321" w:type="dxa"/>
            <w:tcBorders>
              <w:top w:val="single" w:sz="4" w:space="0" w:color="auto"/>
            </w:tcBorders>
          </w:tcPr>
          <w:p w:rsidR="00C64B1A" w:rsidRPr="00CD3A14" w:rsidRDefault="00C64B1A" w:rsidP="00C64B1A">
            <w:pPr>
              <w:pStyle w:val="AGRTableText"/>
              <w:tabs>
                <w:tab w:val="decimal" w:pos="811"/>
              </w:tabs>
            </w:pPr>
            <w:r w:rsidRPr="00CD3A14">
              <w:t>-</w:t>
            </w:r>
          </w:p>
        </w:tc>
      </w:tr>
      <w:tr w:rsidR="00C64B1A" w:rsidRPr="00CD3A14" w:rsidTr="0094455B">
        <w:tc>
          <w:tcPr>
            <w:tcW w:w="4728" w:type="dxa"/>
          </w:tcPr>
          <w:p w:rsidR="00C64B1A" w:rsidRPr="00CD3A14" w:rsidRDefault="00C64B1A" w:rsidP="0094455B">
            <w:pPr>
              <w:pStyle w:val="AGRTableText"/>
            </w:pPr>
          </w:p>
        </w:tc>
        <w:tc>
          <w:tcPr>
            <w:tcW w:w="1322" w:type="dxa"/>
          </w:tcPr>
          <w:p w:rsidR="00C64B1A" w:rsidRPr="00CD3A14" w:rsidRDefault="00226D93" w:rsidP="007F0B2B">
            <w:pPr>
              <w:pStyle w:val="AGRTableNumbersBold"/>
            </w:pPr>
            <w:r w:rsidRPr="00CD3A14">
              <w:t>(41)</w:t>
            </w:r>
          </w:p>
        </w:tc>
        <w:tc>
          <w:tcPr>
            <w:tcW w:w="1321" w:type="dxa"/>
          </w:tcPr>
          <w:p w:rsidR="00C64B1A" w:rsidRPr="00CD3A14" w:rsidRDefault="00C64B1A" w:rsidP="00C64B1A">
            <w:pPr>
              <w:pStyle w:val="AGRTableNumbersBold"/>
            </w:pPr>
            <w:r w:rsidRPr="00CD3A14">
              <w:t>(5)</w:t>
            </w:r>
          </w:p>
        </w:tc>
      </w:tr>
      <w:tr w:rsidR="00C64B1A" w:rsidRPr="00CD3A14" w:rsidTr="0094455B">
        <w:tc>
          <w:tcPr>
            <w:tcW w:w="4728" w:type="dxa"/>
          </w:tcPr>
          <w:p w:rsidR="00C64B1A" w:rsidRPr="00CD3A14" w:rsidRDefault="00C64B1A" w:rsidP="0094455B">
            <w:pPr>
              <w:pStyle w:val="AGRTableText"/>
            </w:pPr>
            <w:r w:rsidRPr="00CD3A14">
              <w:t>Less non current liabilities</w:t>
            </w:r>
          </w:p>
        </w:tc>
        <w:tc>
          <w:tcPr>
            <w:tcW w:w="1322" w:type="dxa"/>
          </w:tcPr>
          <w:p w:rsidR="00C64B1A" w:rsidRPr="00CD3A14" w:rsidRDefault="00226D93" w:rsidP="0094455B">
            <w:pPr>
              <w:pStyle w:val="AGRTableNumbers"/>
            </w:pPr>
            <w:r w:rsidRPr="00CD3A14">
              <w:t>-</w:t>
            </w:r>
          </w:p>
        </w:tc>
        <w:tc>
          <w:tcPr>
            <w:tcW w:w="1321" w:type="dxa"/>
          </w:tcPr>
          <w:p w:rsidR="00C64B1A" w:rsidRPr="00CD3A14" w:rsidRDefault="00C64B1A" w:rsidP="00C64B1A">
            <w:pPr>
              <w:pStyle w:val="AGRTableNumbers"/>
            </w:pPr>
            <w:r w:rsidRPr="00CD3A14">
              <w:t>-</w:t>
            </w:r>
          </w:p>
        </w:tc>
      </w:tr>
      <w:tr w:rsidR="00C64B1A" w:rsidRPr="00CD3A14" w:rsidTr="0094455B">
        <w:tc>
          <w:tcPr>
            <w:tcW w:w="4728" w:type="dxa"/>
            <w:tcBorders>
              <w:bottom w:val="single" w:sz="4" w:space="0" w:color="auto"/>
            </w:tcBorders>
          </w:tcPr>
          <w:p w:rsidR="00C64B1A" w:rsidRPr="00CD3A14" w:rsidRDefault="00C64B1A" w:rsidP="0094455B">
            <w:pPr>
              <w:pStyle w:val="AGRTableTextBold"/>
            </w:pPr>
            <w:r w:rsidRPr="00CD3A14">
              <w:t>Net assets</w:t>
            </w:r>
          </w:p>
        </w:tc>
        <w:tc>
          <w:tcPr>
            <w:tcW w:w="1322" w:type="dxa"/>
            <w:tcBorders>
              <w:bottom w:val="single" w:sz="4" w:space="0" w:color="auto"/>
            </w:tcBorders>
          </w:tcPr>
          <w:p w:rsidR="00C64B1A" w:rsidRPr="00CD3A14" w:rsidRDefault="00226D93" w:rsidP="007F0B2B">
            <w:pPr>
              <w:pStyle w:val="AGRTableNumbersBold"/>
            </w:pPr>
            <w:r w:rsidRPr="00CD3A14">
              <w:t>(41)</w:t>
            </w:r>
          </w:p>
        </w:tc>
        <w:tc>
          <w:tcPr>
            <w:tcW w:w="1321" w:type="dxa"/>
            <w:tcBorders>
              <w:bottom w:val="single" w:sz="4" w:space="0" w:color="auto"/>
            </w:tcBorders>
          </w:tcPr>
          <w:p w:rsidR="00C64B1A" w:rsidRPr="00CD3A14" w:rsidRDefault="00C64B1A" w:rsidP="00C64B1A">
            <w:pPr>
              <w:pStyle w:val="AGRTableNumbersBold"/>
            </w:pPr>
            <w:r w:rsidRPr="00CD3A14">
              <w:t>(5)</w:t>
            </w:r>
          </w:p>
        </w:tc>
      </w:tr>
      <w:tr w:rsidR="00C64B1A" w:rsidRPr="00CD3A14" w:rsidTr="0094455B">
        <w:tc>
          <w:tcPr>
            <w:tcW w:w="4728" w:type="dxa"/>
            <w:tcBorders>
              <w:top w:val="single" w:sz="4" w:space="0" w:color="auto"/>
            </w:tcBorders>
          </w:tcPr>
          <w:p w:rsidR="00C64B1A" w:rsidRPr="00CD3A14" w:rsidRDefault="00C64B1A" w:rsidP="0094455B">
            <w:pPr>
              <w:pStyle w:val="AGRTableText"/>
            </w:pPr>
            <w:r w:rsidRPr="00CD3A14">
              <w:t>Represented by:</w:t>
            </w:r>
          </w:p>
        </w:tc>
        <w:tc>
          <w:tcPr>
            <w:tcW w:w="1322" w:type="dxa"/>
            <w:tcBorders>
              <w:top w:val="single" w:sz="4" w:space="0" w:color="auto"/>
            </w:tcBorders>
          </w:tcPr>
          <w:p w:rsidR="00C64B1A" w:rsidRPr="00CD3A14" w:rsidRDefault="00C64B1A" w:rsidP="0094455B">
            <w:pPr>
              <w:pStyle w:val="AGRTableNumbers"/>
            </w:pPr>
          </w:p>
        </w:tc>
        <w:tc>
          <w:tcPr>
            <w:tcW w:w="1321" w:type="dxa"/>
            <w:tcBorders>
              <w:top w:val="single" w:sz="4" w:space="0" w:color="auto"/>
            </w:tcBorders>
          </w:tcPr>
          <w:p w:rsidR="00C64B1A" w:rsidRPr="00CD3A14" w:rsidRDefault="00C64B1A" w:rsidP="00C64B1A">
            <w:pPr>
              <w:pStyle w:val="AGRTableNumbers"/>
            </w:pPr>
          </w:p>
        </w:tc>
      </w:tr>
      <w:tr w:rsidR="00C64B1A" w:rsidRPr="00CD3A14" w:rsidTr="0094455B">
        <w:tc>
          <w:tcPr>
            <w:tcW w:w="4728" w:type="dxa"/>
          </w:tcPr>
          <w:p w:rsidR="00C64B1A" w:rsidRPr="00CD3A14" w:rsidRDefault="00C64B1A" w:rsidP="0094455B">
            <w:pPr>
              <w:pStyle w:val="AGRTableText"/>
            </w:pPr>
            <w:r w:rsidRPr="00CD3A14">
              <w:t>Accumulated funds</w:t>
            </w:r>
          </w:p>
        </w:tc>
        <w:tc>
          <w:tcPr>
            <w:tcW w:w="1322" w:type="dxa"/>
          </w:tcPr>
          <w:p w:rsidR="00C64B1A" w:rsidRPr="00CD3A14" w:rsidRDefault="00226D93" w:rsidP="0094455B">
            <w:pPr>
              <w:pStyle w:val="AGRTableNumbers"/>
            </w:pPr>
            <w:r w:rsidRPr="00CD3A14">
              <w:t>(41)</w:t>
            </w:r>
          </w:p>
        </w:tc>
        <w:tc>
          <w:tcPr>
            <w:tcW w:w="1321" w:type="dxa"/>
          </w:tcPr>
          <w:p w:rsidR="00C64B1A" w:rsidRPr="00CD3A14" w:rsidRDefault="00C64B1A" w:rsidP="00C64B1A">
            <w:pPr>
              <w:pStyle w:val="AGRTableNumbers"/>
            </w:pPr>
            <w:r w:rsidRPr="00CD3A14">
              <w:t>(5)</w:t>
            </w:r>
          </w:p>
        </w:tc>
      </w:tr>
      <w:tr w:rsidR="00C64B1A" w:rsidRPr="00CD3A14" w:rsidTr="0094455B">
        <w:tc>
          <w:tcPr>
            <w:tcW w:w="4728" w:type="dxa"/>
            <w:tcBorders>
              <w:bottom w:val="single" w:sz="4" w:space="0" w:color="auto"/>
            </w:tcBorders>
          </w:tcPr>
          <w:p w:rsidR="00C64B1A" w:rsidRPr="00CD3A14" w:rsidRDefault="00C64B1A" w:rsidP="0094455B">
            <w:pPr>
              <w:pStyle w:val="AGRTableTextBold"/>
            </w:pPr>
            <w:r w:rsidRPr="00CD3A14">
              <w:t>Equity</w:t>
            </w:r>
          </w:p>
        </w:tc>
        <w:tc>
          <w:tcPr>
            <w:tcW w:w="1322" w:type="dxa"/>
            <w:tcBorders>
              <w:bottom w:val="single" w:sz="4" w:space="0" w:color="auto"/>
            </w:tcBorders>
          </w:tcPr>
          <w:p w:rsidR="00C64B1A" w:rsidRPr="00CD3A14" w:rsidRDefault="00226D93" w:rsidP="0094455B">
            <w:pPr>
              <w:pStyle w:val="AGRTableNumbersBold"/>
            </w:pPr>
            <w:r w:rsidRPr="00CD3A14">
              <w:t>(41)</w:t>
            </w:r>
          </w:p>
        </w:tc>
        <w:tc>
          <w:tcPr>
            <w:tcW w:w="1321" w:type="dxa"/>
            <w:tcBorders>
              <w:bottom w:val="single" w:sz="4" w:space="0" w:color="auto"/>
            </w:tcBorders>
          </w:tcPr>
          <w:p w:rsidR="00C64B1A" w:rsidRPr="00CD3A14" w:rsidRDefault="00C64B1A" w:rsidP="00C64B1A">
            <w:pPr>
              <w:pStyle w:val="AGRTableNumbersBold"/>
            </w:pPr>
            <w:r w:rsidRPr="00CD3A14">
              <w:t>(5)</w:t>
            </w:r>
          </w:p>
        </w:tc>
      </w:tr>
    </w:tbl>
    <w:p w:rsidR="005D71CD" w:rsidRPr="00CD3A14" w:rsidRDefault="00A24915" w:rsidP="00C67DA8">
      <w:pPr>
        <w:pStyle w:val="AGRHeading1"/>
      </w:pPr>
      <w:bookmarkStart w:id="19" w:name="cdu"/>
      <w:r w:rsidRPr="00CD3A14">
        <w:t>Charles Darwin University</w:t>
      </w:r>
      <w:bookmarkEnd w:id="19"/>
    </w:p>
    <w:p w:rsidR="005D71CD" w:rsidRPr="00CD3A14" w:rsidRDefault="005D71CD" w:rsidP="00C90BF2">
      <w:pPr>
        <w:pStyle w:val="AGRHeading2"/>
      </w:pPr>
      <w:bookmarkStart w:id="20" w:name="cdu_audit_title"/>
      <w:r w:rsidRPr="00CD3A14">
        <w:t xml:space="preserve">Audit findings and </w:t>
      </w:r>
      <w:r w:rsidR="004B45B6" w:rsidRPr="00CD3A14">
        <w:t xml:space="preserve">analysis </w:t>
      </w:r>
      <w:r w:rsidRPr="00CD3A14">
        <w:t xml:space="preserve">of the financial statements for the year ended </w:t>
      </w:r>
      <w:r w:rsidR="00C64B1A" w:rsidRPr="00CD3A14">
        <w:t>31 December 2014</w:t>
      </w:r>
      <w:bookmarkEnd w:id="20"/>
    </w:p>
    <w:p w:rsidR="005D71CD" w:rsidRPr="00CD3A14" w:rsidRDefault="005D71CD" w:rsidP="00C708C3">
      <w:pPr>
        <w:pStyle w:val="AGRHeading3"/>
      </w:pPr>
      <w:r w:rsidRPr="00CD3A14">
        <w:t>Background</w:t>
      </w:r>
    </w:p>
    <w:p w:rsidR="0079133F" w:rsidRPr="00CD3A14" w:rsidRDefault="0079133F" w:rsidP="0013400B">
      <w:pPr>
        <w:pStyle w:val="AGRBodyText"/>
        <w:rPr>
          <w:noProof w:val="0"/>
          <w:lang w:val="en-AU"/>
        </w:rPr>
      </w:pPr>
      <w:r w:rsidRPr="00CD3A14">
        <w:rPr>
          <w:noProof w:val="0"/>
          <w:lang w:val="en-AU"/>
        </w:rPr>
        <w:t xml:space="preserve">Charles Darwin University (the University) is established under the </w:t>
      </w:r>
      <w:r w:rsidRPr="00CD3A14">
        <w:rPr>
          <w:i/>
          <w:noProof w:val="0"/>
          <w:lang w:val="en-AU"/>
        </w:rPr>
        <w:t>Charles Darwin University Act</w:t>
      </w:r>
      <w:r w:rsidRPr="00CD3A14">
        <w:rPr>
          <w:noProof w:val="0"/>
          <w:lang w:val="en-AU"/>
        </w:rPr>
        <w:t>.  The University controls</w:t>
      </w:r>
      <w:r w:rsidR="00697169" w:rsidRPr="00CD3A14">
        <w:rPr>
          <w:noProof w:val="0"/>
          <w:lang w:val="en-AU"/>
        </w:rPr>
        <w:t xml:space="preserve"> three</w:t>
      </w:r>
      <w:r w:rsidR="009C43A1" w:rsidRPr="00CD3A14">
        <w:rPr>
          <w:noProof w:val="0"/>
          <w:lang w:val="en-AU"/>
        </w:rPr>
        <w:t xml:space="preserve"> </w:t>
      </w:r>
      <w:r w:rsidRPr="00CD3A14">
        <w:rPr>
          <w:noProof w:val="0"/>
          <w:lang w:val="en-AU"/>
        </w:rPr>
        <w:t>subsidiary entities</w:t>
      </w:r>
      <w:r w:rsidR="00FF3A9F" w:rsidRPr="00CD3A14">
        <w:rPr>
          <w:noProof w:val="0"/>
          <w:lang w:val="en-AU"/>
        </w:rPr>
        <w:t>:</w:t>
      </w:r>
      <w:r w:rsidRPr="00CD3A14">
        <w:rPr>
          <w:noProof w:val="0"/>
          <w:lang w:val="en-AU"/>
        </w:rPr>
        <w:t xml:space="preserve"> the Menzies School of Health Research</w:t>
      </w:r>
      <w:r w:rsidR="00EB3EA2" w:rsidRPr="00CD3A14">
        <w:rPr>
          <w:noProof w:val="0"/>
          <w:lang w:val="en-AU"/>
        </w:rPr>
        <w:t>;</w:t>
      </w:r>
      <w:r w:rsidRPr="00CD3A14">
        <w:rPr>
          <w:noProof w:val="0"/>
          <w:lang w:val="en-AU"/>
        </w:rPr>
        <w:t xml:space="preserve"> the Charles Darwin University Foundation, a company </w:t>
      </w:r>
      <w:r w:rsidR="009C43A1" w:rsidRPr="00CD3A14">
        <w:rPr>
          <w:noProof w:val="0"/>
          <w:lang w:val="en-AU"/>
        </w:rPr>
        <w:t>limited by guarantee</w:t>
      </w:r>
      <w:r w:rsidR="002A5DB3" w:rsidRPr="00CD3A14">
        <w:rPr>
          <w:noProof w:val="0"/>
          <w:lang w:val="en-AU"/>
        </w:rPr>
        <w:t xml:space="preserve"> and which </w:t>
      </w:r>
      <w:r w:rsidRPr="00CD3A14">
        <w:rPr>
          <w:noProof w:val="0"/>
          <w:lang w:val="en-AU"/>
        </w:rPr>
        <w:t xml:space="preserve">acts as trustee of the Charles Darwin University </w:t>
      </w:r>
      <w:r w:rsidR="00CE382F" w:rsidRPr="00CD3A14">
        <w:rPr>
          <w:noProof w:val="0"/>
          <w:lang w:val="en-AU"/>
        </w:rPr>
        <w:t xml:space="preserve">Foundation </w:t>
      </w:r>
      <w:r w:rsidRPr="00CD3A14">
        <w:rPr>
          <w:noProof w:val="0"/>
          <w:lang w:val="en-AU"/>
        </w:rPr>
        <w:t>Trust</w:t>
      </w:r>
      <w:r w:rsidR="00EB3EA2" w:rsidRPr="00CD3A14">
        <w:rPr>
          <w:noProof w:val="0"/>
          <w:lang w:val="en-AU"/>
        </w:rPr>
        <w:t>;</w:t>
      </w:r>
      <w:r w:rsidR="009C43A1" w:rsidRPr="00CD3A14">
        <w:rPr>
          <w:noProof w:val="0"/>
          <w:lang w:val="en-AU"/>
        </w:rPr>
        <w:t xml:space="preserve"> and</w:t>
      </w:r>
      <w:r w:rsidR="0023215F" w:rsidRPr="00CD3A14">
        <w:rPr>
          <w:noProof w:val="0"/>
          <w:lang w:val="en-AU"/>
        </w:rPr>
        <w:t xml:space="preserve"> CDU Amenities </w:t>
      </w:r>
      <w:r w:rsidR="002345B6" w:rsidRPr="00CD3A14">
        <w:rPr>
          <w:noProof w:val="0"/>
          <w:lang w:val="en-AU"/>
        </w:rPr>
        <w:t>Limited</w:t>
      </w:r>
      <w:r w:rsidR="0071400A" w:rsidRPr="00CD3A14">
        <w:rPr>
          <w:noProof w:val="0"/>
          <w:lang w:val="en-AU"/>
        </w:rPr>
        <w:t xml:space="preserve">, which is also a </w:t>
      </w:r>
      <w:r w:rsidR="009C43A1" w:rsidRPr="00CD3A14">
        <w:rPr>
          <w:noProof w:val="0"/>
          <w:lang w:val="en-AU"/>
        </w:rPr>
        <w:t>company limited by guarantee.</w:t>
      </w:r>
    </w:p>
    <w:p w:rsidR="009635E5" w:rsidRPr="00CD3A14" w:rsidRDefault="0079133F" w:rsidP="0013400B">
      <w:pPr>
        <w:pStyle w:val="AGRBodyText"/>
        <w:rPr>
          <w:noProof w:val="0"/>
          <w:lang w:val="en-AU"/>
        </w:rPr>
      </w:pPr>
      <w:r w:rsidRPr="00CD3A14">
        <w:rPr>
          <w:noProof w:val="0"/>
          <w:lang w:val="en-AU"/>
        </w:rPr>
        <w:t xml:space="preserve">The University provides both </w:t>
      </w:r>
      <w:r w:rsidR="0023215F" w:rsidRPr="00CD3A14">
        <w:rPr>
          <w:noProof w:val="0"/>
          <w:lang w:val="en-AU"/>
        </w:rPr>
        <w:t xml:space="preserve">higher education, </w:t>
      </w:r>
      <w:r w:rsidRPr="00CD3A14">
        <w:rPr>
          <w:noProof w:val="0"/>
          <w:lang w:val="en-AU"/>
        </w:rPr>
        <w:t xml:space="preserve">and </w:t>
      </w:r>
      <w:r w:rsidR="0023215F" w:rsidRPr="00CD3A14">
        <w:rPr>
          <w:noProof w:val="0"/>
          <w:lang w:val="en-AU"/>
        </w:rPr>
        <w:t xml:space="preserve">vocational education </w:t>
      </w:r>
      <w:r w:rsidRPr="00CD3A14">
        <w:rPr>
          <w:noProof w:val="0"/>
          <w:lang w:val="en-AU"/>
        </w:rPr>
        <w:t xml:space="preserve">and </w:t>
      </w:r>
      <w:r w:rsidR="0023215F" w:rsidRPr="00CD3A14">
        <w:rPr>
          <w:noProof w:val="0"/>
          <w:lang w:val="en-AU"/>
        </w:rPr>
        <w:t xml:space="preserve">training </w:t>
      </w:r>
      <w:r w:rsidRPr="00CD3A14">
        <w:rPr>
          <w:noProof w:val="0"/>
          <w:lang w:val="en-AU"/>
        </w:rPr>
        <w:t xml:space="preserve">(VET).  Higher </w:t>
      </w:r>
      <w:r w:rsidR="004252B7" w:rsidRPr="00CD3A14">
        <w:rPr>
          <w:noProof w:val="0"/>
          <w:lang w:val="en-AU"/>
        </w:rPr>
        <w:t xml:space="preserve">education </w:t>
      </w:r>
      <w:r w:rsidRPr="00CD3A14">
        <w:rPr>
          <w:noProof w:val="0"/>
          <w:lang w:val="en-AU"/>
        </w:rPr>
        <w:t xml:space="preserve">funding is provided </w:t>
      </w:r>
      <w:r w:rsidR="0023215F" w:rsidRPr="00CD3A14">
        <w:rPr>
          <w:noProof w:val="0"/>
          <w:lang w:val="en-AU"/>
        </w:rPr>
        <w:t xml:space="preserve">to the University </w:t>
      </w:r>
      <w:r w:rsidRPr="00CD3A14">
        <w:rPr>
          <w:noProof w:val="0"/>
          <w:lang w:val="en-AU"/>
        </w:rPr>
        <w:t xml:space="preserve">by the Commonwealth Government through direct grants, and through the </w:t>
      </w:r>
      <w:r w:rsidR="0023215F" w:rsidRPr="00CD3A14">
        <w:rPr>
          <w:noProof w:val="0"/>
          <w:lang w:val="en-AU"/>
        </w:rPr>
        <w:t>proceeds of student loans under the auspices of the HECS-HELP Scheme</w:t>
      </w:r>
      <w:r w:rsidR="00143F28" w:rsidRPr="00CD3A14">
        <w:rPr>
          <w:noProof w:val="0"/>
          <w:lang w:val="en-AU"/>
        </w:rPr>
        <w:t>.</w:t>
      </w:r>
      <w:r w:rsidRPr="00CD3A14">
        <w:rPr>
          <w:noProof w:val="0"/>
          <w:lang w:val="en-AU"/>
        </w:rPr>
        <w:t xml:space="preserve">  VET funding is provided by the Northern Territory Government through monies appropriated by the Legislative Assembly t</w:t>
      </w:r>
      <w:r w:rsidR="00784C50">
        <w:rPr>
          <w:noProof w:val="0"/>
          <w:lang w:val="en-AU"/>
        </w:rPr>
        <w:t xml:space="preserve">o the Department of </w:t>
      </w:r>
      <w:r w:rsidR="009254D1">
        <w:rPr>
          <w:noProof w:val="0"/>
          <w:lang w:val="en-AU"/>
        </w:rPr>
        <w:t>Business</w:t>
      </w:r>
      <w:r w:rsidRPr="00CD3A14">
        <w:rPr>
          <w:noProof w:val="0"/>
          <w:lang w:val="en-AU"/>
        </w:rPr>
        <w:t xml:space="preserve">. </w:t>
      </w:r>
    </w:p>
    <w:p w:rsidR="009635E5" w:rsidRPr="00CD3A14" w:rsidRDefault="0079133F" w:rsidP="0013400B">
      <w:pPr>
        <w:pStyle w:val="AGRBodyText"/>
        <w:rPr>
          <w:noProof w:val="0"/>
          <w:lang w:val="en-AU"/>
        </w:rPr>
      </w:pPr>
      <w:r w:rsidRPr="00CD3A14">
        <w:rPr>
          <w:noProof w:val="0"/>
          <w:lang w:val="en-AU"/>
        </w:rPr>
        <w:t xml:space="preserve">The University </w:t>
      </w:r>
      <w:r w:rsidR="009C43A1" w:rsidRPr="00CD3A14">
        <w:rPr>
          <w:noProof w:val="0"/>
          <w:lang w:val="en-AU"/>
        </w:rPr>
        <w:t>is required by its enabling Act to prepare</w:t>
      </w:r>
      <w:r w:rsidR="00E029FA" w:rsidRPr="00CD3A14">
        <w:rPr>
          <w:noProof w:val="0"/>
          <w:lang w:val="en-AU"/>
        </w:rPr>
        <w:t xml:space="preserve"> financial statements as at </w:t>
      </w:r>
      <w:r w:rsidR="00C64B1A" w:rsidRPr="00CD3A14">
        <w:rPr>
          <w:noProof w:val="0"/>
          <w:lang w:val="en-AU"/>
        </w:rPr>
        <w:t>31 December</w:t>
      </w:r>
      <w:r w:rsidRPr="00CD3A14">
        <w:rPr>
          <w:noProof w:val="0"/>
          <w:lang w:val="en-AU"/>
        </w:rPr>
        <w:t xml:space="preserve"> each year and </w:t>
      </w:r>
      <w:r w:rsidR="004252B7" w:rsidRPr="00CD3A14">
        <w:rPr>
          <w:noProof w:val="0"/>
          <w:lang w:val="en-AU"/>
        </w:rPr>
        <w:t xml:space="preserve">to </w:t>
      </w:r>
      <w:r w:rsidR="009C43A1" w:rsidRPr="00CD3A14">
        <w:rPr>
          <w:noProof w:val="0"/>
          <w:lang w:val="en-AU"/>
        </w:rPr>
        <w:t>submit those statements to the</w:t>
      </w:r>
      <w:r w:rsidR="00F04109" w:rsidRPr="00CD3A14">
        <w:rPr>
          <w:noProof w:val="0"/>
          <w:lang w:val="en-AU"/>
        </w:rPr>
        <w:t xml:space="preserve"> Auditor</w:t>
      </w:r>
      <w:r w:rsidR="00F04109" w:rsidRPr="00CD3A14">
        <w:rPr>
          <w:noProof w:val="0"/>
          <w:lang w:val="en-AU"/>
        </w:rPr>
        <w:noBreakHyphen/>
      </w:r>
      <w:r w:rsidRPr="00CD3A14">
        <w:rPr>
          <w:noProof w:val="0"/>
          <w:lang w:val="en-AU"/>
        </w:rPr>
        <w:t>General</w:t>
      </w:r>
      <w:r w:rsidR="004252B7" w:rsidRPr="00CD3A14">
        <w:rPr>
          <w:noProof w:val="0"/>
          <w:lang w:val="en-AU"/>
        </w:rPr>
        <w:t xml:space="preserve"> </w:t>
      </w:r>
      <w:r w:rsidR="00036669" w:rsidRPr="00CD3A14">
        <w:rPr>
          <w:noProof w:val="0"/>
          <w:lang w:val="en-AU"/>
        </w:rPr>
        <w:t>by 31 </w:t>
      </w:r>
      <w:r w:rsidR="009C43A1" w:rsidRPr="00CD3A14">
        <w:rPr>
          <w:noProof w:val="0"/>
          <w:lang w:val="en-AU"/>
        </w:rPr>
        <w:t>March each year.</w:t>
      </w:r>
    </w:p>
    <w:p w:rsidR="00177BC6" w:rsidRPr="00CD3A14" w:rsidRDefault="00177BC6" w:rsidP="00C708C3">
      <w:pPr>
        <w:pStyle w:val="AGRHeading3"/>
      </w:pPr>
      <w:r w:rsidRPr="00CD3A14">
        <w:t>Audit Opinion</w:t>
      </w:r>
    </w:p>
    <w:p w:rsidR="00177BC6" w:rsidRPr="00CD3A14" w:rsidRDefault="00177BC6" w:rsidP="0013400B">
      <w:pPr>
        <w:pStyle w:val="AGRBodyText"/>
        <w:rPr>
          <w:noProof w:val="0"/>
          <w:lang w:val="en-AU"/>
        </w:rPr>
      </w:pPr>
      <w:r w:rsidRPr="00CD3A14">
        <w:rPr>
          <w:noProof w:val="0"/>
          <w:lang w:val="en-AU"/>
        </w:rPr>
        <w:t xml:space="preserve">The audit of the financial statements of Charles Darwin University for the year ended </w:t>
      </w:r>
      <w:r w:rsidR="00C64B1A" w:rsidRPr="00CD3A14">
        <w:rPr>
          <w:noProof w:val="0"/>
          <w:lang w:val="en-AU"/>
        </w:rPr>
        <w:t>31 December 2014</w:t>
      </w:r>
      <w:r w:rsidRPr="00CD3A14">
        <w:rPr>
          <w:noProof w:val="0"/>
          <w:lang w:val="en-AU"/>
        </w:rPr>
        <w:t xml:space="preserve"> resulted in an </w:t>
      </w:r>
      <w:r w:rsidR="006A1F59" w:rsidRPr="00CD3A14">
        <w:rPr>
          <w:noProof w:val="0"/>
          <w:lang w:val="en-AU"/>
        </w:rPr>
        <w:t>unmodified</w:t>
      </w:r>
      <w:r w:rsidRPr="00CD3A14">
        <w:rPr>
          <w:noProof w:val="0"/>
          <w:lang w:val="en-AU"/>
        </w:rPr>
        <w:t xml:space="preserve"> audit opinion</w:t>
      </w:r>
      <w:r w:rsidR="004252B7" w:rsidRPr="00CD3A14">
        <w:rPr>
          <w:noProof w:val="0"/>
          <w:lang w:val="en-AU"/>
        </w:rPr>
        <w:t>.  That opinion</w:t>
      </w:r>
      <w:r w:rsidRPr="00CD3A14">
        <w:rPr>
          <w:noProof w:val="0"/>
          <w:lang w:val="en-AU"/>
        </w:rPr>
        <w:t xml:space="preserve"> was issued on </w:t>
      </w:r>
      <w:r w:rsidR="00685F00" w:rsidRPr="00CD3A14">
        <w:rPr>
          <w:noProof w:val="0"/>
          <w:lang w:val="en-AU"/>
        </w:rPr>
        <w:t>29 May 2015</w:t>
      </w:r>
      <w:r w:rsidRPr="00CD3A14">
        <w:rPr>
          <w:noProof w:val="0"/>
          <w:lang w:val="en-AU"/>
        </w:rPr>
        <w:t>.</w:t>
      </w:r>
    </w:p>
    <w:p w:rsidR="005D71CD" w:rsidRPr="00CD3A14" w:rsidRDefault="005D71CD" w:rsidP="00C708C3">
      <w:pPr>
        <w:pStyle w:val="AGRHeading3"/>
      </w:pPr>
      <w:r w:rsidRPr="00CD3A14">
        <w:t xml:space="preserve">Key </w:t>
      </w:r>
      <w:r w:rsidR="00177BC6" w:rsidRPr="00CD3A14">
        <w:t>Findings</w:t>
      </w:r>
    </w:p>
    <w:p w:rsidR="009635E5" w:rsidRPr="00CD3A14" w:rsidRDefault="00A836AC" w:rsidP="00C708C3">
      <w:pPr>
        <w:pStyle w:val="AGRHeading4"/>
      </w:pPr>
      <w:r w:rsidRPr="00CD3A14">
        <w:t>Financial Performan</w:t>
      </w:r>
      <w:r w:rsidR="004252B7" w:rsidRPr="00CD3A14">
        <w:t>c</w:t>
      </w:r>
      <w:r w:rsidRPr="00CD3A14">
        <w:t>e and Financial Position of the University</w:t>
      </w:r>
      <w:r w:rsidR="00D161A8" w:rsidRPr="00CD3A14">
        <w:t xml:space="preserve"> – excluding controlled entities</w:t>
      </w:r>
    </w:p>
    <w:p w:rsidR="009635E5" w:rsidRPr="00CD3A14" w:rsidRDefault="00A836AC" w:rsidP="0013400B">
      <w:pPr>
        <w:pStyle w:val="AGRBodyText"/>
        <w:rPr>
          <w:noProof w:val="0"/>
          <w:lang w:val="en-AU"/>
        </w:rPr>
      </w:pPr>
      <w:r w:rsidRPr="00CD3A14">
        <w:rPr>
          <w:noProof w:val="0"/>
          <w:lang w:val="en-AU"/>
        </w:rPr>
        <w:t>The financial performance of the University, as measured by its operating result</w:t>
      </w:r>
      <w:r w:rsidR="004252B7" w:rsidRPr="00CD3A14">
        <w:rPr>
          <w:noProof w:val="0"/>
          <w:lang w:val="en-AU"/>
        </w:rPr>
        <w:t>,</w:t>
      </w:r>
      <w:r w:rsidRPr="00CD3A14">
        <w:rPr>
          <w:noProof w:val="0"/>
          <w:lang w:val="en-AU"/>
        </w:rPr>
        <w:t xml:space="preserve"> </w:t>
      </w:r>
      <w:r w:rsidR="00F6739C" w:rsidRPr="00CD3A14">
        <w:rPr>
          <w:noProof w:val="0"/>
          <w:lang w:val="en-AU"/>
        </w:rPr>
        <w:t>was</w:t>
      </w:r>
      <w:r w:rsidRPr="00CD3A14">
        <w:rPr>
          <w:noProof w:val="0"/>
          <w:lang w:val="en-AU"/>
        </w:rPr>
        <w:t xml:space="preserve"> $</w:t>
      </w:r>
      <w:r w:rsidR="007B6336" w:rsidRPr="00CD3A14">
        <w:rPr>
          <w:noProof w:val="0"/>
          <w:lang w:val="en-AU"/>
        </w:rPr>
        <w:t>7.0</w:t>
      </w:r>
      <w:r w:rsidR="002C6B7F" w:rsidRPr="00CD3A14">
        <w:rPr>
          <w:noProof w:val="0"/>
          <w:lang w:val="en-AU"/>
        </w:rPr>
        <w:t> </w:t>
      </w:r>
      <w:r w:rsidRPr="00CD3A14">
        <w:rPr>
          <w:noProof w:val="0"/>
          <w:lang w:val="en-AU"/>
        </w:rPr>
        <w:t>million ($</w:t>
      </w:r>
      <w:r w:rsidR="007B6336" w:rsidRPr="00CD3A14">
        <w:rPr>
          <w:noProof w:val="0"/>
          <w:lang w:val="en-AU"/>
        </w:rPr>
        <w:t>10.5</w:t>
      </w:r>
      <w:r w:rsidR="002C6B7F" w:rsidRPr="00CD3A14">
        <w:rPr>
          <w:noProof w:val="0"/>
          <w:lang w:val="en-AU"/>
        </w:rPr>
        <w:t> </w:t>
      </w:r>
      <w:r w:rsidRPr="00CD3A14">
        <w:rPr>
          <w:noProof w:val="0"/>
          <w:lang w:val="en-AU"/>
        </w:rPr>
        <w:t>mil</w:t>
      </w:r>
      <w:r w:rsidR="004252B7" w:rsidRPr="00CD3A14">
        <w:rPr>
          <w:noProof w:val="0"/>
          <w:lang w:val="en-AU"/>
        </w:rPr>
        <w:t>l</w:t>
      </w:r>
      <w:r w:rsidRPr="00CD3A14">
        <w:rPr>
          <w:noProof w:val="0"/>
          <w:lang w:val="en-AU"/>
        </w:rPr>
        <w:t xml:space="preserve">ion for </w:t>
      </w:r>
      <w:r w:rsidR="002C6B7F" w:rsidRPr="00CD3A14">
        <w:rPr>
          <w:noProof w:val="0"/>
          <w:lang w:val="en-AU"/>
        </w:rPr>
        <w:t>201</w:t>
      </w:r>
      <w:r w:rsidR="007B6336" w:rsidRPr="00CD3A14">
        <w:rPr>
          <w:noProof w:val="0"/>
          <w:lang w:val="en-AU"/>
        </w:rPr>
        <w:t>3</w:t>
      </w:r>
      <w:r w:rsidRPr="00CD3A14">
        <w:rPr>
          <w:noProof w:val="0"/>
          <w:lang w:val="en-AU"/>
        </w:rPr>
        <w:t>).  The higher education component of the Univers</w:t>
      </w:r>
      <w:r w:rsidR="004268BA" w:rsidRPr="00CD3A14">
        <w:rPr>
          <w:noProof w:val="0"/>
          <w:lang w:val="en-AU"/>
        </w:rPr>
        <w:t>ity achieved a surplus of $</w:t>
      </w:r>
      <w:r w:rsidR="00586708" w:rsidRPr="00CD3A14">
        <w:rPr>
          <w:noProof w:val="0"/>
          <w:lang w:val="en-AU"/>
        </w:rPr>
        <w:t>1</w:t>
      </w:r>
      <w:r w:rsidR="007B6336" w:rsidRPr="00CD3A14">
        <w:rPr>
          <w:noProof w:val="0"/>
          <w:lang w:val="en-AU"/>
        </w:rPr>
        <w:t>5.1</w:t>
      </w:r>
      <w:r w:rsidR="004268BA" w:rsidRPr="00CD3A14">
        <w:rPr>
          <w:noProof w:val="0"/>
          <w:lang w:val="en-AU"/>
        </w:rPr>
        <w:t> </w:t>
      </w:r>
      <w:r w:rsidRPr="00CD3A14">
        <w:rPr>
          <w:noProof w:val="0"/>
          <w:lang w:val="en-AU"/>
        </w:rPr>
        <w:t xml:space="preserve">million for the year, which was </w:t>
      </w:r>
      <w:r w:rsidR="00124E31">
        <w:rPr>
          <w:noProof w:val="0"/>
          <w:lang w:val="en-AU"/>
        </w:rPr>
        <w:t xml:space="preserve">partially </w:t>
      </w:r>
      <w:r w:rsidRPr="00CD3A14">
        <w:rPr>
          <w:noProof w:val="0"/>
          <w:lang w:val="en-AU"/>
        </w:rPr>
        <w:t>offset by a</w:t>
      </w:r>
      <w:r w:rsidR="007B6336" w:rsidRPr="00CD3A14">
        <w:rPr>
          <w:noProof w:val="0"/>
          <w:lang w:val="en-AU"/>
        </w:rPr>
        <w:t>n</w:t>
      </w:r>
      <w:r w:rsidRPr="00CD3A14">
        <w:rPr>
          <w:noProof w:val="0"/>
          <w:lang w:val="en-AU"/>
        </w:rPr>
        <w:t xml:space="preserve"> $</w:t>
      </w:r>
      <w:r w:rsidR="007B6336" w:rsidRPr="00CD3A14">
        <w:rPr>
          <w:noProof w:val="0"/>
          <w:lang w:val="en-AU"/>
        </w:rPr>
        <w:t>8.1</w:t>
      </w:r>
      <w:r w:rsidR="002C6B7F" w:rsidRPr="00CD3A14">
        <w:rPr>
          <w:noProof w:val="0"/>
          <w:lang w:val="en-AU"/>
        </w:rPr>
        <w:t> </w:t>
      </w:r>
      <w:r w:rsidRPr="00CD3A14">
        <w:rPr>
          <w:noProof w:val="0"/>
          <w:lang w:val="en-AU"/>
        </w:rPr>
        <w:t>million deficit on the part of the VET component.</w:t>
      </w:r>
    </w:p>
    <w:p w:rsidR="00F6739C" w:rsidRPr="00CD3A14" w:rsidRDefault="00F6739C" w:rsidP="00C67DA8">
      <w:pPr>
        <w:pStyle w:val="AGRHeading1"/>
      </w:pPr>
      <w:r w:rsidRPr="00CD3A14">
        <w:t xml:space="preserve">Charles Darwin University </w:t>
      </w:r>
      <w:proofErr w:type="spellStart"/>
      <w:r w:rsidRPr="00CD3A14">
        <w:t>cont</w:t>
      </w:r>
      <w:proofErr w:type="spellEnd"/>
      <w:r w:rsidRPr="00CD3A14">
        <w:t>…</w:t>
      </w:r>
    </w:p>
    <w:p w:rsidR="00575C0F" w:rsidRPr="00CD3A14" w:rsidRDefault="00575C0F" w:rsidP="00C708C3">
      <w:pPr>
        <w:pStyle w:val="AGRHeading3"/>
      </w:pPr>
      <w:r w:rsidRPr="00CD3A14">
        <w:t>Financial Performance</w:t>
      </w:r>
      <w:r w:rsidR="009868FF" w:rsidRPr="00CD3A14">
        <w:t xml:space="preserve"> of the University</w:t>
      </w:r>
      <w:r w:rsidRPr="00CD3A14">
        <w:t xml:space="preserve"> for the year – excluding controlled entities</w:t>
      </w:r>
    </w:p>
    <w:tbl>
      <w:tblPr>
        <w:tblW w:w="7654" w:type="dxa"/>
        <w:tblInd w:w="851" w:type="dxa"/>
        <w:tblLayout w:type="fixed"/>
        <w:tblLook w:val="01E0" w:firstRow="1" w:lastRow="1" w:firstColumn="1" w:lastColumn="1" w:noHBand="0" w:noVBand="0"/>
      </w:tblPr>
      <w:tblGrid>
        <w:gridCol w:w="4883"/>
        <w:gridCol w:w="1354"/>
        <w:gridCol w:w="1417"/>
      </w:tblGrid>
      <w:tr w:rsidR="00575C0F" w:rsidRPr="00CD3A14" w:rsidTr="00575C0F">
        <w:tc>
          <w:tcPr>
            <w:tcW w:w="4883" w:type="dxa"/>
            <w:tcBorders>
              <w:bottom w:val="single" w:sz="4" w:space="0" w:color="auto"/>
            </w:tcBorders>
          </w:tcPr>
          <w:p w:rsidR="00575C0F" w:rsidRPr="00CD3A14" w:rsidRDefault="00575C0F" w:rsidP="00575C0F">
            <w:pPr>
              <w:pStyle w:val="AGRTableText"/>
              <w:keepNext/>
              <w:ind w:left="720" w:hanging="720"/>
            </w:pPr>
          </w:p>
        </w:tc>
        <w:tc>
          <w:tcPr>
            <w:tcW w:w="1354" w:type="dxa"/>
            <w:tcBorders>
              <w:bottom w:val="single" w:sz="4" w:space="0" w:color="auto"/>
            </w:tcBorders>
          </w:tcPr>
          <w:p w:rsidR="00575C0F" w:rsidRPr="00CD3A14" w:rsidRDefault="00575C0F" w:rsidP="00C64B1A">
            <w:pPr>
              <w:pStyle w:val="AGRTableText"/>
              <w:jc w:val="center"/>
            </w:pPr>
            <w:r w:rsidRPr="00CD3A14">
              <w:t>201</w:t>
            </w:r>
            <w:r w:rsidR="00C64B1A" w:rsidRPr="00CD3A14">
              <w:t>4</w:t>
            </w:r>
          </w:p>
        </w:tc>
        <w:tc>
          <w:tcPr>
            <w:tcW w:w="1417" w:type="dxa"/>
            <w:tcBorders>
              <w:bottom w:val="single" w:sz="4" w:space="0" w:color="auto"/>
            </w:tcBorders>
          </w:tcPr>
          <w:p w:rsidR="00575C0F" w:rsidRPr="00CD3A14" w:rsidRDefault="00575C0F" w:rsidP="00C64B1A">
            <w:pPr>
              <w:pStyle w:val="AGRTableText"/>
              <w:jc w:val="center"/>
            </w:pPr>
            <w:r w:rsidRPr="00CD3A14">
              <w:t>201</w:t>
            </w:r>
            <w:r w:rsidR="00C64B1A" w:rsidRPr="00CD3A14">
              <w:t>3</w:t>
            </w:r>
          </w:p>
        </w:tc>
      </w:tr>
      <w:tr w:rsidR="00575C0F" w:rsidRPr="00CD3A14" w:rsidTr="00575C0F">
        <w:tc>
          <w:tcPr>
            <w:tcW w:w="4883" w:type="dxa"/>
            <w:tcBorders>
              <w:top w:val="single" w:sz="4" w:space="0" w:color="auto"/>
            </w:tcBorders>
          </w:tcPr>
          <w:p w:rsidR="00575C0F" w:rsidRPr="00CD3A14" w:rsidRDefault="00575C0F" w:rsidP="00575C0F">
            <w:pPr>
              <w:pStyle w:val="AGRTableText"/>
              <w:keepNext/>
              <w:ind w:left="720" w:hanging="720"/>
            </w:pPr>
          </w:p>
        </w:tc>
        <w:tc>
          <w:tcPr>
            <w:tcW w:w="1354" w:type="dxa"/>
            <w:tcBorders>
              <w:top w:val="single" w:sz="4" w:space="0" w:color="auto"/>
            </w:tcBorders>
          </w:tcPr>
          <w:p w:rsidR="00575C0F" w:rsidRPr="00CD3A14" w:rsidRDefault="00575C0F" w:rsidP="00575C0F">
            <w:pPr>
              <w:pStyle w:val="AGRTableText"/>
              <w:jc w:val="center"/>
            </w:pPr>
            <w:r w:rsidRPr="00CD3A14">
              <w:t>$’000</w:t>
            </w:r>
          </w:p>
        </w:tc>
        <w:tc>
          <w:tcPr>
            <w:tcW w:w="1417" w:type="dxa"/>
            <w:tcBorders>
              <w:top w:val="single" w:sz="4" w:space="0" w:color="auto"/>
            </w:tcBorders>
          </w:tcPr>
          <w:p w:rsidR="00575C0F" w:rsidRPr="00CD3A14" w:rsidRDefault="00575C0F" w:rsidP="00575C0F">
            <w:pPr>
              <w:pStyle w:val="AGRTableText"/>
              <w:jc w:val="center"/>
            </w:pPr>
            <w:r w:rsidRPr="00CD3A14">
              <w:t>$’000</w:t>
            </w:r>
          </w:p>
        </w:tc>
      </w:tr>
      <w:tr w:rsidR="00575C0F" w:rsidRPr="00CD3A14" w:rsidTr="00575C0F">
        <w:tc>
          <w:tcPr>
            <w:tcW w:w="4883" w:type="dxa"/>
          </w:tcPr>
          <w:p w:rsidR="00575C0F" w:rsidRPr="00CD3A14" w:rsidRDefault="00575C0F" w:rsidP="00575C0F">
            <w:pPr>
              <w:pStyle w:val="AGRTableText"/>
              <w:rPr>
                <w:b/>
                <w:bCs/>
              </w:rPr>
            </w:pPr>
            <w:r w:rsidRPr="00CD3A14">
              <w:rPr>
                <w:b/>
                <w:bCs/>
              </w:rPr>
              <w:t xml:space="preserve">Revenue from ordinary activities </w:t>
            </w:r>
          </w:p>
        </w:tc>
        <w:tc>
          <w:tcPr>
            <w:tcW w:w="1354" w:type="dxa"/>
          </w:tcPr>
          <w:p w:rsidR="00575C0F" w:rsidRPr="00CD3A14" w:rsidRDefault="00575C0F" w:rsidP="00575C0F">
            <w:pPr>
              <w:pStyle w:val="AGRTableNumbers"/>
              <w:tabs>
                <w:tab w:val="decimal" w:pos="1070"/>
              </w:tabs>
              <w:ind w:right="170"/>
            </w:pPr>
          </w:p>
        </w:tc>
        <w:tc>
          <w:tcPr>
            <w:tcW w:w="1417" w:type="dxa"/>
          </w:tcPr>
          <w:p w:rsidR="00575C0F" w:rsidRPr="00CD3A14" w:rsidRDefault="00575C0F" w:rsidP="00575C0F">
            <w:pPr>
              <w:pStyle w:val="AGRTableNumbers"/>
              <w:tabs>
                <w:tab w:val="decimal" w:pos="1070"/>
              </w:tabs>
              <w:ind w:right="170"/>
            </w:pPr>
          </w:p>
        </w:tc>
      </w:tr>
      <w:tr w:rsidR="00C64B1A" w:rsidRPr="00CD3A14" w:rsidTr="00586708">
        <w:tc>
          <w:tcPr>
            <w:tcW w:w="4883" w:type="dxa"/>
          </w:tcPr>
          <w:p w:rsidR="00C64B1A" w:rsidRPr="00CD3A14" w:rsidRDefault="00C64B1A" w:rsidP="00575C0F">
            <w:pPr>
              <w:pStyle w:val="AGRTableText"/>
            </w:pPr>
            <w:r w:rsidRPr="00CD3A14">
              <w:t>Financial assistance and grants from the Commonwealth</w:t>
            </w:r>
          </w:p>
        </w:tc>
        <w:tc>
          <w:tcPr>
            <w:tcW w:w="1354" w:type="dxa"/>
            <w:vAlign w:val="bottom"/>
          </w:tcPr>
          <w:p w:rsidR="00C64B1A" w:rsidRPr="00CD3A14" w:rsidRDefault="00685F00" w:rsidP="00586708">
            <w:pPr>
              <w:pStyle w:val="AGRTableNumbersBold"/>
              <w:tabs>
                <w:tab w:val="clear" w:pos="811"/>
                <w:tab w:val="decimal" w:pos="1106"/>
              </w:tabs>
              <w:rPr>
                <w:b w:val="0"/>
              </w:rPr>
            </w:pPr>
            <w:r w:rsidRPr="00CD3A14">
              <w:rPr>
                <w:b w:val="0"/>
              </w:rPr>
              <w:t>125,349</w:t>
            </w:r>
          </w:p>
        </w:tc>
        <w:tc>
          <w:tcPr>
            <w:tcW w:w="1417" w:type="dxa"/>
            <w:vAlign w:val="bottom"/>
          </w:tcPr>
          <w:p w:rsidR="00C64B1A" w:rsidRPr="00CD3A14" w:rsidRDefault="00C64B1A" w:rsidP="00C64B1A">
            <w:pPr>
              <w:pStyle w:val="AGRTableNumbersBold"/>
              <w:tabs>
                <w:tab w:val="clear" w:pos="811"/>
                <w:tab w:val="decimal" w:pos="1106"/>
              </w:tabs>
              <w:rPr>
                <w:b w:val="0"/>
              </w:rPr>
            </w:pPr>
            <w:r w:rsidRPr="00CD3A14">
              <w:rPr>
                <w:b w:val="0"/>
              </w:rPr>
              <w:t>121,555</w:t>
            </w:r>
          </w:p>
        </w:tc>
      </w:tr>
      <w:tr w:rsidR="00C64B1A" w:rsidRPr="00CD3A14" w:rsidTr="00586708">
        <w:tc>
          <w:tcPr>
            <w:tcW w:w="4883" w:type="dxa"/>
          </w:tcPr>
          <w:p w:rsidR="00C64B1A" w:rsidRPr="00CD3A14" w:rsidRDefault="00C64B1A" w:rsidP="00575C0F">
            <w:pPr>
              <w:pStyle w:val="AGRTableText"/>
            </w:pPr>
            <w:r w:rsidRPr="00CD3A14">
              <w:t>Financial assistance from the Northern Territory Government</w:t>
            </w:r>
          </w:p>
        </w:tc>
        <w:tc>
          <w:tcPr>
            <w:tcW w:w="1354" w:type="dxa"/>
            <w:vAlign w:val="bottom"/>
          </w:tcPr>
          <w:p w:rsidR="00C64B1A" w:rsidRPr="00CD3A14" w:rsidRDefault="00685F00" w:rsidP="00586708">
            <w:pPr>
              <w:pStyle w:val="AGRTableNumbersBold"/>
              <w:tabs>
                <w:tab w:val="clear" w:pos="811"/>
                <w:tab w:val="decimal" w:pos="1106"/>
              </w:tabs>
              <w:rPr>
                <w:b w:val="0"/>
              </w:rPr>
            </w:pPr>
            <w:r w:rsidRPr="00CD3A14">
              <w:rPr>
                <w:b w:val="0"/>
              </w:rPr>
              <w:t>60,203</w:t>
            </w:r>
          </w:p>
        </w:tc>
        <w:tc>
          <w:tcPr>
            <w:tcW w:w="1417" w:type="dxa"/>
            <w:vAlign w:val="bottom"/>
          </w:tcPr>
          <w:p w:rsidR="00C64B1A" w:rsidRPr="00CD3A14" w:rsidRDefault="00C64B1A" w:rsidP="00C64B1A">
            <w:pPr>
              <w:pStyle w:val="AGRTableNumbersBold"/>
              <w:tabs>
                <w:tab w:val="clear" w:pos="811"/>
                <w:tab w:val="decimal" w:pos="1106"/>
              </w:tabs>
              <w:rPr>
                <w:b w:val="0"/>
              </w:rPr>
            </w:pPr>
            <w:r w:rsidRPr="00CD3A14">
              <w:rPr>
                <w:b w:val="0"/>
              </w:rPr>
              <w:t>61,188</w:t>
            </w:r>
          </w:p>
        </w:tc>
      </w:tr>
      <w:tr w:rsidR="00C64B1A" w:rsidRPr="00CD3A14" w:rsidTr="00586708">
        <w:tc>
          <w:tcPr>
            <w:tcW w:w="4883" w:type="dxa"/>
          </w:tcPr>
          <w:p w:rsidR="00C64B1A" w:rsidRPr="00CD3A14" w:rsidRDefault="00C64B1A" w:rsidP="00575C0F">
            <w:pPr>
              <w:pStyle w:val="AGRTableText"/>
            </w:pPr>
            <w:r w:rsidRPr="00CD3A14">
              <w:t xml:space="preserve">Other revenue (HECS, fees, interest, </w:t>
            </w:r>
            <w:proofErr w:type="spellStart"/>
            <w:r w:rsidRPr="00CD3A14">
              <w:t>etc</w:t>
            </w:r>
            <w:proofErr w:type="spellEnd"/>
            <w:r w:rsidRPr="00CD3A14">
              <w:t>)</w:t>
            </w:r>
          </w:p>
        </w:tc>
        <w:tc>
          <w:tcPr>
            <w:tcW w:w="1354" w:type="dxa"/>
            <w:vAlign w:val="bottom"/>
          </w:tcPr>
          <w:p w:rsidR="00C64B1A" w:rsidRPr="00CD3A14" w:rsidRDefault="00685F00" w:rsidP="00586708">
            <w:pPr>
              <w:pStyle w:val="AGRTableNumbersBold"/>
              <w:tabs>
                <w:tab w:val="clear" w:pos="811"/>
                <w:tab w:val="decimal" w:pos="1106"/>
              </w:tabs>
              <w:rPr>
                <w:b w:val="0"/>
              </w:rPr>
            </w:pPr>
            <w:r w:rsidRPr="00CD3A14">
              <w:rPr>
                <w:b w:val="0"/>
              </w:rPr>
              <w:t>116,733</w:t>
            </w:r>
          </w:p>
        </w:tc>
        <w:tc>
          <w:tcPr>
            <w:tcW w:w="1417" w:type="dxa"/>
            <w:vAlign w:val="bottom"/>
          </w:tcPr>
          <w:p w:rsidR="00C64B1A" w:rsidRPr="00CD3A14" w:rsidRDefault="00C64B1A" w:rsidP="00C64B1A">
            <w:pPr>
              <w:pStyle w:val="AGRTableNumbersBold"/>
              <w:tabs>
                <w:tab w:val="clear" w:pos="811"/>
                <w:tab w:val="decimal" w:pos="1106"/>
              </w:tabs>
              <w:rPr>
                <w:b w:val="0"/>
              </w:rPr>
            </w:pPr>
            <w:r w:rsidRPr="00CD3A14">
              <w:rPr>
                <w:b w:val="0"/>
              </w:rPr>
              <w:t>93,538</w:t>
            </w:r>
          </w:p>
        </w:tc>
      </w:tr>
      <w:tr w:rsidR="00C64B1A" w:rsidRPr="00CD3A14" w:rsidTr="00586708">
        <w:tc>
          <w:tcPr>
            <w:tcW w:w="4883" w:type="dxa"/>
            <w:tcBorders>
              <w:bottom w:val="single" w:sz="4" w:space="0" w:color="auto"/>
            </w:tcBorders>
          </w:tcPr>
          <w:p w:rsidR="00C64B1A" w:rsidRPr="00CD3A14" w:rsidRDefault="00C64B1A" w:rsidP="00575C0F">
            <w:pPr>
              <w:pStyle w:val="AGRTableText"/>
              <w:rPr>
                <w:b/>
                <w:bCs/>
              </w:rPr>
            </w:pPr>
            <w:r w:rsidRPr="00CD3A14">
              <w:rPr>
                <w:b/>
                <w:bCs/>
              </w:rPr>
              <w:t xml:space="preserve">Total revenue from ordinary activities </w:t>
            </w:r>
          </w:p>
        </w:tc>
        <w:tc>
          <w:tcPr>
            <w:tcW w:w="1354" w:type="dxa"/>
            <w:tcBorders>
              <w:bottom w:val="single" w:sz="4" w:space="0" w:color="auto"/>
            </w:tcBorders>
            <w:vAlign w:val="bottom"/>
          </w:tcPr>
          <w:p w:rsidR="00C64B1A" w:rsidRPr="00CD3A14" w:rsidRDefault="00685F00" w:rsidP="00586708">
            <w:pPr>
              <w:pStyle w:val="AGRTableNumbersBold"/>
              <w:tabs>
                <w:tab w:val="clear" w:pos="811"/>
                <w:tab w:val="decimal" w:pos="1106"/>
              </w:tabs>
            </w:pPr>
            <w:r w:rsidRPr="00CD3A14">
              <w:t>302,285</w:t>
            </w:r>
          </w:p>
        </w:tc>
        <w:tc>
          <w:tcPr>
            <w:tcW w:w="1417" w:type="dxa"/>
            <w:tcBorders>
              <w:bottom w:val="single" w:sz="4" w:space="0" w:color="auto"/>
            </w:tcBorders>
            <w:vAlign w:val="bottom"/>
          </w:tcPr>
          <w:p w:rsidR="00C64B1A" w:rsidRPr="00CD3A14" w:rsidRDefault="00C64B1A" w:rsidP="00C64B1A">
            <w:pPr>
              <w:pStyle w:val="AGRTableNumbersBold"/>
              <w:tabs>
                <w:tab w:val="clear" w:pos="811"/>
                <w:tab w:val="decimal" w:pos="1106"/>
              </w:tabs>
            </w:pPr>
            <w:r w:rsidRPr="00CD3A14">
              <w:t>276,281</w:t>
            </w:r>
          </w:p>
        </w:tc>
      </w:tr>
      <w:tr w:rsidR="00C64B1A" w:rsidRPr="00CD3A14" w:rsidTr="00586708">
        <w:tc>
          <w:tcPr>
            <w:tcW w:w="4883" w:type="dxa"/>
            <w:tcBorders>
              <w:top w:val="single" w:sz="4" w:space="0" w:color="auto"/>
            </w:tcBorders>
          </w:tcPr>
          <w:p w:rsidR="00C64B1A" w:rsidRPr="00CD3A14" w:rsidRDefault="00C64B1A" w:rsidP="00575C0F">
            <w:pPr>
              <w:pStyle w:val="AGRTableText"/>
              <w:rPr>
                <w:b/>
                <w:bCs/>
              </w:rPr>
            </w:pPr>
            <w:r w:rsidRPr="00CD3A14">
              <w:rPr>
                <w:b/>
                <w:bCs/>
              </w:rPr>
              <w:t xml:space="preserve">Less expenses from ordinary activities </w:t>
            </w:r>
          </w:p>
        </w:tc>
        <w:tc>
          <w:tcPr>
            <w:tcW w:w="1354" w:type="dxa"/>
            <w:tcBorders>
              <w:top w:val="single" w:sz="4" w:space="0" w:color="auto"/>
            </w:tcBorders>
            <w:vAlign w:val="bottom"/>
          </w:tcPr>
          <w:p w:rsidR="00C64B1A" w:rsidRPr="00CD3A14" w:rsidRDefault="00C64B1A" w:rsidP="00586708">
            <w:pPr>
              <w:pStyle w:val="AGRTableNumbersBold"/>
              <w:tabs>
                <w:tab w:val="clear" w:pos="811"/>
                <w:tab w:val="decimal" w:pos="1106"/>
              </w:tabs>
            </w:pPr>
          </w:p>
        </w:tc>
        <w:tc>
          <w:tcPr>
            <w:tcW w:w="1417" w:type="dxa"/>
            <w:tcBorders>
              <w:top w:val="single" w:sz="4" w:space="0" w:color="auto"/>
            </w:tcBorders>
            <w:vAlign w:val="bottom"/>
          </w:tcPr>
          <w:p w:rsidR="00C64B1A" w:rsidRPr="00CD3A14" w:rsidRDefault="00C64B1A" w:rsidP="00C64B1A">
            <w:pPr>
              <w:pStyle w:val="AGRTableNumbersBold"/>
              <w:tabs>
                <w:tab w:val="clear" w:pos="811"/>
                <w:tab w:val="decimal" w:pos="1106"/>
              </w:tabs>
            </w:pPr>
          </w:p>
        </w:tc>
      </w:tr>
      <w:tr w:rsidR="00C64B1A" w:rsidRPr="00CD3A14" w:rsidTr="00586708">
        <w:tc>
          <w:tcPr>
            <w:tcW w:w="4883" w:type="dxa"/>
          </w:tcPr>
          <w:p w:rsidR="00C64B1A" w:rsidRPr="00CD3A14" w:rsidRDefault="00C64B1A" w:rsidP="00575C0F">
            <w:pPr>
              <w:pStyle w:val="AGRTableText"/>
            </w:pPr>
            <w:r w:rsidRPr="00CD3A14">
              <w:t>Employee related costs</w:t>
            </w:r>
          </w:p>
        </w:tc>
        <w:tc>
          <w:tcPr>
            <w:tcW w:w="1354" w:type="dxa"/>
            <w:vAlign w:val="bottom"/>
          </w:tcPr>
          <w:p w:rsidR="00C64B1A" w:rsidRPr="00CD3A14" w:rsidRDefault="00685F00" w:rsidP="00586708">
            <w:pPr>
              <w:pStyle w:val="AGRTableNumbersBold"/>
              <w:tabs>
                <w:tab w:val="clear" w:pos="811"/>
                <w:tab w:val="decimal" w:pos="1106"/>
              </w:tabs>
              <w:rPr>
                <w:b w:val="0"/>
              </w:rPr>
            </w:pPr>
            <w:r w:rsidRPr="00CD3A14">
              <w:rPr>
                <w:b w:val="0"/>
              </w:rPr>
              <w:t>(147,703)</w:t>
            </w:r>
          </w:p>
        </w:tc>
        <w:tc>
          <w:tcPr>
            <w:tcW w:w="1417" w:type="dxa"/>
            <w:vAlign w:val="bottom"/>
          </w:tcPr>
          <w:p w:rsidR="00C64B1A" w:rsidRPr="00CD3A14" w:rsidRDefault="00C64B1A" w:rsidP="00C64B1A">
            <w:pPr>
              <w:pStyle w:val="AGRTableNumbersBold"/>
              <w:tabs>
                <w:tab w:val="clear" w:pos="811"/>
                <w:tab w:val="decimal" w:pos="1106"/>
              </w:tabs>
              <w:rPr>
                <w:b w:val="0"/>
              </w:rPr>
            </w:pPr>
            <w:r w:rsidRPr="00CD3A14">
              <w:rPr>
                <w:b w:val="0"/>
              </w:rPr>
              <w:t>(135,911)</w:t>
            </w:r>
          </w:p>
        </w:tc>
      </w:tr>
      <w:tr w:rsidR="00C64B1A" w:rsidRPr="00CD3A14" w:rsidTr="00586708">
        <w:tc>
          <w:tcPr>
            <w:tcW w:w="4883" w:type="dxa"/>
          </w:tcPr>
          <w:p w:rsidR="00C64B1A" w:rsidRPr="00CD3A14" w:rsidRDefault="00C64B1A" w:rsidP="00575C0F">
            <w:pPr>
              <w:pStyle w:val="AGRTableText"/>
            </w:pPr>
            <w:r w:rsidRPr="00CD3A14">
              <w:t>Administration, operational and other expenses</w:t>
            </w:r>
          </w:p>
        </w:tc>
        <w:tc>
          <w:tcPr>
            <w:tcW w:w="1354" w:type="dxa"/>
            <w:vAlign w:val="bottom"/>
          </w:tcPr>
          <w:p w:rsidR="00C64B1A" w:rsidRPr="00CD3A14" w:rsidRDefault="00685F00" w:rsidP="00586708">
            <w:pPr>
              <w:pStyle w:val="AGRTableNumbersBold"/>
              <w:tabs>
                <w:tab w:val="clear" w:pos="811"/>
                <w:tab w:val="decimal" w:pos="1106"/>
              </w:tabs>
              <w:rPr>
                <w:b w:val="0"/>
              </w:rPr>
            </w:pPr>
            <w:r w:rsidRPr="00CD3A14">
              <w:rPr>
                <w:b w:val="0"/>
              </w:rPr>
              <w:t>(147,568)</w:t>
            </w:r>
          </w:p>
        </w:tc>
        <w:tc>
          <w:tcPr>
            <w:tcW w:w="1417" w:type="dxa"/>
            <w:vAlign w:val="bottom"/>
          </w:tcPr>
          <w:p w:rsidR="00C64B1A" w:rsidRPr="00CD3A14" w:rsidRDefault="00C64B1A" w:rsidP="00C64B1A">
            <w:pPr>
              <w:pStyle w:val="AGRTableNumbersBold"/>
              <w:tabs>
                <w:tab w:val="clear" w:pos="811"/>
                <w:tab w:val="decimal" w:pos="1106"/>
              </w:tabs>
              <w:rPr>
                <w:b w:val="0"/>
              </w:rPr>
            </w:pPr>
            <w:r w:rsidRPr="00CD3A14">
              <w:rPr>
                <w:b w:val="0"/>
              </w:rPr>
              <w:t>(129,879)</w:t>
            </w:r>
          </w:p>
        </w:tc>
      </w:tr>
      <w:tr w:rsidR="00C64B1A" w:rsidRPr="00CD3A14" w:rsidTr="00586708">
        <w:tc>
          <w:tcPr>
            <w:tcW w:w="4883" w:type="dxa"/>
            <w:tcBorders>
              <w:bottom w:val="single" w:sz="4" w:space="0" w:color="auto"/>
            </w:tcBorders>
          </w:tcPr>
          <w:p w:rsidR="00C64B1A" w:rsidRPr="00CD3A14" w:rsidRDefault="00C64B1A" w:rsidP="00575C0F">
            <w:pPr>
              <w:pStyle w:val="AGRTableText"/>
              <w:rPr>
                <w:b/>
                <w:bCs/>
              </w:rPr>
            </w:pPr>
            <w:r w:rsidRPr="00CD3A14">
              <w:rPr>
                <w:b/>
                <w:bCs/>
              </w:rPr>
              <w:t xml:space="preserve">Total expenses from ordinary activities </w:t>
            </w:r>
          </w:p>
        </w:tc>
        <w:tc>
          <w:tcPr>
            <w:tcW w:w="1354" w:type="dxa"/>
            <w:tcBorders>
              <w:bottom w:val="single" w:sz="4" w:space="0" w:color="auto"/>
            </w:tcBorders>
            <w:vAlign w:val="bottom"/>
          </w:tcPr>
          <w:p w:rsidR="00C64B1A" w:rsidRPr="00CD3A14" w:rsidRDefault="00685F00" w:rsidP="008D4645">
            <w:pPr>
              <w:pStyle w:val="AGRTableNumbersBold"/>
              <w:tabs>
                <w:tab w:val="clear" w:pos="811"/>
                <w:tab w:val="decimal" w:pos="1106"/>
              </w:tabs>
            </w:pPr>
            <w:r w:rsidRPr="00CD3A14">
              <w:t>(295,271)</w:t>
            </w:r>
          </w:p>
        </w:tc>
        <w:tc>
          <w:tcPr>
            <w:tcW w:w="1417" w:type="dxa"/>
            <w:tcBorders>
              <w:bottom w:val="single" w:sz="4" w:space="0" w:color="auto"/>
            </w:tcBorders>
            <w:vAlign w:val="bottom"/>
          </w:tcPr>
          <w:p w:rsidR="00C64B1A" w:rsidRPr="00CD3A14" w:rsidRDefault="00C64B1A" w:rsidP="00C64B1A">
            <w:pPr>
              <w:pStyle w:val="AGRTableNumbersBold"/>
              <w:tabs>
                <w:tab w:val="clear" w:pos="811"/>
                <w:tab w:val="decimal" w:pos="1106"/>
              </w:tabs>
            </w:pPr>
            <w:r w:rsidRPr="00CD3A14">
              <w:t>(265,790)</w:t>
            </w:r>
          </w:p>
        </w:tc>
      </w:tr>
      <w:tr w:rsidR="00C64B1A" w:rsidRPr="00CD3A14" w:rsidTr="00586708">
        <w:tc>
          <w:tcPr>
            <w:tcW w:w="4883" w:type="dxa"/>
            <w:tcBorders>
              <w:top w:val="single" w:sz="4" w:space="0" w:color="auto"/>
              <w:bottom w:val="single" w:sz="4" w:space="0" w:color="auto"/>
            </w:tcBorders>
          </w:tcPr>
          <w:p w:rsidR="00C64B1A" w:rsidRPr="00CD3A14" w:rsidRDefault="00C64B1A" w:rsidP="00575C0F">
            <w:pPr>
              <w:pStyle w:val="AGRTableText"/>
              <w:rPr>
                <w:b/>
                <w:bCs/>
              </w:rPr>
            </w:pPr>
            <w:r w:rsidRPr="00CD3A14">
              <w:rPr>
                <w:b/>
                <w:bCs/>
              </w:rPr>
              <w:t>Operating result for the year</w:t>
            </w:r>
          </w:p>
        </w:tc>
        <w:tc>
          <w:tcPr>
            <w:tcW w:w="1354" w:type="dxa"/>
            <w:tcBorders>
              <w:top w:val="single" w:sz="4" w:space="0" w:color="auto"/>
              <w:bottom w:val="single" w:sz="4" w:space="0" w:color="auto"/>
            </w:tcBorders>
            <w:vAlign w:val="bottom"/>
          </w:tcPr>
          <w:p w:rsidR="00C64B1A" w:rsidRPr="00CD3A14" w:rsidRDefault="00685F00" w:rsidP="00586708">
            <w:pPr>
              <w:pStyle w:val="AGRTableNumbersBold"/>
              <w:tabs>
                <w:tab w:val="clear" w:pos="811"/>
                <w:tab w:val="decimal" w:pos="1106"/>
              </w:tabs>
            </w:pPr>
            <w:r w:rsidRPr="00CD3A14">
              <w:t>7,014</w:t>
            </w:r>
          </w:p>
        </w:tc>
        <w:tc>
          <w:tcPr>
            <w:tcW w:w="1417" w:type="dxa"/>
            <w:tcBorders>
              <w:top w:val="single" w:sz="4" w:space="0" w:color="auto"/>
              <w:bottom w:val="single" w:sz="4" w:space="0" w:color="auto"/>
            </w:tcBorders>
            <w:vAlign w:val="bottom"/>
          </w:tcPr>
          <w:p w:rsidR="00C64B1A" w:rsidRPr="00CD3A14" w:rsidRDefault="00C64B1A" w:rsidP="00C64B1A">
            <w:pPr>
              <w:pStyle w:val="AGRTableNumbersBold"/>
              <w:tabs>
                <w:tab w:val="clear" w:pos="811"/>
                <w:tab w:val="decimal" w:pos="1106"/>
              </w:tabs>
            </w:pPr>
            <w:r w:rsidRPr="00CD3A14">
              <w:t>10,491</w:t>
            </w:r>
          </w:p>
        </w:tc>
      </w:tr>
    </w:tbl>
    <w:p w:rsidR="007B6336" w:rsidRPr="00CD3A14" w:rsidRDefault="007B6336" w:rsidP="0013400B">
      <w:pPr>
        <w:pStyle w:val="AGRBodyText"/>
        <w:rPr>
          <w:noProof w:val="0"/>
          <w:lang w:val="en-AU"/>
        </w:rPr>
      </w:pPr>
      <w:r w:rsidRPr="00CD3A14">
        <w:rPr>
          <w:noProof w:val="0"/>
          <w:lang w:val="en-AU"/>
        </w:rPr>
        <w:t>The University reported a net operating result of $7.0 million for the year ended 31 December 2014. The decline of $3.5 million compared to the prior year was attributed to the increase in total revenue from continuing operations of $26.0 million being offset by an increase in total expenses from continuing operations of $29.5 million.</w:t>
      </w:r>
    </w:p>
    <w:p w:rsidR="007B6336" w:rsidRPr="00CD3A14" w:rsidRDefault="007B6336" w:rsidP="0013400B">
      <w:pPr>
        <w:pStyle w:val="AGRBodyText"/>
        <w:rPr>
          <w:noProof w:val="0"/>
          <w:lang w:val="en-AU"/>
        </w:rPr>
      </w:pPr>
      <w:r w:rsidRPr="00CD3A14">
        <w:rPr>
          <w:noProof w:val="0"/>
          <w:lang w:val="en-AU"/>
        </w:rPr>
        <w:t>The increase in total revenue from continuing operations of $26.0 million reflects the following major movements:</w:t>
      </w:r>
    </w:p>
    <w:p w:rsidR="007B6336" w:rsidRPr="00CD3A14" w:rsidRDefault="007B6336" w:rsidP="0013400B">
      <w:pPr>
        <w:pStyle w:val="AGRBulletText"/>
        <w:rPr>
          <w:noProof w:val="0"/>
          <w:lang w:val="en-AU"/>
        </w:rPr>
      </w:pPr>
      <w:r w:rsidRPr="00CD3A14">
        <w:rPr>
          <w:noProof w:val="0"/>
          <w:lang w:val="en-AU"/>
        </w:rPr>
        <w:t>An increase of $4.3 million in relation to fees and charges compared to the prior year – attributed to the increase in the number of students and revenue from fee paying overseas students studying at the University;</w:t>
      </w:r>
    </w:p>
    <w:p w:rsidR="007B6336" w:rsidRPr="00CD3A14" w:rsidRDefault="007B6336" w:rsidP="0013400B">
      <w:pPr>
        <w:pStyle w:val="AGRBulletText"/>
        <w:rPr>
          <w:noProof w:val="0"/>
          <w:lang w:val="en-AU"/>
        </w:rPr>
      </w:pPr>
      <w:r w:rsidRPr="00CD3A14">
        <w:rPr>
          <w:noProof w:val="0"/>
          <w:lang w:val="en-AU"/>
        </w:rPr>
        <w:t xml:space="preserve">An increase of $17.8 million in relation to other revenue compared to </w:t>
      </w:r>
      <w:r w:rsidR="004764F9">
        <w:rPr>
          <w:noProof w:val="0"/>
          <w:lang w:val="en-AU"/>
        </w:rPr>
        <w:t xml:space="preserve">the </w:t>
      </w:r>
      <w:r w:rsidRPr="00CD3A14">
        <w:rPr>
          <w:noProof w:val="0"/>
          <w:lang w:val="en-AU"/>
        </w:rPr>
        <w:t>prior year of which $16.5 million arose from increased income from jointly controlled operations being the revenue from the sale of lots at Palmerston in relation to The Heights Durack Project; with</w:t>
      </w:r>
    </w:p>
    <w:p w:rsidR="007B6336" w:rsidRPr="00CD3A14" w:rsidRDefault="007B6336" w:rsidP="0013400B">
      <w:pPr>
        <w:pStyle w:val="AGRBulletText"/>
        <w:rPr>
          <w:noProof w:val="0"/>
          <w:lang w:val="en-AU"/>
        </w:rPr>
      </w:pPr>
      <w:r w:rsidRPr="00CD3A14">
        <w:rPr>
          <w:noProof w:val="0"/>
          <w:lang w:val="en-AU"/>
        </w:rPr>
        <w:t>The remaining movement of $3.9 million relat</w:t>
      </w:r>
      <w:r w:rsidR="00DA034A" w:rsidRPr="00CD3A14">
        <w:rPr>
          <w:noProof w:val="0"/>
          <w:lang w:val="en-AU"/>
        </w:rPr>
        <w:t>ed</w:t>
      </w:r>
      <w:r w:rsidRPr="00CD3A14">
        <w:rPr>
          <w:noProof w:val="0"/>
          <w:lang w:val="en-AU"/>
        </w:rPr>
        <w:t xml:space="preserve"> to various other revenue accounts</w:t>
      </w:r>
      <w:r w:rsidR="00DA034A" w:rsidRPr="00CD3A14">
        <w:rPr>
          <w:noProof w:val="0"/>
          <w:lang w:val="en-AU"/>
        </w:rPr>
        <w:t>, the</w:t>
      </w:r>
      <w:r w:rsidRPr="00CD3A14">
        <w:rPr>
          <w:noProof w:val="0"/>
          <w:lang w:val="en-AU"/>
        </w:rPr>
        <w:t xml:space="preserve"> individual movements </w:t>
      </w:r>
      <w:r w:rsidR="00DA034A" w:rsidRPr="00CD3A14">
        <w:rPr>
          <w:noProof w:val="0"/>
          <w:lang w:val="en-AU"/>
        </w:rPr>
        <w:t xml:space="preserve">of which </w:t>
      </w:r>
      <w:r w:rsidRPr="00CD3A14">
        <w:rPr>
          <w:noProof w:val="0"/>
          <w:lang w:val="en-AU"/>
        </w:rPr>
        <w:t>were not material when compared to the prior year.</w:t>
      </w:r>
    </w:p>
    <w:p w:rsidR="007B6336" w:rsidRPr="00CD3A14" w:rsidRDefault="007B6336" w:rsidP="007B6336">
      <w:pPr>
        <w:pStyle w:val="AGRHeading1"/>
      </w:pPr>
      <w:r w:rsidRPr="00CD3A14">
        <w:t xml:space="preserve">Charles Darwin University </w:t>
      </w:r>
      <w:proofErr w:type="spellStart"/>
      <w:r w:rsidRPr="00CD3A14">
        <w:t>cont</w:t>
      </w:r>
      <w:proofErr w:type="spellEnd"/>
      <w:r w:rsidRPr="00CD3A14">
        <w:t>…</w:t>
      </w:r>
    </w:p>
    <w:p w:rsidR="007B6336" w:rsidRPr="00CD3A14" w:rsidRDefault="007B6336" w:rsidP="0013400B">
      <w:pPr>
        <w:pStyle w:val="AGRBodyText"/>
        <w:rPr>
          <w:noProof w:val="0"/>
          <w:lang w:val="en-AU"/>
        </w:rPr>
      </w:pPr>
      <w:r w:rsidRPr="00CD3A14">
        <w:rPr>
          <w:noProof w:val="0"/>
          <w:lang w:val="en-AU"/>
        </w:rPr>
        <w:t>The increase in total expenses from continuing operations of $29.5 million was attributed to the following major movements:</w:t>
      </w:r>
    </w:p>
    <w:p w:rsidR="007B6336" w:rsidRPr="00CD3A14" w:rsidRDefault="007B6336" w:rsidP="0013400B">
      <w:pPr>
        <w:pStyle w:val="AGRBulletText"/>
        <w:rPr>
          <w:noProof w:val="0"/>
          <w:lang w:val="en-AU"/>
        </w:rPr>
      </w:pPr>
      <w:r w:rsidRPr="00CD3A14">
        <w:rPr>
          <w:noProof w:val="0"/>
          <w:lang w:val="en-AU"/>
        </w:rPr>
        <w:t>Employee-related expenses increased by $11.8 million compared to prior year as a result of increased employee numbers (from 1,382 in 2013 to 1,475 in 2014) together with a 3% increase in salaries and wages across all level</w:t>
      </w:r>
      <w:r w:rsidR="004764F9">
        <w:rPr>
          <w:noProof w:val="0"/>
          <w:lang w:val="en-AU"/>
        </w:rPr>
        <w:t>s</w:t>
      </w:r>
      <w:r w:rsidRPr="00CD3A14">
        <w:rPr>
          <w:noProof w:val="0"/>
          <w:lang w:val="en-AU"/>
        </w:rPr>
        <w:t xml:space="preserve"> of employees at the University effective from 1 July 2014; and</w:t>
      </w:r>
    </w:p>
    <w:p w:rsidR="007B6336" w:rsidRPr="00CD3A14" w:rsidRDefault="007B6336" w:rsidP="0013400B">
      <w:pPr>
        <w:pStyle w:val="AGRBulletText"/>
        <w:rPr>
          <w:noProof w:val="0"/>
          <w:lang w:val="en-AU"/>
        </w:rPr>
      </w:pPr>
      <w:r w:rsidRPr="00CD3A14">
        <w:rPr>
          <w:noProof w:val="0"/>
          <w:lang w:val="en-AU"/>
        </w:rPr>
        <w:t>An increase of $16.7 million in other expenses compared to the prior year, being $13.3 million relating to the sale of lots at Palmerston in relation to The Heights Durack Project; and $3.4 million relating to materials including IT Licence</w:t>
      </w:r>
      <w:r w:rsidR="004764F9">
        <w:rPr>
          <w:noProof w:val="0"/>
          <w:lang w:val="en-AU"/>
        </w:rPr>
        <w:t>s</w:t>
      </w:r>
      <w:r w:rsidRPr="00CD3A14">
        <w:rPr>
          <w:noProof w:val="0"/>
          <w:lang w:val="en-AU"/>
        </w:rPr>
        <w:t xml:space="preserve"> and Software, Books and Publications and Student Related Expenses.</w:t>
      </w:r>
    </w:p>
    <w:p w:rsidR="007B6336" w:rsidRPr="00CD3A14" w:rsidRDefault="007B6336" w:rsidP="0013400B">
      <w:pPr>
        <w:pStyle w:val="AGRBulletText"/>
        <w:rPr>
          <w:noProof w:val="0"/>
          <w:lang w:val="en-AU"/>
        </w:rPr>
      </w:pPr>
      <w:r w:rsidRPr="00CD3A14">
        <w:rPr>
          <w:noProof w:val="0"/>
          <w:lang w:val="en-AU"/>
        </w:rPr>
        <w:t>The remaining movement of $1 million relates to</w:t>
      </w:r>
      <w:r w:rsidR="00DA034A" w:rsidRPr="00CD3A14">
        <w:rPr>
          <w:noProof w:val="0"/>
          <w:lang w:val="en-AU"/>
        </w:rPr>
        <w:t xml:space="preserve"> various</w:t>
      </w:r>
      <w:r w:rsidRPr="00CD3A14">
        <w:rPr>
          <w:noProof w:val="0"/>
          <w:lang w:val="en-AU"/>
        </w:rPr>
        <w:t xml:space="preserve"> other expense accounts</w:t>
      </w:r>
      <w:r w:rsidR="00DA034A" w:rsidRPr="00CD3A14">
        <w:rPr>
          <w:noProof w:val="0"/>
          <w:lang w:val="en-AU"/>
        </w:rPr>
        <w:t>. For those accounts</w:t>
      </w:r>
      <w:r w:rsidRPr="00CD3A14">
        <w:rPr>
          <w:noProof w:val="0"/>
          <w:lang w:val="en-AU"/>
        </w:rPr>
        <w:t>, the movement is not material compared to prior year.</w:t>
      </w:r>
    </w:p>
    <w:p w:rsidR="004C2FA4" w:rsidRPr="00CD3A14" w:rsidRDefault="004C2FA4" w:rsidP="00C67DA8">
      <w:pPr>
        <w:pStyle w:val="AGRHeading1"/>
      </w:pPr>
      <w:r w:rsidRPr="00CD3A14">
        <w:t xml:space="preserve">Charles Darwin University </w:t>
      </w:r>
      <w:proofErr w:type="spellStart"/>
      <w:r w:rsidRPr="00CD3A14">
        <w:t>cont</w:t>
      </w:r>
      <w:proofErr w:type="spellEnd"/>
      <w:r w:rsidRPr="00CD3A14">
        <w:t>…</w:t>
      </w:r>
    </w:p>
    <w:p w:rsidR="00DD7386" w:rsidRPr="00CD3A14" w:rsidRDefault="00DD7386" w:rsidP="00C708C3">
      <w:pPr>
        <w:pStyle w:val="AGRHeading3"/>
      </w:pPr>
      <w:r w:rsidRPr="00CD3A14">
        <w:t>Financial Position</w:t>
      </w:r>
      <w:r w:rsidR="00A9071D" w:rsidRPr="00CD3A14">
        <w:t xml:space="preserve"> of the University</w:t>
      </w:r>
      <w:r w:rsidRPr="00CD3A14">
        <w:t xml:space="preserve"> at year end – excluding controlled entities</w:t>
      </w:r>
    </w:p>
    <w:tbl>
      <w:tblPr>
        <w:tblW w:w="7371" w:type="dxa"/>
        <w:tblInd w:w="851" w:type="dxa"/>
        <w:tblLook w:val="01E0" w:firstRow="1" w:lastRow="1" w:firstColumn="1" w:lastColumn="1" w:noHBand="0" w:noVBand="0"/>
      </w:tblPr>
      <w:tblGrid>
        <w:gridCol w:w="4728"/>
        <w:gridCol w:w="1322"/>
        <w:gridCol w:w="1321"/>
      </w:tblGrid>
      <w:tr w:rsidR="00DD7386" w:rsidRPr="00CD3A14" w:rsidTr="00DD7386">
        <w:tc>
          <w:tcPr>
            <w:tcW w:w="4728" w:type="dxa"/>
            <w:tcBorders>
              <w:bottom w:val="single" w:sz="4" w:space="0" w:color="auto"/>
            </w:tcBorders>
          </w:tcPr>
          <w:p w:rsidR="00DD7386" w:rsidRPr="00CD3A14" w:rsidRDefault="00DD7386" w:rsidP="00DD7386">
            <w:pPr>
              <w:pStyle w:val="AGRTableText"/>
            </w:pPr>
          </w:p>
        </w:tc>
        <w:tc>
          <w:tcPr>
            <w:tcW w:w="1322" w:type="dxa"/>
            <w:tcBorders>
              <w:bottom w:val="single" w:sz="4" w:space="0" w:color="auto"/>
            </w:tcBorders>
          </w:tcPr>
          <w:p w:rsidR="00DD7386" w:rsidRPr="00CD3A14" w:rsidRDefault="00DD7386" w:rsidP="00C64B1A">
            <w:pPr>
              <w:pStyle w:val="AGRTableText"/>
              <w:tabs>
                <w:tab w:val="center" w:pos="570"/>
              </w:tabs>
            </w:pPr>
            <w:r w:rsidRPr="00CD3A14">
              <w:tab/>
            </w:r>
            <w:r w:rsidR="00313635" w:rsidRPr="00CD3A14">
              <w:t>201</w:t>
            </w:r>
            <w:r w:rsidR="00C64B1A" w:rsidRPr="00CD3A14">
              <w:t>4</w:t>
            </w:r>
          </w:p>
        </w:tc>
        <w:tc>
          <w:tcPr>
            <w:tcW w:w="1321" w:type="dxa"/>
            <w:tcBorders>
              <w:bottom w:val="single" w:sz="4" w:space="0" w:color="auto"/>
            </w:tcBorders>
          </w:tcPr>
          <w:p w:rsidR="00DD7386" w:rsidRPr="00CD3A14" w:rsidRDefault="00DD7386" w:rsidP="00C64B1A">
            <w:pPr>
              <w:pStyle w:val="AGRTableText"/>
              <w:tabs>
                <w:tab w:val="center" w:pos="570"/>
              </w:tabs>
            </w:pPr>
            <w:r w:rsidRPr="00CD3A14">
              <w:tab/>
            </w:r>
            <w:r w:rsidR="00982C76" w:rsidRPr="00CD3A14">
              <w:t>201</w:t>
            </w:r>
            <w:r w:rsidR="00C64B1A" w:rsidRPr="00CD3A14">
              <w:t>3</w:t>
            </w:r>
          </w:p>
        </w:tc>
      </w:tr>
      <w:tr w:rsidR="00DD7386" w:rsidRPr="00CD3A14" w:rsidTr="00DD7386">
        <w:tc>
          <w:tcPr>
            <w:tcW w:w="4728" w:type="dxa"/>
            <w:tcBorders>
              <w:top w:val="single" w:sz="4" w:space="0" w:color="auto"/>
            </w:tcBorders>
          </w:tcPr>
          <w:p w:rsidR="00DD7386" w:rsidRPr="00CD3A14" w:rsidRDefault="00DD7386" w:rsidP="00DD7386">
            <w:pPr>
              <w:pStyle w:val="AGRTableText"/>
            </w:pPr>
          </w:p>
        </w:tc>
        <w:tc>
          <w:tcPr>
            <w:tcW w:w="1322" w:type="dxa"/>
            <w:tcBorders>
              <w:top w:val="single" w:sz="4" w:space="0" w:color="auto"/>
            </w:tcBorders>
          </w:tcPr>
          <w:p w:rsidR="00DD7386" w:rsidRPr="00CD3A14" w:rsidRDefault="00DD7386" w:rsidP="00DD7386">
            <w:pPr>
              <w:pStyle w:val="AGRTableText"/>
              <w:tabs>
                <w:tab w:val="center" w:pos="570"/>
              </w:tabs>
            </w:pPr>
            <w:r w:rsidRPr="00CD3A14">
              <w:tab/>
              <w:t>$’000</w:t>
            </w:r>
          </w:p>
        </w:tc>
        <w:tc>
          <w:tcPr>
            <w:tcW w:w="1321" w:type="dxa"/>
            <w:tcBorders>
              <w:top w:val="single" w:sz="4" w:space="0" w:color="auto"/>
            </w:tcBorders>
          </w:tcPr>
          <w:p w:rsidR="00DD7386" w:rsidRPr="00CD3A14" w:rsidRDefault="00DD7386" w:rsidP="00DD7386">
            <w:pPr>
              <w:pStyle w:val="AGRTableText"/>
              <w:tabs>
                <w:tab w:val="center" w:pos="570"/>
              </w:tabs>
            </w:pPr>
            <w:r w:rsidRPr="00CD3A14">
              <w:tab/>
              <w:t>$’000</w:t>
            </w:r>
          </w:p>
        </w:tc>
      </w:tr>
      <w:tr w:rsidR="00C64B1A" w:rsidRPr="00CD3A14" w:rsidTr="00DD7386">
        <w:tc>
          <w:tcPr>
            <w:tcW w:w="4728" w:type="dxa"/>
          </w:tcPr>
          <w:p w:rsidR="00C64B1A" w:rsidRPr="00CD3A14" w:rsidRDefault="00C64B1A" w:rsidP="00DD7386">
            <w:pPr>
              <w:pStyle w:val="AGRTableText"/>
            </w:pPr>
            <w:r w:rsidRPr="00CD3A14">
              <w:t>Current assets</w:t>
            </w:r>
          </w:p>
        </w:tc>
        <w:tc>
          <w:tcPr>
            <w:tcW w:w="1322" w:type="dxa"/>
          </w:tcPr>
          <w:p w:rsidR="00C64B1A" w:rsidRPr="00CD3A14" w:rsidRDefault="00685F00" w:rsidP="00DD7386">
            <w:pPr>
              <w:pStyle w:val="AGRTableNumbers"/>
            </w:pPr>
            <w:r w:rsidRPr="00CD3A14">
              <w:t>120,845</w:t>
            </w:r>
          </w:p>
        </w:tc>
        <w:tc>
          <w:tcPr>
            <w:tcW w:w="1321" w:type="dxa"/>
          </w:tcPr>
          <w:p w:rsidR="00C64B1A" w:rsidRPr="00CD3A14" w:rsidRDefault="00C64B1A" w:rsidP="00C64B1A">
            <w:pPr>
              <w:pStyle w:val="AGRTableNumbers"/>
            </w:pPr>
            <w:r w:rsidRPr="00CD3A14">
              <w:t>126,431</w:t>
            </w:r>
          </w:p>
        </w:tc>
      </w:tr>
      <w:tr w:rsidR="00C64B1A" w:rsidRPr="00CD3A14" w:rsidTr="00DD7386">
        <w:tc>
          <w:tcPr>
            <w:tcW w:w="4728" w:type="dxa"/>
          </w:tcPr>
          <w:p w:rsidR="00C64B1A" w:rsidRPr="00CD3A14" w:rsidRDefault="00C64B1A" w:rsidP="00DD7386">
            <w:pPr>
              <w:pStyle w:val="AGRTableText"/>
            </w:pPr>
            <w:r w:rsidRPr="00CD3A14">
              <w:t>Less current liabilities</w:t>
            </w:r>
          </w:p>
        </w:tc>
        <w:tc>
          <w:tcPr>
            <w:tcW w:w="1322" w:type="dxa"/>
          </w:tcPr>
          <w:p w:rsidR="00C64B1A" w:rsidRPr="00CD3A14" w:rsidRDefault="00685F00" w:rsidP="00982C76">
            <w:pPr>
              <w:pStyle w:val="AGRTableText"/>
              <w:tabs>
                <w:tab w:val="decimal" w:pos="811"/>
              </w:tabs>
            </w:pPr>
            <w:r w:rsidRPr="00CD3A14">
              <w:t>(44,934)</w:t>
            </w:r>
          </w:p>
        </w:tc>
        <w:tc>
          <w:tcPr>
            <w:tcW w:w="1321" w:type="dxa"/>
          </w:tcPr>
          <w:p w:rsidR="00C64B1A" w:rsidRPr="00CD3A14" w:rsidRDefault="00C64B1A" w:rsidP="00C64B1A">
            <w:pPr>
              <w:pStyle w:val="AGRTableText"/>
              <w:tabs>
                <w:tab w:val="decimal" w:pos="811"/>
              </w:tabs>
            </w:pPr>
            <w:r w:rsidRPr="00CD3A14">
              <w:t>(39,532)</w:t>
            </w:r>
          </w:p>
        </w:tc>
      </w:tr>
      <w:tr w:rsidR="00C64B1A" w:rsidRPr="00CD3A14" w:rsidTr="00DD7386">
        <w:tc>
          <w:tcPr>
            <w:tcW w:w="4728" w:type="dxa"/>
            <w:tcBorders>
              <w:bottom w:val="single" w:sz="4" w:space="0" w:color="auto"/>
            </w:tcBorders>
          </w:tcPr>
          <w:p w:rsidR="00C64B1A" w:rsidRPr="00CD3A14" w:rsidRDefault="00C64B1A" w:rsidP="009868FF">
            <w:pPr>
              <w:pStyle w:val="AGRTableTextBold"/>
            </w:pPr>
            <w:r w:rsidRPr="00CD3A14">
              <w:t>Working capital</w:t>
            </w:r>
          </w:p>
        </w:tc>
        <w:tc>
          <w:tcPr>
            <w:tcW w:w="1322" w:type="dxa"/>
            <w:tcBorders>
              <w:bottom w:val="single" w:sz="4" w:space="0" w:color="auto"/>
            </w:tcBorders>
          </w:tcPr>
          <w:p w:rsidR="00C64B1A" w:rsidRPr="00CD3A14" w:rsidRDefault="00685F00" w:rsidP="00DD7386">
            <w:pPr>
              <w:pStyle w:val="AGRTableNumbersBold"/>
            </w:pPr>
            <w:r w:rsidRPr="00CD3A14">
              <w:t>75,911</w:t>
            </w:r>
          </w:p>
        </w:tc>
        <w:tc>
          <w:tcPr>
            <w:tcW w:w="1321" w:type="dxa"/>
            <w:tcBorders>
              <w:bottom w:val="single" w:sz="4" w:space="0" w:color="auto"/>
            </w:tcBorders>
          </w:tcPr>
          <w:p w:rsidR="00C64B1A" w:rsidRPr="00CD3A14" w:rsidRDefault="00C64B1A" w:rsidP="00C64B1A">
            <w:pPr>
              <w:pStyle w:val="AGRTableNumbersBold"/>
            </w:pPr>
            <w:r w:rsidRPr="00CD3A14">
              <w:t>86,899</w:t>
            </w:r>
          </w:p>
        </w:tc>
      </w:tr>
      <w:tr w:rsidR="00C64B1A" w:rsidRPr="00CD3A14" w:rsidTr="00DD7386">
        <w:tc>
          <w:tcPr>
            <w:tcW w:w="4728" w:type="dxa"/>
            <w:tcBorders>
              <w:top w:val="single" w:sz="4" w:space="0" w:color="auto"/>
            </w:tcBorders>
          </w:tcPr>
          <w:p w:rsidR="00C64B1A" w:rsidRPr="00CD3A14" w:rsidRDefault="00C64B1A" w:rsidP="009868FF">
            <w:pPr>
              <w:pStyle w:val="AGRTableText"/>
            </w:pPr>
            <w:r w:rsidRPr="00CD3A14">
              <w:t>Add non current assets</w:t>
            </w:r>
          </w:p>
        </w:tc>
        <w:tc>
          <w:tcPr>
            <w:tcW w:w="1322" w:type="dxa"/>
            <w:tcBorders>
              <w:top w:val="single" w:sz="4" w:space="0" w:color="auto"/>
            </w:tcBorders>
          </w:tcPr>
          <w:p w:rsidR="00C64B1A" w:rsidRPr="00CD3A14" w:rsidRDefault="00685F00" w:rsidP="00DD7386">
            <w:pPr>
              <w:pStyle w:val="AGRTableText"/>
              <w:tabs>
                <w:tab w:val="decimal" w:pos="811"/>
              </w:tabs>
            </w:pPr>
            <w:r w:rsidRPr="00CD3A14">
              <w:t>497,337</w:t>
            </w:r>
          </w:p>
        </w:tc>
        <w:tc>
          <w:tcPr>
            <w:tcW w:w="1321" w:type="dxa"/>
            <w:tcBorders>
              <w:top w:val="single" w:sz="4" w:space="0" w:color="auto"/>
            </w:tcBorders>
          </w:tcPr>
          <w:p w:rsidR="00C64B1A" w:rsidRPr="00CD3A14" w:rsidRDefault="00C64B1A" w:rsidP="00C64B1A">
            <w:pPr>
              <w:pStyle w:val="AGRTableText"/>
              <w:tabs>
                <w:tab w:val="decimal" w:pos="811"/>
              </w:tabs>
            </w:pPr>
            <w:r w:rsidRPr="00CD3A14">
              <w:t>456,669</w:t>
            </w:r>
          </w:p>
        </w:tc>
      </w:tr>
      <w:tr w:rsidR="00C64B1A" w:rsidRPr="00CD3A14" w:rsidTr="00DD7386">
        <w:tc>
          <w:tcPr>
            <w:tcW w:w="4728" w:type="dxa"/>
          </w:tcPr>
          <w:p w:rsidR="00C64B1A" w:rsidRPr="00CD3A14" w:rsidRDefault="00C64B1A" w:rsidP="00DD7386">
            <w:pPr>
              <w:pStyle w:val="AGRTableText"/>
            </w:pPr>
          </w:p>
        </w:tc>
        <w:tc>
          <w:tcPr>
            <w:tcW w:w="1322" w:type="dxa"/>
          </w:tcPr>
          <w:p w:rsidR="00C64B1A" w:rsidRPr="00CD3A14" w:rsidRDefault="00685F00" w:rsidP="00DD7386">
            <w:pPr>
              <w:pStyle w:val="AGRTableNumbers"/>
            </w:pPr>
            <w:r w:rsidRPr="00CD3A14">
              <w:t>573,248</w:t>
            </w:r>
          </w:p>
        </w:tc>
        <w:tc>
          <w:tcPr>
            <w:tcW w:w="1321" w:type="dxa"/>
          </w:tcPr>
          <w:p w:rsidR="00C64B1A" w:rsidRPr="00CD3A14" w:rsidRDefault="00C64B1A" w:rsidP="00C64B1A">
            <w:pPr>
              <w:pStyle w:val="AGRTableNumbers"/>
            </w:pPr>
            <w:r w:rsidRPr="00CD3A14">
              <w:t>543,568</w:t>
            </w:r>
          </w:p>
        </w:tc>
      </w:tr>
      <w:tr w:rsidR="00C64B1A" w:rsidRPr="00CD3A14" w:rsidTr="00DD7386">
        <w:tc>
          <w:tcPr>
            <w:tcW w:w="4728" w:type="dxa"/>
          </w:tcPr>
          <w:p w:rsidR="00C64B1A" w:rsidRPr="00CD3A14" w:rsidRDefault="00C64B1A" w:rsidP="009868FF">
            <w:pPr>
              <w:pStyle w:val="AGRTableText"/>
            </w:pPr>
            <w:r w:rsidRPr="00CD3A14">
              <w:t>Less non current liabilities</w:t>
            </w:r>
          </w:p>
        </w:tc>
        <w:tc>
          <w:tcPr>
            <w:tcW w:w="1322" w:type="dxa"/>
          </w:tcPr>
          <w:p w:rsidR="00C64B1A" w:rsidRPr="00CD3A14" w:rsidRDefault="00685F00" w:rsidP="00982C76">
            <w:pPr>
              <w:pStyle w:val="AGRTableNumbers"/>
            </w:pPr>
            <w:r w:rsidRPr="00CD3A14">
              <w:t>(6,055)</w:t>
            </w:r>
          </w:p>
        </w:tc>
        <w:tc>
          <w:tcPr>
            <w:tcW w:w="1321" w:type="dxa"/>
          </w:tcPr>
          <w:p w:rsidR="00C64B1A" w:rsidRPr="00CD3A14" w:rsidRDefault="00C64B1A" w:rsidP="00C64B1A">
            <w:pPr>
              <w:pStyle w:val="AGRTableNumbers"/>
            </w:pPr>
            <w:r w:rsidRPr="00CD3A14">
              <w:t>(17,811)</w:t>
            </w:r>
          </w:p>
        </w:tc>
      </w:tr>
      <w:tr w:rsidR="00C64B1A" w:rsidRPr="00CD3A14" w:rsidTr="00DD7386">
        <w:tc>
          <w:tcPr>
            <w:tcW w:w="4728" w:type="dxa"/>
            <w:tcBorders>
              <w:bottom w:val="single" w:sz="4" w:space="0" w:color="auto"/>
            </w:tcBorders>
          </w:tcPr>
          <w:p w:rsidR="00C64B1A" w:rsidRPr="00CD3A14" w:rsidRDefault="00C64B1A" w:rsidP="00DD7386">
            <w:pPr>
              <w:pStyle w:val="AGRTableTextBold"/>
            </w:pPr>
            <w:r w:rsidRPr="00CD3A14">
              <w:t>Net assets</w:t>
            </w:r>
          </w:p>
        </w:tc>
        <w:tc>
          <w:tcPr>
            <w:tcW w:w="1322" w:type="dxa"/>
            <w:tcBorders>
              <w:bottom w:val="single" w:sz="4" w:space="0" w:color="auto"/>
            </w:tcBorders>
          </w:tcPr>
          <w:p w:rsidR="00C64B1A" w:rsidRPr="00CD3A14" w:rsidRDefault="00685F00" w:rsidP="00DD7386">
            <w:pPr>
              <w:pStyle w:val="AGRTableNumbersBold"/>
            </w:pPr>
            <w:r w:rsidRPr="00CD3A14">
              <w:t>567,193</w:t>
            </w:r>
          </w:p>
        </w:tc>
        <w:tc>
          <w:tcPr>
            <w:tcW w:w="1321" w:type="dxa"/>
            <w:tcBorders>
              <w:bottom w:val="single" w:sz="4" w:space="0" w:color="auto"/>
            </w:tcBorders>
          </w:tcPr>
          <w:p w:rsidR="00C64B1A" w:rsidRPr="00CD3A14" w:rsidRDefault="00C64B1A" w:rsidP="00C64B1A">
            <w:pPr>
              <w:pStyle w:val="AGRTableNumbersBold"/>
            </w:pPr>
            <w:r w:rsidRPr="00CD3A14">
              <w:t>525,757</w:t>
            </w:r>
          </w:p>
        </w:tc>
      </w:tr>
      <w:tr w:rsidR="00C64B1A" w:rsidRPr="00CD3A14" w:rsidTr="00DD7386">
        <w:tc>
          <w:tcPr>
            <w:tcW w:w="4728" w:type="dxa"/>
            <w:tcBorders>
              <w:top w:val="single" w:sz="4" w:space="0" w:color="auto"/>
            </w:tcBorders>
          </w:tcPr>
          <w:p w:rsidR="00C64B1A" w:rsidRPr="00CD3A14" w:rsidRDefault="00C64B1A" w:rsidP="00DD7386">
            <w:pPr>
              <w:pStyle w:val="AGRTableText"/>
            </w:pPr>
            <w:r w:rsidRPr="00CD3A14">
              <w:t>Represented by:</w:t>
            </w:r>
          </w:p>
        </w:tc>
        <w:tc>
          <w:tcPr>
            <w:tcW w:w="1322" w:type="dxa"/>
            <w:tcBorders>
              <w:top w:val="single" w:sz="4" w:space="0" w:color="auto"/>
            </w:tcBorders>
          </w:tcPr>
          <w:p w:rsidR="00C64B1A" w:rsidRPr="00CD3A14" w:rsidRDefault="00C64B1A" w:rsidP="00DD7386">
            <w:pPr>
              <w:pStyle w:val="AGRTableNumbers"/>
            </w:pPr>
          </w:p>
        </w:tc>
        <w:tc>
          <w:tcPr>
            <w:tcW w:w="1321" w:type="dxa"/>
            <w:tcBorders>
              <w:top w:val="single" w:sz="4" w:space="0" w:color="auto"/>
            </w:tcBorders>
          </w:tcPr>
          <w:p w:rsidR="00C64B1A" w:rsidRPr="00CD3A14" w:rsidRDefault="00C64B1A" w:rsidP="00C64B1A">
            <w:pPr>
              <w:pStyle w:val="AGRTableNumbers"/>
            </w:pPr>
          </w:p>
        </w:tc>
      </w:tr>
      <w:tr w:rsidR="00C64B1A" w:rsidRPr="00CD3A14" w:rsidTr="00DD7386">
        <w:tc>
          <w:tcPr>
            <w:tcW w:w="4728" w:type="dxa"/>
          </w:tcPr>
          <w:p w:rsidR="00C64B1A" w:rsidRPr="00CD3A14" w:rsidRDefault="00C64B1A" w:rsidP="00DD7386">
            <w:pPr>
              <w:pStyle w:val="AGRTableText"/>
            </w:pPr>
            <w:r w:rsidRPr="00CD3A14">
              <w:t>Reserves, restricted and accumulated funds</w:t>
            </w:r>
          </w:p>
        </w:tc>
        <w:tc>
          <w:tcPr>
            <w:tcW w:w="1322" w:type="dxa"/>
          </w:tcPr>
          <w:p w:rsidR="00C64B1A" w:rsidRPr="00CD3A14" w:rsidRDefault="001B097E" w:rsidP="00DD7386">
            <w:pPr>
              <w:pStyle w:val="AGRTableNumbers"/>
            </w:pPr>
            <w:r w:rsidRPr="00CD3A14">
              <w:t>567,193</w:t>
            </w:r>
          </w:p>
        </w:tc>
        <w:tc>
          <w:tcPr>
            <w:tcW w:w="1321" w:type="dxa"/>
          </w:tcPr>
          <w:p w:rsidR="00C64B1A" w:rsidRPr="00CD3A14" w:rsidRDefault="00C64B1A" w:rsidP="00C64B1A">
            <w:pPr>
              <w:pStyle w:val="AGRTableNumbers"/>
            </w:pPr>
            <w:r w:rsidRPr="00CD3A14">
              <w:t>525,757</w:t>
            </w:r>
          </w:p>
        </w:tc>
      </w:tr>
      <w:tr w:rsidR="00C64B1A" w:rsidRPr="00CD3A14" w:rsidTr="00DD7386">
        <w:tc>
          <w:tcPr>
            <w:tcW w:w="4728" w:type="dxa"/>
            <w:tcBorders>
              <w:bottom w:val="single" w:sz="4" w:space="0" w:color="auto"/>
            </w:tcBorders>
          </w:tcPr>
          <w:p w:rsidR="00C64B1A" w:rsidRPr="00CD3A14" w:rsidRDefault="00C64B1A" w:rsidP="00DD7386">
            <w:pPr>
              <w:pStyle w:val="AGRTableTextBold"/>
            </w:pPr>
            <w:r w:rsidRPr="00CD3A14">
              <w:t>Equity</w:t>
            </w:r>
          </w:p>
        </w:tc>
        <w:tc>
          <w:tcPr>
            <w:tcW w:w="1322" w:type="dxa"/>
            <w:tcBorders>
              <w:bottom w:val="single" w:sz="4" w:space="0" w:color="auto"/>
            </w:tcBorders>
          </w:tcPr>
          <w:p w:rsidR="00C64B1A" w:rsidRPr="00CD3A14" w:rsidRDefault="001B097E" w:rsidP="00DD7386">
            <w:pPr>
              <w:pStyle w:val="AGRTableNumbersBold"/>
            </w:pPr>
            <w:r w:rsidRPr="00CD3A14">
              <w:t>567,193</w:t>
            </w:r>
          </w:p>
        </w:tc>
        <w:tc>
          <w:tcPr>
            <w:tcW w:w="1321" w:type="dxa"/>
            <w:tcBorders>
              <w:bottom w:val="single" w:sz="4" w:space="0" w:color="auto"/>
            </w:tcBorders>
          </w:tcPr>
          <w:p w:rsidR="00C64B1A" w:rsidRPr="00CD3A14" w:rsidRDefault="00C64B1A" w:rsidP="00C64B1A">
            <w:pPr>
              <w:pStyle w:val="AGRTableNumbersBold"/>
            </w:pPr>
            <w:r w:rsidRPr="00CD3A14">
              <w:t>525,757</w:t>
            </w:r>
          </w:p>
        </w:tc>
      </w:tr>
    </w:tbl>
    <w:p w:rsidR="00AE603C" w:rsidRPr="00CD3A14" w:rsidRDefault="00AE603C" w:rsidP="0013400B">
      <w:pPr>
        <w:pStyle w:val="AGRBodyText"/>
        <w:rPr>
          <w:noProof w:val="0"/>
          <w:lang w:val="en-AU"/>
        </w:rPr>
      </w:pPr>
    </w:p>
    <w:p w:rsidR="005D71CD" w:rsidRPr="00CD3A14" w:rsidRDefault="00A24915" w:rsidP="00C67DA8">
      <w:pPr>
        <w:pStyle w:val="AGRHeading1"/>
      </w:pPr>
      <w:bookmarkStart w:id="21" w:name="cdu_foundation"/>
      <w:r w:rsidRPr="00CD3A14">
        <w:t>Charles Darwin University Foundation</w:t>
      </w:r>
      <w:bookmarkEnd w:id="21"/>
    </w:p>
    <w:p w:rsidR="005D71CD" w:rsidRPr="00CD3A14" w:rsidRDefault="005D71CD" w:rsidP="005D71CD">
      <w:pPr>
        <w:pStyle w:val="AGRHeading2"/>
      </w:pPr>
      <w:bookmarkStart w:id="22" w:name="cdu_foundation_audit_title"/>
      <w:r w:rsidRPr="00CD3A14">
        <w:t xml:space="preserve">Audit findings and </w:t>
      </w:r>
      <w:r w:rsidR="004B45B6" w:rsidRPr="00CD3A14">
        <w:t xml:space="preserve">analysis </w:t>
      </w:r>
      <w:r w:rsidRPr="00CD3A14">
        <w:t xml:space="preserve">of the financial statements for the year ended </w:t>
      </w:r>
      <w:r w:rsidR="00C64B1A" w:rsidRPr="00CD3A14">
        <w:t>31 December 2014</w:t>
      </w:r>
      <w:bookmarkEnd w:id="22"/>
    </w:p>
    <w:p w:rsidR="005D71CD" w:rsidRPr="00CD3A14" w:rsidRDefault="005D71CD" w:rsidP="00C708C3">
      <w:pPr>
        <w:pStyle w:val="AGRHeading3"/>
      </w:pPr>
      <w:r w:rsidRPr="00CD3A14">
        <w:t>Background</w:t>
      </w:r>
    </w:p>
    <w:p w:rsidR="00EC0688" w:rsidRPr="00CD3A14" w:rsidRDefault="00EC0688" w:rsidP="0013400B">
      <w:pPr>
        <w:pStyle w:val="AGRBodyText"/>
        <w:rPr>
          <w:noProof w:val="0"/>
          <w:lang w:val="en-AU"/>
        </w:rPr>
      </w:pPr>
      <w:r w:rsidRPr="00CD3A14">
        <w:rPr>
          <w:noProof w:val="0"/>
          <w:lang w:val="en-AU"/>
        </w:rPr>
        <w:t xml:space="preserve">The Charles Darwin University Foundation </w:t>
      </w:r>
      <w:r w:rsidR="002E19A8" w:rsidRPr="00CD3A14">
        <w:rPr>
          <w:noProof w:val="0"/>
          <w:lang w:val="en-AU"/>
        </w:rPr>
        <w:t xml:space="preserve">(the Foundation) </w:t>
      </w:r>
      <w:r w:rsidRPr="00CD3A14">
        <w:rPr>
          <w:noProof w:val="0"/>
          <w:lang w:val="en-AU"/>
        </w:rPr>
        <w:t>is a company limited by guarantee that acts as trustee of the Charles Darwin University Foundation Trust</w:t>
      </w:r>
      <w:r w:rsidR="002E19A8" w:rsidRPr="00CD3A14">
        <w:rPr>
          <w:noProof w:val="0"/>
          <w:lang w:val="en-AU"/>
        </w:rPr>
        <w:t xml:space="preserve"> (the Trust)</w:t>
      </w:r>
      <w:r w:rsidRPr="00CD3A14">
        <w:rPr>
          <w:noProof w:val="0"/>
          <w:lang w:val="en-AU"/>
        </w:rPr>
        <w:t xml:space="preserve">.  The </w:t>
      </w:r>
      <w:r w:rsidR="002E19A8" w:rsidRPr="00CD3A14">
        <w:rPr>
          <w:noProof w:val="0"/>
          <w:lang w:val="en-AU"/>
        </w:rPr>
        <w:t xml:space="preserve">Foundation </w:t>
      </w:r>
      <w:r w:rsidR="00390B01" w:rsidRPr="00CD3A14">
        <w:rPr>
          <w:noProof w:val="0"/>
          <w:lang w:val="en-AU"/>
        </w:rPr>
        <w:t>i</w:t>
      </w:r>
      <w:r w:rsidR="007F13E1" w:rsidRPr="00CD3A14">
        <w:rPr>
          <w:noProof w:val="0"/>
          <w:lang w:val="en-AU"/>
        </w:rPr>
        <w:t>nc</w:t>
      </w:r>
      <w:r w:rsidRPr="00CD3A14">
        <w:rPr>
          <w:noProof w:val="0"/>
          <w:lang w:val="en-AU"/>
        </w:rPr>
        <w:t>urs liabilities on behalf of the Trust and discharges those liabilities out of the assets of the Trust.</w:t>
      </w:r>
    </w:p>
    <w:p w:rsidR="009635E5" w:rsidRPr="00CD3A14" w:rsidRDefault="00EC0688" w:rsidP="0013400B">
      <w:pPr>
        <w:pStyle w:val="AGRBodyText"/>
        <w:rPr>
          <w:noProof w:val="0"/>
          <w:lang w:val="en-AU"/>
        </w:rPr>
      </w:pPr>
      <w:r w:rsidRPr="00CD3A14">
        <w:rPr>
          <w:noProof w:val="0"/>
          <w:lang w:val="en-AU"/>
        </w:rPr>
        <w:t xml:space="preserve">The </w:t>
      </w:r>
      <w:r w:rsidR="002E19A8" w:rsidRPr="00CD3A14">
        <w:rPr>
          <w:noProof w:val="0"/>
          <w:lang w:val="en-AU"/>
        </w:rPr>
        <w:t xml:space="preserve">Foundation </w:t>
      </w:r>
      <w:r w:rsidRPr="00CD3A14">
        <w:rPr>
          <w:noProof w:val="0"/>
          <w:lang w:val="en-AU"/>
        </w:rPr>
        <w:t>and the Trust were established as the fundraising arm of the University</w:t>
      </w:r>
      <w:r w:rsidR="00494D02" w:rsidRPr="00CD3A14">
        <w:rPr>
          <w:noProof w:val="0"/>
          <w:lang w:val="en-AU"/>
        </w:rPr>
        <w:t xml:space="preserve"> and </w:t>
      </w:r>
      <w:r w:rsidR="001072F0" w:rsidRPr="00CD3A14">
        <w:rPr>
          <w:noProof w:val="0"/>
          <w:lang w:val="en-AU"/>
        </w:rPr>
        <w:t>b</w:t>
      </w:r>
      <w:r w:rsidRPr="00CD3A14">
        <w:rPr>
          <w:noProof w:val="0"/>
          <w:lang w:val="en-AU"/>
        </w:rPr>
        <w:t xml:space="preserve">oth are controlled entities of the University within the meaning of section 41 of the </w:t>
      </w:r>
      <w:r w:rsidRPr="00CD3A14">
        <w:rPr>
          <w:i/>
          <w:noProof w:val="0"/>
          <w:lang w:val="en-AU"/>
        </w:rPr>
        <w:t>Charles Darwin University Act</w:t>
      </w:r>
      <w:r w:rsidRPr="00CD3A14">
        <w:rPr>
          <w:noProof w:val="0"/>
          <w:lang w:val="en-AU"/>
        </w:rPr>
        <w:t>.</w:t>
      </w:r>
    </w:p>
    <w:p w:rsidR="009635E5" w:rsidRPr="00CD3A14" w:rsidRDefault="00EC0688" w:rsidP="0013400B">
      <w:pPr>
        <w:pStyle w:val="AGRBodyText"/>
        <w:rPr>
          <w:noProof w:val="0"/>
          <w:lang w:val="en-AU"/>
        </w:rPr>
      </w:pPr>
      <w:r w:rsidRPr="00CD3A14">
        <w:rPr>
          <w:noProof w:val="0"/>
          <w:lang w:val="en-AU"/>
        </w:rPr>
        <w:t>The purpose of the Foundation is to enhance the relationship between the University and the wider Northern Territory community</w:t>
      </w:r>
      <w:r w:rsidR="00494D02" w:rsidRPr="00CD3A14">
        <w:rPr>
          <w:noProof w:val="0"/>
          <w:lang w:val="en-AU"/>
        </w:rPr>
        <w:t>,</w:t>
      </w:r>
      <w:r w:rsidRPr="00CD3A14">
        <w:rPr>
          <w:noProof w:val="0"/>
          <w:lang w:val="en-AU"/>
        </w:rPr>
        <w:t xml:space="preserve"> and to </w:t>
      </w:r>
      <w:r w:rsidR="00494D02" w:rsidRPr="00CD3A14">
        <w:rPr>
          <w:noProof w:val="0"/>
          <w:lang w:val="en-AU"/>
        </w:rPr>
        <w:t xml:space="preserve">raise </w:t>
      </w:r>
      <w:r w:rsidRPr="00CD3A14">
        <w:rPr>
          <w:noProof w:val="0"/>
          <w:lang w:val="en-AU"/>
        </w:rPr>
        <w:t>funds for the University</w:t>
      </w:r>
      <w:r w:rsidR="00494D02" w:rsidRPr="00CD3A14">
        <w:rPr>
          <w:noProof w:val="0"/>
          <w:lang w:val="en-AU"/>
        </w:rPr>
        <w:t>.</w:t>
      </w:r>
      <w:r w:rsidRPr="00CD3A14">
        <w:rPr>
          <w:noProof w:val="0"/>
          <w:lang w:val="en-AU"/>
        </w:rPr>
        <w:t xml:space="preserve">  In pursuit of this objective</w:t>
      </w:r>
      <w:r w:rsidR="001072F0" w:rsidRPr="00CD3A14">
        <w:rPr>
          <w:noProof w:val="0"/>
          <w:lang w:val="en-AU"/>
        </w:rPr>
        <w:t>,</w:t>
      </w:r>
      <w:r w:rsidRPr="00CD3A14">
        <w:rPr>
          <w:noProof w:val="0"/>
          <w:lang w:val="en-AU"/>
        </w:rPr>
        <w:t xml:space="preserve"> the Foundation</w:t>
      </w:r>
      <w:r w:rsidR="00DD7386" w:rsidRPr="00CD3A14">
        <w:rPr>
          <w:noProof w:val="0"/>
          <w:lang w:val="en-AU"/>
        </w:rPr>
        <w:t xml:space="preserve"> </w:t>
      </w:r>
      <w:r w:rsidRPr="00CD3A14">
        <w:rPr>
          <w:noProof w:val="0"/>
          <w:lang w:val="en-AU"/>
        </w:rPr>
        <w:t xml:space="preserve">seeks donations and other contributions </w:t>
      </w:r>
      <w:r w:rsidR="00494D02" w:rsidRPr="00CD3A14">
        <w:rPr>
          <w:noProof w:val="0"/>
          <w:lang w:val="en-AU"/>
        </w:rPr>
        <w:t xml:space="preserve">while also </w:t>
      </w:r>
      <w:r w:rsidR="00DD7386" w:rsidRPr="00CD3A14">
        <w:rPr>
          <w:noProof w:val="0"/>
          <w:lang w:val="en-AU"/>
        </w:rPr>
        <w:t xml:space="preserve">providing </w:t>
      </w:r>
      <w:r w:rsidR="00682DCB" w:rsidRPr="00CD3A14">
        <w:rPr>
          <w:noProof w:val="0"/>
          <w:lang w:val="en-AU"/>
        </w:rPr>
        <w:t>assurance to donors that</w:t>
      </w:r>
      <w:r w:rsidRPr="00CD3A14">
        <w:rPr>
          <w:noProof w:val="0"/>
          <w:lang w:val="en-AU"/>
        </w:rPr>
        <w:t xml:space="preserve"> </w:t>
      </w:r>
      <w:r w:rsidR="00494D02" w:rsidRPr="00CD3A14">
        <w:rPr>
          <w:noProof w:val="0"/>
          <w:lang w:val="en-AU"/>
        </w:rPr>
        <w:t>bequests and donations will be applied in accordance with the wishes of the testator or donor</w:t>
      </w:r>
      <w:r w:rsidRPr="00CD3A14">
        <w:rPr>
          <w:noProof w:val="0"/>
          <w:lang w:val="en-AU"/>
        </w:rPr>
        <w:t>.</w:t>
      </w:r>
    </w:p>
    <w:p w:rsidR="00177BC6" w:rsidRPr="00CD3A14" w:rsidRDefault="00177BC6" w:rsidP="00C708C3">
      <w:pPr>
        <w:pStyle w:val="AGRHeading3"/>
      </w:pPr>
      <w:r w:rsidRPr="00CD3A14">
        <w:t>Audit Opinion</w:t>
      </w:r>
    </w:p>
    <w:p w:rsidR="00177BC6" w:rsidRPr="00CD3A14" w:rsidRDefault="00177BC6" w:rsidP="0013400B">
      <w:pPr>
        <w:pStyle w:val="AGRBodyText"/>
        <w:rPr>
          <w:noProof w:val="0"/>
          <w:lang w:val="en-AU"/>
        </w:rPr>
      </w:pPr>
      <w:r w:rsidRPr="00CD3A14">
        <w:rPr>
          <w:noProof w:val="0"/>
          <w:lang w:val="en-AU"/>
        </w:rPr>
        <w:t xml:space="preserve">The audit of the financial statements of the Foundation and the Trust for the year ended </w:t>
      </w:r>
      <w:r w:rsidR="00C64B1A" w:rsidRPr="00CD3A14">
        <w:rPr>
          <w:noProof w:val="0"/>
          <w:lang w:val="en-AU"/>
        </w:rPr>
        <w:t>31 December 2014</w:t>
      </w:r>
      <w:r w:rsidRPr="00CD3A14">
        <w:rPr>
          <w:noProof w:val="0"/>
          <w:lang w:val="en-AU"/>
        </w:rPr>
        <w:t xml:space="preserve"> resulted in </w:t>
      </w:r>
      <w:r w:rsidR="006A1F59" w:rsidRPr="00CD3A14">
        <w:rPr>
          <w:noProof w:val="0"/>
          <w:lang w:val="en-AU"/>
        </w:rPr>
        <w:t>unmodified</w:t>
      </w:r>
      <w:r w:rsidRPr="00CD3A14">
        <w:rPr>
          <w:noProof w:val="0"/>
          <w:lang w:val="en-AU"/>
        </w:rPr>
        <w:t xml:space="preserve"> independent audit opinions</w:t>
      </w:r>
      <w:r w:rsidR="00DD7386" w:rsidRPr="00CD3A14">
        <w:rPr>
          <w:noProof w:val="0"/>
          <w:lang w:val="en-AU"/>
        </w:rPr>
        <w:t xml:space="preserve"> for both entities and these</w:t>
      </w:r>
      <w:r w:rsidRPr="00CD3A14">
        <w:rPr>
          <w:noProof w:val="0"/>
          <w:lang w:val="en-AU"/>
        </w:rPr>
        <w:t xml:space="preserve"> were issued on </w:t>
      </w:r>
      <w:r w:rsidR="00226D93" w:rsidRPr="00CD3A14">
        <w:rPr>
          <w:noProof w:val="0"/>
          <w:lang w:val="en-AU"/>
        </w:rPr>
        <w:t>29 April 2015</w:t>
      </w:r>
      <w:r w:rsidRPr="00CD3A14">
        <w:rPr>
          <w:noProof w:val="0"/>
          <w:lang w:val="en-AU"/>
        </w:rPr>
        <w:t>.</w:t>
      </w:r>
    </w:p>
    <w:p w:rsidR="005D71CD" w:rsidRPr="00CD3A14" w:rsidRDefault="005D71CD" w:rsidP="00C708C3">
      <w:pPr>
        <w:pStyle w:val="AGRHeading3"/>
      </w:pPr>
      <w:r w:rsidRPr="00CD3A14">
        <w:t xml:space="preserve">Key </w:t>
      </w:r>
      <w:r w:rsidR="00177BC6" w:rsidRPr="00CD3A14">
        <w:t>Findings</w:t>
      </w:r>
    </w:p>
    <w:p w:rsidR="00226D93" w:rsidRPr="00CD3A14" w:rsidRDefault="00226D93" w:rsidP="00226D93">
      <w:pPr>
        <w:pStyle w:val="AGRHeading4"/>
      </w:pPr>
      <w:r w:rsidRPr="00CD3A14">
        <w:t>Financial Analysis:</w:t>
      </w:r>
    </w:p>
    <w:p w:rsidR="00226D93" w:rsidRPr="00CD3A14" w:rsidRDefault="00226D93" w:rsidP="0013400B">
      <w:pPr>
        <w:pStyle w:val="AGRBodyText"/>
        <w:rPr>
          <w:noProof w:val="0"/>
          <w:lang w:val="en-AU"/>
        </w:rPr>
      </w:pPr>
      <w:r w:rsidRPr="00CD3A14">
        <w:rPr>
          <w:noProof w:val="0"/>
          <w:lang w:val="en-AU"/>
        </w:rPr>
        <w:t>The Trust’s total revenue increased f</w:t>
      </w:r>
      <w:r w:rsidR="005A2C99">
        <w:rPr>
          <w:noProof w:val="0"/>
          <w:lang w:val="en-AU"/>
        </w:rPr>
        <w:t>rom $1,657,694 in 2013 to $1,686</w:t>
      </w:r>
      <w:r w:rsidRPr="00CD3A14">
        <w:rPr>
          <w:noProof w:val="0"/>
          <w:lang w:val="en-AU"/>
        </w:rPr>
        <w:t>,339 in 2014. The increase of $</w:t>
      </w:r>
      <w:r w:rsidR="005A2C99">
        <w:rPr>
          <w:noProof w:val="0"/>
          <w:lang w:val="en-AU"/>
        </w:rPr>
        <w:t>2</w:t>
      </w:r>
      <w:r w:rsidRPr="00CD3A14">
        <w:rPr>
          <w:noProof w:val="0"/>
          <w:lang w:val="en-AU"/>
        </w:rPr>
        <w:t xml:space="preserve">8,645 is </w:t>
      </w:r>
      <w:r w:rsidR="00DA034A" w:rsidRPr="00CD3A14">
        <w:rPr>
          <w:noProof w:val="0"/>
          <w:lang w:val="en-AU"/>
        </w:rPr>
        <w:t>attributable</w:t>
      </w:r>
      <w:r w:rsidRPr="00CD3A14">
        <w:rPr>
          <w:noProof w:val="0"/>
          <w:lang w:val="en-AU"/>
        </w:rPr>
        <w:t xml:space="preserve"> to more donations being received. </w:t>
      </w:r>
    </w:p>
    <w:p w:rsidR="00226D93" w:rsidRPr="00CD3A14" w:rsidRDefault="00226D93" w:rsidP="0013400B">
      <w:pPr>
        <w:pStyle w:val="AGRBodyText"/>
        <w:rPr>
          <w:noProof w:val="0"/>
          <w:lang w:val="en-AU"/>
        </w:rPr>
      </w:pPr>
      <w:r w:rsidRPr="00CD3A14">
        <w:rPr>
          <w:noProof w:val="0"/>
          <w:lang w:val="en-AU"/>
        </w:rPr>
        <w:t>The total disbursements and expenses of the Trust decreased from $3,770,731 in 2013 to $1,311,135 in 2014. This decrease is mainly due to a decrease in trust donations disbursed during the year when compared to the prior y</w:t>
      </w:r>
      <w:r w:rsidR="004E5F31">
        <w:rPr>
          <w:noProof w:val="0"/>
          <w:lang w:val="en-AU"/>
        </w:rPr>
        <w:t>ear (2014: $1,268,175 and 2013: </w:t>
      </w:r>
      <w:r w:rsidRPr="00CD3A14">
        <w:rPr>
          <w:noProof w:val="0"/>
          <w:lang w:val="en-AU"/>
        </w:rPr>
        <w:t xml:space="preserve">$3,758,906).   </w:t>
      </w:r>
      <w:r w:rsidR="00DA034A" w:rsidRPr="00CD3A14">
        <w:rPr>
          <w:noProof w:val="0"/>
          <w:lang w:val="en-AU"/>
        </w:rPr>
        <w:t>In t</w:t>
      </w:r>
      <w:r w:rsidRPr="00CD3A14">
        <w:rPr>
          <w:noProof w:val="0"/>
          <w:lang w:val="en-AU"/>
        </w:rPr>
        <w:t>he prior year</w:t>
      </w:r>
      <w:r w:rsidR="00DA034A" w:rsidRPr="00CD3A14">
        <w:rPr>
          <w:noProof w:val="0"/>
          <w:lang w:val="en-AU"/>
        </w:rPr>
        <w:t>,</w:t>
      </w:r>
      <w:r w:rsidRPr="00CD3A14">
        <w:rPr>
          <w:noProof w:val="0"/>
          <w:lang w:val="en-AU"/>
        </w:rPr>
        <w:t xml:space="preserve"> disbursements included a payment of $250,000 relating to the University Theatre Redevelopment and a one-off disbursement of $2,100,000 in relation to the North Australian Centre for Oil and Gas, the funds for which were received </w:t>
      </w:r>
      <w:r w:rsidR="00DA034A" w:rsidRPr="00CD3A14">
        <w:rPr>
          <w:noProof w:val="0"/>
          <w:lang w:val="en-AU"/>
        </w:rPr>
        <w:t>prior to 2013</w:t>
      </w:r>
      <w:r w:rsidRPr="00CD3A14">
        <w:rPr>
          <w:noProof w:val="0"/>
          <w:lang w:val="en-AU"/>
        </w:rPr>
        <w:t xml:space="preserve">. </w:t>
      </w:r>
    </w:p>
    <w:p w:rsidR="00226D93" w:rsidRPr="00CD3A14" w:rsidRDefault="00226D93" w:rsidP="0013400B">
      <w:pPr>
        <w:pStyle w:val="AGRBodyText"/>
        <w:rPr>
          <w:noProof w:val="0"/>
          <w:lang w:val="en-AU"/>
        </w:rPr>
      </w:pPr>
      <w:r w:rsidRPr="00CD3A14">
        <w:rPr>
          <w:noProof w:val="0"/>
          <w:lang w:val="en-AU"/>
        </w:rPr>
        <w:t>The Trust produced a net surplus of $375,204 in 2014.</w:t>
      </w:r>
    </w:p>
    <w:p w:rsidR="00226D93" w:rsidRPr="00CD3A14" w:rsidRDefault="00226D93" w:rsidP="00226D93">
      <w:pPr>
        <w:pStyle w:val="AGRHeading1"/>
      </w:pPr>
      <w:r w:rsidRPr="00CD3A14">
        <w:t xml:space="preserve">Charles Darwin University Foundation </w:t>
      </w:r>
      <w:proofErr w:type="spellStart"/>
      <w:r w:rsidRPr="00CD3A14">
        <w:t>cont</w:t>
      </w:r>
      <w:proofErr w:type="spellEnd"/>
      <w:r w:rsidRPr="00CD3A14">
        <w:t>…</w:t>
      </w:r>
    </w:p>
    <w:p w:rsidR="00226D93" w:rsidRPr="00CD3A14" w:rsidRDefault="00226D93" w:rsidP="00226D93">
      <w:pPr>
        <w:pStyle w:val="AGRHeading4"/>
      </w:pPr>
      <w:r w:rsidRPr="00CD3A14">
        <w:t>Cash donations:</w:t>
      </w:r>
    </w:p>
    <w:p w:rsidR="00226D93" w:rsidRPr="00CD3A14" w:rsidRDefault="00226D93" w:rsidP="0013400B">
      <w:pPr>
        <w:pStyle w:val="AGRBodyText"/>
        <w:rPr>
          <w:noProof w:val="0"/>
          <w:lang w:val="en-AU"/>
        </w:rPr>
      </w:pPr>
      <w:r w:rsidRPr="00CD3A14">
        <w:rPr>
          <w:noProof w:val="0"/>
          <w:lang w:val="en-AU"/>
        </w:rPr>
        <w:t xml:space="preserve">The Trust has determined that it is impractical to establish control over the collection of cash donations received ‘over the counter’ prior to entry of the donation onto its financial records. My understanding is that the only control regarding cash donations received over the counter is that people generally request a receipt for tax </w:t>
      </w:r>
      <w:proofErr w:type="gramStart"/>
      <w:r w:rsidRPr="00CD3A14">
        <w:rPr>
          <w:noProof w:val="0"/>
          <w:lang w:val="en-AU"/>
        </w:rPr>
        <w:t>purposes,</w:t>
      </w:r>
      <w:proofErr w:type="gramEnd"/>
      <w:r w:rsidRPr="00CD3A14">
        <w:rPr>
          <w:noProof w:val="0"/>
          <w:lang w:val="en-AU"/>
        </w:rPr>
        <w:t xml:space="preserve"> however, this is not always the case.</w:t>
      </w:r>
    </w:p>
    <w:p w:rsidR="009635E5" w:rsidRPr="00CD3A14" w:rsidRDefault="00226D93" w:rsidP="0013400B">
      <w:pPr>
        <w:pStyle w:val="AGRBodyText"/>
        <w:rPr>
          <w:noProof w:val="0"/>
          <w:lang w:val="en-AU"/>
        </w:rPr>
      </w:pPr>
      <w:r w:rsidRPr="00CD3A14">
        <w:rPr>
          <w:noProof w:val="0"/>
          <w:lang w:val="en-AU"/>
        </w:rPr>
        <w:t xml:space="preserve">As the evidence available to me regarding revenue from this source was limited, my audit procedures with respect to over the counter cash donations had to be restricted to the amounts recorded in the financial records. However, based on discussions with management and my analysis of donations made in prior years, and as the number of individual cash donations made to the Trust is not significant, I feel that is not necessary to issue a modified audit opinion in relation to </w:t>
      </w:r>
      <w:r w:rsidR="005A2C99">
        <w:rPr>
          <w:noProof w:val="0"/>
          <w:lang w:val="en-AU"/>
        </w:rPr>
        <w:t xml:space="preserve">the </w:t>
      </w:r>
      <w:r w:rsidRPr="00CD3A14">
        <w:rPr>
          <w:noProof w:val="0"/>
          <w:lang w:val="en-AU"/>
        </w:rPr>
        <w:t>completeness of revenue.</w:t>
      </w:r>
    </w:p>
    <w:p w:rsidR="00A24915" w:rsidRPr="00CD3A14" w:rsidRDefault="00A24915" w:rsidP="00C67DA8">
      <w:pPr>
        <w:pStyle w:val="AGRHeading1"/>
      </w:pPr>
      <w:r w:rsidRPr="00CD3A14">
        <w:t>Charles Darwin University Foundation</w:t>
      </w:r>
      <w:r w:rsidR="00666139" w:rsidRPr="00CD3A14">
        <w:t xml:space="preserve"> </w:t>
      </w:r>
      <w:proofErr w:type="spellStart"/>
      <w:r w:rsidR="00666139" w:rsidRPr="00CD3A14">
        <w:t>cont</w:t>
      </w:r>
      <w:proofErr w:type="spellEnd"/>
      <w:r w:rsidR="00666139" w:rsidRPr="00CD3A14">
        <w:t>…</w:t>
      </w:r>
    </w:p>
    <w:p w:rsidR="005D71CD" w:rsidRPr="00CD3A14" w:rsidRDefault="005602EC" w:rsidP="009868FF">
      <w:pPr>
        <w:pStyle w:val="AGRHeading3"/>
      </w:pPr>
      <w:r w:rsidRPr="00CD3A14">
        <w:t>Financial Performance for the year</w:t>
      </w:r>
      <w:r w:rsidR="00EC0688" w:rsidRPr="00CD3A14">
        <w:t xml:space="preserve"> – </w:t>
      </w:r>
      <w:r w:rsidR="00845BC4" w:rsidRPr="00CD3A14">
        <w:t xml:space="preserve">CDU Foundation </w:t>
      </w:r>
      <w:r w:rsidR="009868FF" w:rsidRPr="00CD3A14">
        <w:t xml:space="preserve">– </w:t>
      </w:r>
      <w:r w:rsidR="00845BC4" w:rsidRPr="00CD3A14">
        <w:t xml:space="preserve">Trust </w:t>
      </w:r>
      <w:r w:rsidR="00EC0688" w:rsidRPr="00CD3A14">
        <w:t>Only</w:t>
      </w:r>
    </w:p>
    <w:tbl>
      <w:tblPr>
        <w:tblW w:w="7371" w:type="dxa"/>
        <w:tblInd w:w="851" w:type="dxa"/>
        <w:tblLook w:val="01E0" w:firstRow="1" w:lastRow="1" w:firstColumn="1" w:lastColumn="1" w:noHBand="0" w:noVBand="0"/>
      </w:tblPr>
      <w:tblGrid>
        <w:gridCol w:w="4728"/>
        <w:gridCol w:w="1322"/>
        <w:gridCol w:w="1321"/>
      </w:tblGrid>
      <w:tr w:rsidR="005D71CD" w:rsidRPr="00CD3A14" w:rsidTr="002C0576">
        <w:tc>
          <w:tcPr>
            <w:tcW w:w="4728" w:type="dxa"/>
            <w:tcBorders>
              <w:bottom w:val="single" w:sz="4" w:space="0" w:color="auto"/>
            </w:tcBorders>
          </w:tcPr>
          <w:p w:rsidR="005D71CD" w:rsidRPr="00CD3A14" w:rsidRDefault="005D71CD" w:rsidP="002C0576">
            <w:pPr>
              <w:pStyle w:val="AGRTableText"/>
            </w:pPr>
          </w:p>
        </w:tc>
        <w:tc>
          <w:tcPr>
            <w:tcW w:w="1322" w:type="dxa"/>
            <w:tcBorders>
              <w:bottom w:val="single" w:sz="4" w:space="0" w:color="auto"/>
            </w:tcBorders>
          </w:tcPr>
          <w:p w:rsidR="005D71CD" w:rsidRPr="00CD3A14" w:rsidRDefault="005D71CD" w:rsidP="00C64B1A">
            <w:pPr>
              <w:pStyle w:val="AGRTableText"/>
              <w:tabs>
                <w:tab w:val="center" w:pos="570"/>
              </w:tabs>
            </w:pPr>
            <w:r w:rsidRPr="00CD3A14">
              <w:tab/>
            </w:r>
            <w:r w:rsidR="00313635" w:rsidRPr="00CD3A14">
              <w:t>201</w:t>
            </w:r>
            <w:r w:rsidR="00C64B1A" w:rsidRPr="00CD3A14">
              <w:t>4</w:t>
            </w:r>
          </w:p>
        </w:tc>
        <w:tc>
          <w:tcPr>
            <w:tcW w:w="1321" w:type="dxa"/>
            <w:tcBorders>
              <w:bottom w:val="single" w:sz="4" w:space="0" w:color="auto"/>
            </w:tcBorders>
          </w:tcPr>
          <w:p w:rsidR="005D71CD" w:rsidRPr="00CD3A14" w:rsidRDefault="005602EC" w:rsidP="00C64B1A">
            <w:pPr>
              <w:pStyle w:val="AGRTableText"/>
              <w:tabs>
                <w:tab w:val="center" w:pos="570"/>
              </w:tabs>
            </w:pPr>
            <w:r w:rsidRPr="00CD3A14">
              <w:tab/>
            </w:r>
            <w:r w:rsidR="00982C76" w:rsidRPr="00CD3A14">
              <w:t>201</w:t>
            </w:r>
            <w:r w:rsidR="00C64B1A" w:rsidRPr="00CD3A14">
              <w:t>3</w:t>
            </w:r>
          </w:p>
        </w:tc>
      </w:tr>
      <w:tr w:rsidR="005D71CD" w:rsidRPr="00CD3A14" w:rsidTr="002C0576">
        <w:tc>
          <w:tcPr>
            <w:tcW w:w="4728" w:type="dxa"/>
            <w:tcBorders>
              <w:top w:val="single" w:sz="4" w:space="0" w:color="auto"/>
            </w:tcBorders>
          </w:tcPr>
          <w:p w:rsidR="005D71CD" w:rsidRPr="00CD3A14" w:rsidRDefault="005D71CD" w:rsidP="002C0576">
            <w:pPr>
              <w:pStyle w:val="AGRTableText"/>
            </w:pPr>
          </w:p>
        </w:tc>
        <w:tc>
          <w:tcPr>
            <w:tcW w:w="1322" w:type="dxa"/>
            <w:tcBorders>
              <w:top w:val="single" w:sz="4" w:space="0" w:color="auto"/>
            </w:tcBorders>
          </w:tcPr>
          <w:p w:rsidR="005D71CD" w:rsidRPr="00CD3A14" w:rsidRDefault="005D71CD" w:rsidP="002C0576">
            <w:pPr>
              <w:pStyle w:val="AGRTableText"/>
              <w:tabs>
                <w:tab w:val="center" w:pos="570"/>
              </w:tabs>
            </w:pPr>
            <w:r w:rsidRPr="00CD3A14">
              <w:tab/>
              <w:t>$’000</w:t>
            </w:r>
          </w:p>
        </w:tc>
        <w:tc>
          <w:tcPr>
            <w:tcW w:w="1321" w:type="dxa"/>
            <w:tcBorders>
              <w:top w:val="single" w:sz="4" w:space="0" w:color="auto"/>
            </w:tcBorders>
          </w:tcPr>
          <w:p w:rsidR="005D71CD" w:rsidRPr="00CD3A14" w:rsidRDefault="005D71CD" w:rsidP="002C0576">
            <w:pPr>
              <w:pStyle w:val="AGRTableText"/>
              <w:tabs>
                <w:tab w:val="center" w:pos="570"/>
              </w:tabs>
            </w:pPr>
            <w:r w:rsidRPr="00CD3A14">
              <w:tab/>
              <w:t>$’000</w:t>
            </w:r>
          </w:p>
        </w:tc>
      </w:tr>
      <w:tr w:rsidR="00C64B1A" w:rsidRPr="00CD3A14" w:rsidTr="002C0576">
        <w:tc>
          <w:tcPr>
            <w:tcW w:w="4728" w:type="dxa"/>
            <w:tcBorders>
              <w:bottom w:val="single" w:sz="4" w:space="0" w:color="auto"/>
            </w:tcBorders>
          </w:tcPr>
          <w:p w:rsidR="00C64B1A" w:rsidRPr="00CD3A14" w:rsidRDefault="00C64B1A" w:rsidP="002C0576">
            <w:pPr>
              <w:pStyle w:val="AGRTableTextBold"/>
            </w:pPr>
            <w:r w:rsidRPr="00CD3A14">
              <w:t>Revenue from ordinary activities</w:t>
            </w:r>
          </w:p>
        </w:tc>
        <w:tc>
          <w:tcPr>
            <w:tcW w:w="1322" w:type="dxa"/>
            <w:tcBorders>
              <w:bottom w:val="single" w:sz="4" w:space="0" w:color="auto"/>
            </w:tcBorders>
          </w:tcPr>
          <w:p w:rsidR="00C64B1A" w:rsidRPr="00CD3A14" w:rsidRDefault="00FC4331" w:rsidP="00190059">
            <w:pPr>
              <w:pStyle w:val="AGRTableNumbersBold"/>
            </w:pPr>
            <w:r w:rsidRPr="00CD3A14">
              <w:t>1,686</w:t>
            </w:r>
          </w:p>
        </w:tc>
        <w:tc>
          <w:tcPr>
            <w:tcW w:w="1321" w:type="dxa"/>
            <w:tcBorders>
              <w:bottom w:val="single" w:sz="4" w:space="0" w:color="auto"/>
            </w:tcBorders>
          </w:tcPr>
          <w:p w:rsidR="00C64B1A" w:rsidRPr="00CD3A14" w:rsidRDefault="00C64B1A" w:rsidP="00C64B1A">
            <w:pPr>
              <w:pStyle w:val="AGRTableNumbersBold"/>
            </w:pPr>
            <w:r w:rsidRPr="00CD3A14">
              <w:t>1,658</w:t>
            </w:r>
          </w:p>
        </w:tc>
      </w:tr>
      <w:tr w:rsidR="00C64B1A" w:rsidRPr="00CD3A14" w:rsidTr="002C0576">
        <w:tc>
          <w:tcPr>
            <w:tcW w:w="4728" w:type="dxa"/>
            <w:tcBorders>
              <w:top w:val="single" w:sz="4" w:space="0" w:color="auto"/>
            </w:tcBorders>
          </w:tcPr>
          <w:p w:rsidR="00C64B1A" w:rsidRPr="00CD3A14" w:rsidRDefault="00C64B1A" w:rsidP="002C0576">
            <w:pPr>
              <w:pStyle w:val="AGRTableTextBold"/>
            </w:pPr>
            <w:r w:rsidRPr="00CD3A14">
              <w:t>Less expenses from ordinary activities</w:t>
            </w:r>
          </w:p>
        </w:tc>
        <w:tc>
          <w:tcPr>
            <w:tcW w:w="1322" w:type="dxa"/>
            <w:tcBorders>
              <w:top w:val="single" w:sz="4" w:space="0" w:color="auto"/>
            </w:tcBorders>
          </w:tcPr>
          <w:p w:rsidR="00C64B1A" w:rsidRPr="00CD3A14" w:rsidRDefault="00C64B1A" w:rsidP="002C0576">
            <w:pPr>
              <w:pStyle w:val="AGRTableText"/>
              <w:tabs>
                <w:tab w:val="decimal" w:pos="811"/>
              </w:tabs>
            </w:pPr>
          </w:p>
        </w:tc>
        <w:tc>
          <w:tcPr>
            <w:tcW w:w="1321" w:type="dxa"/>
            <w:tcBorders>
              <w:top w:val="single" w:sz="4" w:space="0" w:color="auto"/>
            </w:tcBorders>
          </w:tcPr>
          <w:p w:rsidR="00C64B1A" w:rsidRPr="00CD3A14" w:rsidRDefault="00C64B1A" w:rsidP="00C64B1A">
            <w:pPr>
              <w:pStyle w:val="AGRTableText"/>
              <w:tabs>
                <w:tab w:val="decimal" w:pos="811"/>
              </w:tabs>
            </w:pPr>
          </w:p>
        </w:tc>
      </w:tr>
      <w:tr w:rsidR="00C64B1A" w:rsidRPr="00CD3A14" w:rsidTr="002C0576">
        <w:tc>
          <w:tcPr>
            <w:tcW w:w="4728" w:type="dxa"/>
          </w:tcPr>
          <w:p w:rsidR="00C64B1A" w:rsidRPr="00CD3A14" w:rsidRDefault="00C64B1A" w:rsidP="002C0576">
            <w:pPr>
              <w:pStyle w:val="AGRTableText"/>
            </w:pPr>
            <w:r w:rsidRPr="00CD3A14">
              <w:t>Trust donations disbursed</w:t>
            </w:r>
          </w:p>
        </w:tc>
        <w:tc>
          <w:tcPr>
            <w:tcW w:w="1322" w:type="dxa"/>
          </w:tcPr>
          <w:p w:rsidR="00C64B1A" w:rsidRPr="00CD3A14" w:rsidRDefault="00FC4331" w:rsidP="00982C76">
            <w:pPr>
              <w:pStyle w:val="AGRTableNumbers"/>
            </w:pPr>
            <w:r w:rsidRPr="00CD3A14">
              <w:t>(1,268)</w:t>
            </w:r>
          </w:p>
        </w:tc>
        <w:tc>
          <w:tcPr>
            <w:tcW w:w="1321" w:type="dxa"/>
          </w:tcPr>
          <w:p w:rsidR="00C64B1A" w:rsidRPr="00CD3A14" w:rsidRDefault="00C64B1A" w:rsidP="00C64B1A">
            <w:pPr>
              <w:pStyle w:val="AGRTableNumbers"/>
            </w:pPr>
            <w:r w:rsidRPr="00CD3A14">
              <w:t>(3,759)</w:t>
            </w:r>
          </w:p>
        </w:tc>
      </w:tr>
      <w:tr w:rsidR="00C64B1A" w:rsidRPr="00CD3A14" w:rsidTr="002C0576">
        <w:tc>
          <w:tcPr>
            <w:tcW w:w="4728" w:type="dxa"/>
          </w:tcPr>
          <w:p w:rsidR="00C64B1A" w:rsidRPr="00CD3A14" w:rsidRDefault="00C64B1A" w:rsidP="002C0576">
            <w:pPr>
              <w:pStyle w:val="AGRTableText"/>
            </w:pPr>
            <w:r w:rsidRPr="00CD3A14">
              <w:t>Donations in kind – operational</w:t>
            </w:r>
          </w:p>
        </w:tc>
        <w:tc>
          <w:tcPr>
            <w:tcW w:w="1322" w:type="dxa"/>
          </w:tcPr>
          <w:p w:rsidR="00C64B1A" w:rsidRPr="00CD3A14" w:rsidRDefault="00FC4331" w:rsidP="00982C76">
            <w:pPr>
              <w:pStyle w:val="AGRTableText"/>
              <w:tabs>
                <w:tab w:val="decimal" w:pos="811"/>
              </w:tabs>
            </w:pPr>
            <w:r w:rsidRPr="00CD3A14">
              <w:t>(37)</w:t>
            </w:r>
          </w:p>
        </w:tc>
        <w:tc>
          <w:tcPr>
            <w:tcW w:w="1321" w:type="dxa"/>
          </w:tcPr>
          <w:p w:rsidR="00C64B1A" w:rsidRPr="00CD3A14" w:rsidRDefault="00C64B1A" w:rsidP="00C64B1A">
            <w:pPr>
              <w:pStyle w:val="AGRTableText"/>
              <w:tabs>
                <w:tab w:val="decimal" w:pos="811"/>
              </w:tabs>
            </w:pPr>
            <w:r w:rsidRPr="00CD3A14">
              <w:t>(5)</w:t>
            </w:r>
          </w:p>
        </w:tc>
      </w:tr>
      <w:tr w:rsidR="00C64B1A" w:rsidRPr="00CD3A14" w:rsidTr="002C0576">
        <w:tc>
          <w:tcPr>
            <w:tcW w:w="4728" w:type="dxa"/>
          </w:tcPr>
          <w:p w:rsidR="00C64B1A" w:rsidRPr="00CD3A14" w:rsidRDefault="00C64B1A" w:rsidP="002C0576">
            <w:pPr>
              <w:pStyle w:val="AGRTableText"/>
            </w:pPr>
            <w:r w:rsidRPr="00CD3A14">
              <w:t>Other</w:t>
            </w:r>
          </w:p>
        </w:tc>
        <w:tc>
          <w:tcPr>
            <w:tcW w:w="1322" w:type="dxa"/>
          </w:tcPr>
          <w:p w:rsidR="00C64B1A" w:rsidRPr="00CD3A14" w:rsidRDefault="00FC4331" w:rsidP="00982C76">
            <w:pPr>
              <w:pStyle w:val="AGRTableText"/>
              <w:tabs>
                <w:tab w:val="decimal" w:pos="811"/>
              </w:tabs>
            </w:pPr>
            <w:r w:rsidRPr="00CD3A14">
              <w:t>(6)</w:t>
            </w:r>
          </w:p>
        </w:tc>
        <w:tc>
          <w:tcPr>
            <w:tcW w:w="1321" w:type="dxa"/>
          </w:tcPr>
          <w:p w:rsidR="00C64B1A" w:rsidRPr="00CD3A14" w:rsidRDefault="00C64B1A" w:rsidP="00C64B1A">
            <w:pPr>
              <w:pStyle w:val="AGRTableText"/>
              <w:tabs>
                <w:tab w:val="decimal" w:pos="811"/>
              </w:tabs>
            </w:pPr>
            <w:r w:rsidRPr="00CD3A14">
              <w:t>(7)</w:t>
            </w:r>
          </w:p>
        </w:tc>
      </w:tr>
      <w:tr w:rsidR="00C64B1A" w:rsidRPr="00CD3A14" w:rsidTr="002C0576">
        <w:tc>
          <w:tcPr>
            <w:tcW w:w="4728" w:type="dxa"/>
            <w:tcBorders>
              <w:bottom w:val="single" w:sz="4" w:space="0" w:color="auto"/>
            </w:tcBorders>
          </w:tcPr>
          <w:p w:rsidR="00C64B1A" w:rsidRPr="00CD3A14" w:rsidRDefault="00C64B1A" w:rsidP="002C0576">
            <w:pPr>
              <w:pStyle w:val="AGRTableTextBold"/>
            </w:pPr>
            <w:r w:rsidRPr="00CD3A14">
              <w:t>Total expenses from ordinary activities</w:t>
            </w:r>
          </w:p>
        </w:tc>
        <w:tc>
          <w:tcPr>
            <w:tcW w:w="1322" w:type="dxa"/>
            <w:tcBorders>
              <w:bottom w:val="single" w:sz="4" w:space="0" w:color="auto"/>
            </w:tcBorders>
          </w:tcPr>
          <w:p w:rsidR="00C64B1A" w:rsidRPr="00CD3A14" w:rsidRDefault="00FC4331" w:rsidP="00DF4679">
            <w:pPr>
              <w:pStyle w:val="AGRTableNumbersBold"/>
            </w:pPr>
            <w:r w:rsidRPr="00CD3A14">
              <w:t>(1,311)</w:t>
            </w:r>
          </w:p>
        </w:tc>
        <w:tc>
          <w:tcPr>
            <w:tcW w:w="1321" w:type="dxa"/>
            <w:tcBorders>
              <w:bottom w:val="single" w:sz="4" w:space="0" w:color="auto"/>
            </w:tcBorders>
          </w:tcPr>
          <w:p w:rsidR="00C64B1A" w:rsidRPr="00CD3A14" w:rsidRDefault="00C64B1A" w:rsidP="00C64B1A">
            <w:pPr>
              <w:pStyle w:val="AGRTableNumbersBold"/>
            </w:pPr>
            <w:r w:rsidRPr="00CD3A14">
              <w:t>(3,771)</w:t>
            </w:r>
          </w:p>
        </w:tc>
      </w:tr>
      <w:tr w:rsidR="00C64B1A" w:rsidRPr="00CD3A14" w:rsidTr="002C0576">
        <w:tc>
          <w:tcPr>
            <w:tcW w:w="4728" w:type="dxa"/>
            <w:tcBorders>
              <w:bottom w:val="single" w:sz="4" w:space="0" w:color="auto"/>
            </w:tcBorders>
          </w:tcPr>
          <w:p w:rsidR="00C64B1A" w:rsidRPr="00CD3A14" w:rsidRDefault="00C64B1A" w:rsidP="00DD7386">
            <w:pPr>
              <w:pStyle w:val="AGRTableTextBold"/>
            </w:pPr>
            <w:r w:rsidRPr="00CD3A14">
              <w:t>Net operating result for the year</w:t>
            </w:r>
          </w:p>
        </w:tc>
        <w:tc>
          <w:tcPr>
            <w:tcW w:w="1322" w:type="dxa"/>
            <w:tcBorders>
              <w:bottom w:val="single" w:sz="4" w:space="0" w:color="auto"/>
            </w:tcBorders>
          </w:tcPr>
          <w:p w:rsidR="00C64B1A" w:rsidRPr="00CD3A14" w:rsidRDefault="00FC4331" w:rsidP="002C0576">
            <w:pPr>
              <w:pStyle w:val="AGRTableNumbersBold"/>
            </w:pPr>
            <w:r w:rsidRPr="00CD3A14">
              <w:t>375</w:t>
            </w:r>
          </w:p>
        </w:tc>
        <w:tc>
          <w:tcPr>
            <w:tcW w:w="1321" w:type="dxa"/>
            <w:tcBorders>
              <w:bottom w:val="single" w:sz="4" w:space="0" w:color="auto"/>
            </w:tcBorders>
          </w:tcPr>
          <w:p w:rsidR="00C64B1A" w:rsidRPr="00CD3A14" w:rsidRDefault="00C64B1A" w:rsidP="00C64B1A">
            <w:pPr>
              <w:pStyle w:val="AGRTableNumbersBold"/>
            </w:pPr>
            <w:r w:rsidRPr="00CD3A14">
              <w:t>(2,113)</w:t>
            </w:r>
          </w:p>
        </w:tc>
      </w:tr>
    </w:tbl>
    <w:p w:rsidR="008F3751" w:rsidRPr="00CD3A14" w:rsidRDefault="008F3751" w:rsidP="008F3751">
      <w:pPr>
        <w:pStyle w:val="AGRHeading1"/>
      </w:pPr>
      <w:r w:rsidRPr="00CD3A14">
        <w:t xml:space="preserve">Charles Darwin University Foundation </w:t>
      </w:r>
      <w:proofErr w:type="spellStart"/>
      <w:r w:rsidRPr="00CD3A14">
        <w:t>cont</w:t>
      </w:r>
      <w:proofErr w:type="spellEnd"/>
      <w:r w:rsidRPr="00CD3A14">
        <w:t>…</w:t>
      </w:r>
    </w:p>
    <w:p w:rsidR="005D71CD" w:rsidRPr="00CD3A14" w:rsidRDefault="005602EC" w:rsidP="009868FF">
      <w:pPr>
        <w:pStyle w:val="AGRHeading3"/>
      </w:pPr>
      <w:r w:rsidRPr="00CD3A14">
        <w:t>Financial Position at year end</w:t>
      </w:r>
      <w:r w:rsidR="00EC0688" w:rsidRPr="00CD3A14">
        <w:t xml:space="preserve"> – </w:t>
      </w:r>
      <w:r w:rsidR="00845BC4" w:rsidRPr="00CD3A14">
        <w:t>CDU Foundation</w:t>
      </w:r>
      <w:r w:rsidR="009868FF" w:rsidRPr="00CD3A14">
        <w:t xml:space="preserve"> – </w:t>
      </w:r>
      <w:r w:rsidR="00845BC4" w:rsidRPr="00CD3A14">
        <w:t xml:space="preserve">Trust </w:t>
      </w:r>
      <w:r w:rsidR="00EC0688" w:rsidRPr="00CD3A14">
        <w:t>Only</w:t>
      </w:r>
    </w:p>
    <w:tbl>
      <w:tblPr>
        <w:tblW w:w="7371" w:type="dxa"/>
        <w:tblInd w:w="851" w:type="dxa"/>
        <w:tblLook w:val="01E0" w:firstRow="1" w:lastRow="1" w:firstColumn="1" w:lastColumn="1" w:noHBand="0" w:noVBand="0"/>
      </w:tblPr>
      <w:tblGrid>
        <w:gridCol w:w="4728"/>
        <w:gridCol w:w="1322"/>
        <w:gridCol w:w="1321"/>
      </w:tblGrid>
      <w:tr w:rsidR="005D71CD" w:rsidRPr="00CD3A14" w:rsidTr="002C0576">
        <w:tc>
          <w:tcPr>
            <w:tcW w:w="4728" w:type="dxa"/>
            <w:tcBorders>
              <w:bottom w:val="single" w:sz="4" w:space="0" w:color="auto"/>
            </w:tcBorders>
          </w:tcPr>
          <w:p w:rsidR="005D71CD" w:rsidRPr="00CD3A14" w:rsidRDefault="005D71CD" w:rsidP="002C0576">
            <w:pPr>
              <w:pStyle w:val="AGRTableText"/>
            </w:pPr>
          </w:p>
        </w:tc>
        <w:tc>
          <w:tcPr>
            <w:tcW w:w="1322" w:type="dxa"/>
            <w:tcBorders>
              <w:bottom w:val="single" w:sz="4" w:space="0" w:color="auto"/>
            </w:tcBorders>
          </w:tcPr>
          <w:p w:rsidR="005D71CD" w:rsidRPr="00CD3A14" w:rsidRDefault="005D71CD" w:rsidP="00C64B1A">
            <w:pPr>
              <w:pStyle w:val="AGRTableText"/>
              <w:tabs>
                <w:tab w:val="center" w:pos="570"/>
              </w:tabs>
            </w:pPr>
            <w:r w:rsidRPr="00CD3A14">
              <w:tab/>
            </w:r>
            <w:r w:rsidR="00313635" w:rsidRPr="00CD3A14">
              <w:t>201</w:t>
            </w:r>
            <w:r w:rsidR="00C64B1A" w:rsidRPr="00CD3A14">
              <w:t>4</w:t>
            </w:r>
          </w:p>
        </w:tc>
        <w:tc>
          <w:tcPr>
            <w:tcW w:w="1321" w:type="dxa"/>
            <w:tcBorders>
              <w:bottom w:val="single" w:sz="4" w:space="0" w:color="auto"/>
            </w:tcBorders>
          </w:tcPr>
          <w:p w:rsidR="005D71CD" w:rsidRPr="00CD3A14" w:rsidRDefault="005602EC" w:rsidP="00C64B1A">
            <w:pPr>
              <w:pStyle w:val="AGRTableText"/>
              <w:tabs>
                <w:tab w:val="center" w:pos="570"/>
              </w:tabs>
            </w:pPr>
            <w:r w:rsidRPr="00CD3A14">
              <w:tab/>
            </w:r>
            <w:r w:rsidR="00982C76" w:rsidRPr="00CD3A14">
              <w:t>20</w:t>
            </w:r>
            <w:r w:rsidR="00E207A1" w:rsidRPr="00CD3A14">
              <w:t>1</w:t>
            </w:r>
            <w:r w:rsidR="00C64B1A" w:rsidRPr="00CD3A14">
              <w:t>3</w:t>
            </w:r>
          </w:p>
        </w:tc>
      </w:tr>
      <w:tr w:rsidR="005D71CD" w:rsidRPr="00CD3A14" w:rsidTr="002C0576">
        <w:tc>
          <w:tcPr>
            <w:tcW w:w="4728" w:type="dxa"/>
            <w:tcBorders>
              <w:top w:val="single" w:sz="4" w:space="0" w:color="auto"/>
            </w:tcBorders>
          </w:tcPr>
          <w:p w:rsidR="005D71CD" w:rsidRPr="00CD3A14" w:rsidRDefault="005D71CD" w:rsidP="002C0576">
            <w:pPr>
              <w:pStyle w:val="AGRTableText"/>
            </w:pPr>
          </w:p>
        </w:tc>
        <w:tc>
          <w:tcPr>
            <w:tcW w:w="1322" w:type="dxa"/>
            <w:tcBorders>
              <w:top w:val="single" w:sz="4" w:space="0" w:color="auto"/>
            </w:tcBorders>
          </w:tcPr>
          <w:p w:rsidR="005D71CD" w:rsidRPr="00CD3A14" w:rsidRDefault="005D71CD" w:rsidP="002C0576">
            <w:pPr>
              <w:pStyle w:val="AGRTableText"/>
              <w:tabs>
                <w:tab w:val="center" w:pos="570"/>
              </w:tabs>
            </w:pPr>
            <w:r w:rsidRPr="00CD3A14">
              <w:tab/>
              <w:t>$’000</w:t>
            </w:r>
          </w:p>
        </w:tc>
        <w:tc>
          <w:tcPr>
            <w:tcW w:w="1321" w:type="dxa"/>
            <w:tcBorders>
              <w:top w:val="single" w:sz="4" w:space="0" w:color="auto"/>
            </w:tcBorders>
          </w:tcPr>
          <w:p w:rsidR="005D71CD" w:rsidRPr="00CD3A14" w:rsidRDefault="005D71CD" w:rsidP="002C0576">
            <w:pPr>
              <w:pStyle w:val="AGRTableText"/>
              <w:tabs>
                <w:tab w:val="center" w:pos="570"/>
              </w:tabs>
            </w:pPr>
            <w:r w:rsidRPr="00CD3A14">
              <w:tab/>
              <w:t>$’000</w:t>
            </w:r>
          </w:p>
        </w:tc>
      </w:tr>
      <w:tr w:rsidR="00C64B1A" w:rsidRPr="00CD3A14" w:rsidTr="002C0576">
        <w:tc>
          <w:tcPr>
            <w:tcW w:w="4728" w:type="dxa"/>
          </w:tcPr>
          <w:p w:rsidR="00C64B1A" w:rsidRPr="00CD3A14" w:rsidRDefault="00C64B1A" w:rsidP="009868FF">
            <w:pPr>
              <w:pStyle w:val="AGRTableText"/>
            </w:pPr>
            <w:r w:rsidRPr="00CD3A14">
              <w:t>Current assets</w:t>
            </w:r>
          </w:p>
        </w:tc>
        <w:tc>
          <w:tcPr>
            <w:tcW w:w="1322" w:type="dxa"/>
          </w:tcPr>
          <w:p w:rsidR="00C64B1A" w:rsidRPr="00CD3A14" w:rsidRDefault="00FC4331" w:rsidP="00FC4331">
            <w:pPr>
              <w:pStyle w:val="AGRTableNumbers"/>
            </w:pPr>
            <w:r w:rsidRPr="00CD3A14">
              <w:t>4,818</w:t>
            </w:r>
          </w:p>
        </w:tc>
        <w:tc>
          <w:tcPr>
            <w:tcW w:w="1321" w:type="dxa"/>
          </w:tcPr>
          <w:p w:rsidR="00C64B1A" w:rsidRPr="00CD3A14" w:rsidRDefault="00C64B1A" w:rsidP="00C64B1A">
            <w:pPr>
              <w:pStyle w:val="AGRTableNumbers"/>
            </w:pPr>
            <w:r w:rsidRPr="00CD3A14">
              <w:t>4,435</w:t>
            </w:r>
          </w:p>
        </w:tc>
      </w:tr>
      <w:tr w:rsidR="00C64B1A" w:rsidRPr="00CD3A14" w:rsidTr="002C0576">
        <w:tc>
          <w:tcPr>
            <w:tcW w:w="4728" w:type="dxa"/>
          </w:tcPr>
          <w:p w:rsidR="00C64B1A" w:rsidRPr="00CD3A14" w:rsidRDefault="00C64B1A" w:rsidP="009868FF">
            <w:pPr>
              <w:pStyle w:val="AGRTableText"/>
            </w:pPr>
            <w:r w:rsidRPr="00CD3A14">
              <w:t>Less current liabilities</w:t>
            </w:r>
          </w:p>
        </w:tc>
        <w:tc>
          <w:tcPr>
            <w:tcW w:w="1322" w:type="dxa"/>
          </w:tcPr>
          <w:p w:rsidR="00C64B1A" w:rsidRPr="00CD3A14" w:rsidRDefault="00FC4331" w:rsidP="002C0576">
            <w:pPr>
              <w:pStyle w:val="AGRTableText"/>
              <w:tabs>
                <w:tab w:val="decimal" w:pos="811"/>
              </w:tabs>
            </w:pPr>
            <w:r w:rsidRPr="00CD3A14">
              <w:t>(8)</w:t>
            </w:r>
          </w:p>
        </w:tc>
        <w:tc>
          <w:tcPr>
            <w:tcW w:w="1321" w:type="dxa"/>
          </w:tcPr>
          <w:p w:rsidR="00C64B1A" w:rsidRPr="00CD3A14" w:rsidRDefault="00C64B1A" w:rsidP="00C64B1A">
            <w:pPr>
              <w:pStyle w:val="AGRTableText"/>
              <w:tabs>
                <w:tab w:val="decimal" w:pos="811"/>
              </w:tabs>
            </w:pPr>
            <w:r w:rsidRPr="00CD3A14">
              <w:t>-</w:t>
            </w:r>
          </w:p>
        </w:tc>
      </w:tr>
      <w:tr w:rsidR="00C64B1A" w:rsidRPr="00CD3A14" w:rsidTr="002C0576">
        <w:tc>
          <w:tcPr>
            <w:tcW w:w="4728" w:type="dxa"/>
            <w:tcBorders>
              <w:bottom w:val="single" w:sz="4" w:space="0" w:color="auto"/>
            </w:tcBorders>
          </w:tcPr>
          <w:p w:rsidR="00C64B1A" w:rsidRPr="00CD3A14" w:rsidRDefault="00C64B1A" w:rsidP="009868FF">
            <w:pPr>
              <w:pStyle w:val="AGRTableTextBold"/>
            </w:pPr>
            <w:r w:rsidRPr="00CD3A14">
              <w:t>Working capital</w:t>
            </w:r>
          </w:p>
        </w:tc>
        <w:tc>
          <w:tcPr>
            <w:tcW w:w="1322" w:type="dxa"/>
            <w:tcBorders>
              <w:bottom w:val="single" w:sz="4" w:space="0" w:color="auto"/>
            </w:tcBorders>
          </w:tcPr>
          <w:p w:rsidR="00C64B1A" w:rsidRPr="00CD3A14" w:rsidRDefault="00FC4331" w:rsidP="005A2C99">
            <w:pPr>
              <w:pStyle w:val="AGRTableNumbersBold"/>
            </w:pPr>
            <w:r w:rsidRPr="00CD3A14">
              <w:t>4,81</w:t>
            </w:r>
            <w:r w:rsidR="005A2C99">
              <w:t>0</w:t>
            </w:r>
          </w:p>
        </w:tc>
        <w:tc>
          <w:tcPr>
            <w:tcW w:w="1321" w:type="dxa"/>
            <w:tcBorders>
              <w:bottom w:val="single" w:sz="4" w:space="0" w:color="auto"/>
            </w:tcBorders>
          </w:tcPr>
          <w:p w:rsidR="00C64B1A" w:rsidRPr="00CD3A14" w:rsidRDefault="00C64B1A" w:rsidP="00C64B1A">
            <w:pPr>
              <w:pStyle w:val="AGRTableNumbersBold"/>
            </w:pPr>
            <w:r w:rsidRPr="00CD3A14">
              <w:t>4,435</w:t>
            </w:r>
          </w:p>
        </w:tc>
      </w:tr>
      <w:tr w:rsidR="00C64B1A" w:rsidRPr="00CD3A14" w:rsidTr="002C0576">
        <w:tc>
          <w:tcPr>
            <w:tcW w:w="4728" w:type="dxa"/>
            <w:tcBorders>
              <w:top w:val="single" w:sz="4" w:space="0" w:color="auto"/>
            </w:tcBorders>
          </w:tcPr>
          <w:p w:rsidR="00C64B1A" w:rsidRPr="00CD3A14" w:rsidRDefault="00C64B1A" w:rsidP="009868FF">
            <w:pPr>
              <w:pStyle w:val="AGRTableText"/>
            </w:pPr>
            <w:r w:rsidRPr="00CD3A14">
              <w:t>Add non current assets</w:t>
            </w:r>
          </w:p>
        </w:tc>
        <w:tc>
          <w:tcPr>
            <w:tcW w:w="1322" w:type="dxa"/>
            <w:tcBorders>
              <w:top w:val="single" w:sz="4" w:space="0" w:color="auto"/>
            </w:tcBorders>
          </w:tcPr>
          <w:p w:rsidR="00C64B1A" w:rsidRPr="00CD3A14" w:rsidRDefault="00FC4331" w:rsidP="002C0576">
            <w:pPr>
              <w:pStyle w:val="AGRTableText"/>
              <w:tabs>
                <w:tab w:val="decimal" w:pos="811"/>
              </w:tabs>
            </w:pPr>
            <w:r w:rsidRPr="00CD3A14">
              <w:t>580</w:t>
            </w:r>
          </w:p>
        </w:tc>
        <w:tc>
          <w:tcPr>
            <w:tcW w:w="1321" w:type="dxa"/>
            <w:tcBorders>
              <w:top w:val="single" w:sz="4" w:space="0" w:color="auto"/>
            </w:tcBorders>
          </w:tcPr>
          <w:p w:rsidR="00C64B1A" w:rsidRPr="00CD3A14" w:rsidRDefault="00C64B1A" w:rsidP="00C64B1A">
            <w:pPr>
              <w:pStyle w:val="AGRTableText"/>
              <w:tabs>
                <w:tab w:val="decimal" w:pos="811"/>
              </w:tabs>
            </w:pPr>
            <w:r w:rsidRPr="00CD3A14">
              <w:t>554</w:t>
            </w:r>
          </w:p>
        </w:tc>
      </w:tr>
      <w:tr w:rsidR="00C64B1A" w:rsidRPr="00CD3A14" w:rsidTr="002C0576">
        <w:tc>
          <w:tcPr>
            <w:tcW w:w="4728" w:type="dxa"/>
            <w:tcBorders>
              <w:bottom w:val="single" w:sz="4" w:space="0" w:color="auto"/>
            </w:tcBorders>
          </w:tcPr>
          <w:p w:rsidR="00C64B1A" w:rsidRPr="00CD3A14" w:rsidRDefault="00C64B1A" w:rsidP="002C0576">
            <w:pPr>
              <w:pStyle w:val="AGRTableTextBold"/>
            </w:pPr>
            <w:r w:rsidRPr="00CD3A14">
              <w:t>Net assets</w:t>
            </w:r>
          </w:p>
        </w:tc>
        <w:tc>
          <w:tcPr>
            <w:tcW w:w="1322" w:type="dxa"/>
            <w:tcBorders>
              <w:bottom w:val="single" w:sz="4" w:space="0" w:color="auto"/>
            </w:tcBorders>
          </w:tcPr>
          <w:p w:rsidR="00C64B1A" w:rsidRPr="00CD3A14" w:rsidRDefault="00FC4331" w:rsidP="002C0576">
            <w:pPr>
              <w:pStyle w:val="AGRTableNumbersBold"/>
            </w:pPr>
            <w:r w:rsidRPr="00CD3A14">
              <w:t>5,390</w:t>
            </w:r>
          </w:p>
        </w:tc>
        <w:tc>
          <w:tcPr>
            <w:tcW w:w="1321" w:type="dxa"/>
            <w:tcBorders>
              <w:bottom w:val="single" w:sz="4" w:space="0" w:color="auto"/>
            </w:tcBorders>
          </w:tcPr>
          <w:p w:rsidR="00C64B1A" w:rsidRPr="00CD3A14" w:rsidRDefault="00C64B1A" w:rsidP="00C64B1A">
            <w:pPr>
              <w:pStyle w:val="AGRTableNumbersBold"/>
            </w:pPr>
            <w:r w:rsidRPr="00CD3A14">
              <w:t>4,989</w:t>
            </w:r>
          </w:p>
        </w:tc>
      </w:tr>
      <w:tr w:rsidR="00C64B1A" w:rsidRPr="00CD3A14" w:rsidTr="002C0576">
        <w:tc>
          <w:tcPr>
            <w:tcW w:w="4728" w:type="dxa"/>
            <w:tcBorders>
              <w:top w:val="single" w:sz="4" w:space="0" w:color="auto"/>
            </w:tcBorders>
          </w:tcPr>
          <w:p w:rsidR="00C64B1A" w:rsidRPr="00CD3A14" w:rsidRDefault="00C64B1A" w:rsidP="002C0576">
            <w:pPr>
              <w:pStyle w:val="AGRTableText"/>
            </w:pPr>
            <w:r w:rsidRPr="00CD3A14">
              <w:t>Represented by:</w:t>
            </w:r>
          </w:p>
        </w:tc>
        <w:tc>
          <w:tcPr>
            <w:tcW w:w="1322" w:type="dxa"/>
            <w:tcBorders>
              <w:top w:val="single" w:sz="4" w:space="0" w:color="auto"/>
            </w:tcBorders>
          </w:tcPr>
          <w:p w:rsidR="00C64B1A" w:rsidRPr="00CD3A14" w:rsidRDefault="00C64B1A" w:rsidP="002C0576">
            <w:pPr>
              <w:pStyle w:val="AGRTableNumbers"/>
            </w:pPr>
          </w:p>
        </w:tc>
        <w:tc>
          <w:tcPr>
            <w:tcW w:w="1321" w:type="dxa"/>
            <w:tcBorders>
              <w:top w:val="single" w:sz="4" w:space="0" w:color="auto"/>
            </w:tcBorders>
          </w:tcPr>
          <w:p w:rsidR="00C64B1A" w:rsidRPr="00CD3A14" w:rsidRDefault="00C64B1A" w:rsidP="00C64B1A">
            <w:pPr>
              <w:pStyle w:val="AGRTableNumbers"/>
            </w:pPr>
          </w:p>
        </w:tc>
      </w:tr>
      <w:tr w:rsidR="00C64B1A" w:rsidRPr="00CD3A14" w:rsidTr="002C0576">
        <w:tc>
          <w:tcPr>
            <w:tcW w:w="4728" w:type="dxa"/>
          </w:tcPr>
          <w:p w:rsidR="00C64B1A" w:rsidRPr="00CD3A14" w:rsidRDefault="00C64B1A" w:rsidP="009868FF">
            <w:pPr>
              <w:pStyle w:val="AGRTableText"/>
            </w:pPr>
            <w:r w:rsidRPr="00CD3A14">
              <w:t>Investment revaluation reserve</w:t>
            </w:r>
          </w:p>
        </w:tc>
        <w:tc>
          <w:tcPr>
            <w:tcW w:w="1322" w:type="dxa"/>
          </w:tcPr>
          <w:p w:rsidR="00C64B1A" w:rsidRPr="00CD3A14" w:rsidRDefault="00FC4331" w:rsidP="002C0576">
            <w:pPr>
              <w:pStyle w:val="AGRTableNumbers"/>
            </w:pPr>
            <w:r w:rsidRPr="00CD3A14">
              <w:t>186</w:t>
            </w:r>
          </w:p>
        </w:tc>
        <w:tc>
          <w:tcPr>
            <w:tcW w:w="1321" w:type="dxa"/>
          </w:tcPr>
          <w:p w:rsidR="00C64B1A" w:rsidRPr="00CD3A14" w:rsidRDefault="00C64B1A" w:rsidP="00C64B1A">
            <w:pPr>
              <w:pStyle w:val="AGRTableNumbers"/>
            </w:pPr>
            <w:r w:rsidRPr="00CD3A14">
              <w:t>160</w:t>
            </w:r>
          </w:p>
        </w:tc>
      </w:tr>
      <w:tr w:rsidR="00C64B1A" w:rsidRPr="00CD3A14" w:rsidTr="002C0576">
        <w:tc>
          <w:tcPr>
            <w:tcW w:w="4728" w:type="dxa"/>
          </w:tcPr>
          <w:p w:rsidR="00C64B1A" w:rsidRPr="00CD3A14" w:rsidRDefault="00C64B1A" w:rsidP="002C0576">
            <w:pPr>
              <w:pStyle w:val="AGRTableText"/>
            </w:pPr>
            <w:r w:rsidRPr="00CD3A14">
              <w:t>Retained earnings</w:t>
            </w:r>
          </w:p>
        </w:tc>
        <w:tc>
          <w:tcPr>
            <w:tcW w:w="1322" w:type="dxa"/>
          </w:tcPr>
          <w:p w:rsidR="00C64B1A" w:rsidRPr="00CD3A14" w:rsidRDefault="00FC4331" w:rsidP="002C0576">
            <w:pPr>
              <w:pStyle w:val="AGRTableNumbers"/>
            </w:pPr>
            <w:r w:rsidRPr="00CD3A14">
              <w:t>5,204</w:t>
            </w:r>
          </w:p>
        </w:tc>
        <w:tc>
          <w:tcPr>
            <w:tcW w:w="1321" w:type="dxa"/>
          </w:tcPr>
          <w:p w:rsidR="00C64B1A" w:rsidRPr="00CD3A14" w:rsidRDefault="00C64B1A" w:rsidP="00C64B1A">
            <w:pPr>
              <w:pStyle w:val="AGRTableNumbers"/>
            </w:pPr>
            <w:r w:rsidRPr="00CD3A14">
              <w:t>4,829</w:t>
            </w:r>
          </w:p>
        </w:tc>
      </w:tr>
      <w:tr w:rsidR="00C64B1A" w:rsidRPr="00CD3A14" w:rsidTr="002C0576">
        <w:tc>
          <w:tcPr>
            <w:tcW w:w="4728" w:type="dxa"/>
            <w:tcBorders>
              <w:bottom w:val="single" w:sz="4" w:space="0" w:color="auto"/>
            </w:tcBorders>
          </w:tcPr>
          <w:p w:rsidR="00C64B1A" w:rsidRPr="00CD3A14" w:rsidRDefault="00C64B1A" w:rsidP="009868FF">
            <w:pPr>
              <w:pStyle w:val="AGRTableTextBold"/>
            </w:pPr>
            <w:r w:rsidRPr="00CD3A14">
              <w:t>Total Trust funds</w:t>
            </w:r>
          </w:p>
        </w:tc>
        <w:tc>
          <w:tcPr>
            <w:tcW w:w="1322" w:type="dxa"/>
            <w:tcBorders>
              <w:bottom w:val="single" w:sz="4" w:space="0" w:color="auto"/>
            </w:tcBorders>
          </w:tcPr>
          <w:p w:rsidR="00C64B1A" w:rsidRPr="00CD3A14" w:rsidRDefault="00FC4331" w:rsidP="002C0576">
            <w:pPr>
              <w:pStyle w:val="AGRTableNumbersBold"/>
            </w:pPr>
            <w:r w:rsidRPr="00CD3A14">
              <w:t>5,390</w:t>
            </w:r>
          </w:p>
        </w:tc>
        <w:tc>
          <w:tcPr>
            <w:tcW w:w="1321" w:type="dxa"/>
            <w:tcBorders>
              <w:bottom w:val="single" w:sz="4" w:space="0" w:color="auto"/>
            </w:tcBorders>
          </w:tcPr>
          <w:p w:rsidR="00C64B1A" w:rsidRPr="00CD3A14" w:rsidRDefault="00C64B1A" w:rsidP="00C64B1A">
            <w:pPr>
              <w:pStyle w:val="AGRTableNumbersBold"/>
            </w:pPr>
            <w:r w:rsidRPr="00CD3A14">
              <w:t>4,989</w:t>
            </w:r>
          </w:p>
        </w:tc>
      </w:tr>
    </w:tbl>
    <w:p w:rsidR="00A5089E" w:rsidRPr="00CD3A14" w:rsidRDefault="00A5089E" w:rsidP="00A5089E">
      <w:pPr>
        <w:pStyle w:val="AGRHeading1"/>
      </w:pPr>
      <w:r w:rsidRPr="00CD3A14">
        <w:t>Department of Corpo</w:t>
      </w:r>
      <w:r w:rsidR="00524BB5" w:rsidRPr="00CD3A14">
        <w:t>r</w:t>
      </w:r>
      <w:r w:rsidRPr="00CD3A14">
        <w:t>ate and Information Services</w:t>
      </w:r>
    </w:p>
    <w:p w:rsidR="00A5089E" w:rsidRPr="00CD3A14" w:rsidRDefault="00A5089E" w:rsidP="00A5089E">
      <w:pPr>
        <w:pStyle w:val="AGRHeading2"/>
      </w:pPr>
      <w:bookmarkStart w:id="23" w:name="AIS"/>
      <w:r w:rsidRPr="00CD3A14">
        <w:t>Asset Information System</w:t>
      </w:r>
      <w:bookmarkEnd w:id="23"/>
    </w:p>
    <w:p w:rsidR="00A5089E" w:rsidRPr="00CD3A14" w:rsidRDefault="00A5089E" w:rsidP="00A5089E">
      <w:pPr>
        <w:pStyle w:val="AGRHeading3"/>
      </w:pPr>
      <w:r w:rsidRPr="00CD3A14">
        <w:t>Audit Objective and Scope</w:t>
      </w:r>
    </w:p>
    <w:p w:rsidR="00A5089E" w:rsidRPr="00CD3A14" w:rsidRDefault="00A5089E" w:rsidP="0013400B">
      <w:pPr>
        <w:pStyle w:val="AGRBodyText"/>
        <w:rPr>
          <w:noProof w:val="0"/>
          <w:lang w:val="en-AU"/>
        </w:rPr>
      </w:pPr>
      <w:r w:rsidRPr="00CD3A14">
        <w:rPr>
          <w:noProof w:val="0"/>
          <w:lang w:val="en-AU"/>
        </w:rPr>
        <w:t>The objective of this audit was to perform a review of Phase 1 of the Asset Information System / ASNEX project.</w:t>
      </w:r>
    </w:p>
    <w:p w:rsidR="00A5089E" w:rsidRPr="00CD3A14" w:rsidRDefault="00A5089E" w:rsidP="00A5089E">
      <w:pPr>
        <w:pStyle w:val="AGRHeading3"/>
      </w:pPr>
      <w:r w:rsidRPr="00CD3A14">
        <w:t>Background</w:t>
      </w:r>
    </w:p>
    <w:p w:rsidR="00A5089E" w:rsidRPr="00CD3A14" w:rsidRDefault="00A5089E" w:rsidP="0013400B">
      <w:pPr>
        <w:pStyle w:val="AGRBodyText"/>
        <w:rPr>
          <w:noProof w:val="0"/>
          <w:lang w:val="en-AU"/>
        </w:rPr>
      </w:pPr>
      <w:r w:rsidRPr="00CD3A14">
        <w:rPr>
          <w:noProof w:val="0"/>
          <w:lang w:val="en-AU"/>
        </w:rPr>
        <w:t>On 10 November 2014 the first milestone in the ASNEX project was completed, when key foundation systems that form part of the new ASNEX went live and the decommissioning of the Asset Management System (AMS) began.</w:t>
      </w:r>
    </w:p>
    <w:p w:rsidR="00A5089E" w:rsidRPr="00CD3A14" w:rsidRDefault="00A5089E" w:rsidP="0013400B">
      <w:pPr>
        <w:pStyle w:val="AGRBodyText"/>
        <w:rPr>
          <w:noProof w:val="0"/>
          <w:lang w:val="en-AU"/>
        </w:rPr>
      </w:pPr>
      <w:r w:rsidRPr="00CD3A14">
        <w:rPr>
          <w:noProof w:val="0"/>
          <w:lang w:val="en-AU"/>
        </w:rPr>
        <w:t>The foundation systems are core to the development of the integrated ASNEX model, providing a stable foundation for the end to end asset systems solution. These systems are:</w:t>
      </w:r>
    </w:p>
    <w:p w:rsidR="00A5089E" w:rsidRPr="00CD3A14" w:rsidRDefault="00A5089E" w:rsidP="0013400B">
      <w:pPr>
        <w:pStyle w:val="AGRBulletText"/>
        <w:rPr>
          <w:noProof w:val="0"/>
          <w:lang w:val="en-AU"/>
        </w:rPr>
      </w:pPr>
      <w:r w:rsidRPr="00CD3A14">
        <w:rPr>
          <w:noProof w:val="0"/>
          <w:lang w:val="en-AU"/>
        </w:rPr>
        <w:t>Asset Information System</w:t>
      </w:r>
      <w:r w:rsidR="0039370E">
        <w:rPr>
          <w:noProof w:val="0"/>
          <w:lang w:val="en-AU"/>
        </w:rPr>
        <w:t xml:space="preserve"> (AIS)</w:t>
      </w:r>
      <w:r w:rsidRPr="00CD3A14">
        <w:rPr>
          <w:noProof w:val="0"/>
          <w:lang w:val="en-AU"/>
        </w:rPr>
        <w:t>;</w:t>
      </w:r>
    </w:p>
    <w:p w:rsidR="00A5089E" w:rsidRPr="00CD3A14" w:rsidRDefault="00A5089E" w:rsidP="0013400B">
      <w:pPr>
        <w:pStyle w:val="AGRBulletText"/>
        <w:rPr>
          <w:noProof w:val="0"/>
          <w:lang w:val="en-AU"/>
        </w:rPr>
      </w:pPr>
      <w:r w:rsidRPr="00CD3A14">
        <w:rPr>
          <w:noProof w:val="0"/>
          <w:lang w:val="en-AU"/>
        </w:rPr>
        <w:t>Building Asset Management System (BAMS);</w:t>
      </w:r>
    </w:p>
    <w:p w:rsidR="00A5089E" w:rsidRPr="00CD3A14" w:rsidRDefault="00A5089E" w:rsidP="0013400B">
      <w:pPr>
        <w:pStyle w:val="AGRBulletText"/>
        <w:rPr>
          <w:noProof w:val="0"/>
          <w:lang w:val="en-AU"/>
        </w:rPr>
      </w:pPr>
      <w:r w:rsidRPr="00CD3A14">
        <w:rPr>
          <w:noProof w:val="0"/>
          <w:lang w:val="en-AU"/>
        </w:rPr>
        <w:t>Road Information Management System (RIMS); and</w:t>
      </w:r>
    </w:p>
    <w:p w:rsidR="00A5089E" w:rsidRPr="00CD3A14" w:rsidRDefault="00A5089E" w:rsidP="0013400B">
      <w:pPr>
        <w:pStyle w:val="AGRBulletText"/>
        <w:rPr>
          <w:noProof w:val="0"/>
          <w:lang w:val="en-AU"/>
        </w:rPr>
      </w:pPr>
      <w:r w:rsidRPr="00CD3A14">
        <w:rPr>
          <w:noProof w:val="0"/>
          <w:lang w:val="en-AU"/>
        </w:rPr>
        <w:t>Project Reporting System (PRS).</w:t>
      </w:r>
    </w:p>
    <w:p w:rsidR="00A5089E" w:rsidRPr="00CD3A14" w:rsidRDefault="00A5089E" w:rsidP="0013400B">
      <w:pPr>
        <w:pStyle w:val="AGRBodyText"/>
        <w:rPr>
          <w:noProof w:val="0"/>
          <w:lang w:val="en-AU"/>
        </w:rPr>
      </w:pPr>
      <w:r w:rsidRPr="00CD3A14">
        <w:rPr>
          <w:noProof w:val="0"/>
          <w:lang w:val="en-AU"/>
        </w:rPr>
        <w:t>ASNEX is intended to provide a fit-for</w:t>
      </w:r>
      <w:r w:rsidR="0039370E">
        <w:rPr>
          <w:noProof w:val="0"/>
          <w:lang w:val="en-AU"/>
        </w:rPr>
        <w:t>-</w:t>
      </w:r>
      <w:r w:rsidRPr="00CD3A14">
        <w:rPr>
          <w:noProof w:val="0"/>
          <w:lang w:val="en-AU"/>
        </w:rPr>
        <w:t>purpose solution using contemporary software to integrate and expand existing and new asset systems</w:t>
      </w:r>
      <w:r w:rsidR="00B5694A" w:rsidRPr="00CD3A14">
        <w:rPr>
          <w:noProof w:val="0"/>
          <w:lang w:val="en-AU"/>
        </w:rPr>
        <w:t xml:space="preserve"> and</w:t>
      </w:r>
      <w:r w:rsidRPr="00CD3A14">
        <w:rPr>
          <w:noProof w:val="0"/>
          <w:lang w:val="en-AU"/>
        </w:rPr>
        <w:t xml:space="preserve"> is intended to integrate with the Government Accounting System and other business systems.</w:t>
      </w:r>
    </w:p>
    <w:p w:rsidR="00A5089E" w:rsidRPr="00CD3A14" w:rsidRDefault="00A5089E" w:rsidP="0013400B">
      <w:pPr>
        <w:pStyle w:val="AGRBodyText"/>
        <w:rPr>
          <w:noProof w:val="0"/>
          <w:lang w:val="en-AU"/>
        </w:rPr>
      </w:pPr>
      <w:r w:rsidRPr="00CD3A14">
        <w:rPr>
          <w:noProof w:val="0"/>
          <w:lang w:val="en-AU"/>
        </w:rPr>
        <w:t xml:space="preserve">Existing systems: AIS; PRS; RIMS; and BAMS form foundation systems under the new integrated ASNEX model which went live on 10 November 2014. It is expected that </w:t>
      </w:r>
      <w:r w:rsidR="00524BB5" w:rsidRPr="00CD3A14">
        <w:rPr>
          <w:noProof w:val="0"/>
          <w:lang w:val="en-AU"/>
        </w:rPr>
        <w:t>n</w:t>
      </w:r>
      <w:r w:rsidRPr="00CD3A14">
        <w:rPr>
          <w:noProof w:val="0"/>
          <w:lang w:val="en-AU"/>
        </w:rPr>
        <w:t>ew systems will be introduced to expand the network to encompass more asset-related functions, such as property management.</w:t>
      </w:r>
    </w:p>
    <w:p w:rsidR="00A5089E" w:rsidRPr="00CD3A14" w:rsidRDefault="00A5089E" w:rsidP="00A5089E">
      <w:pPr>
        <w:pStyle w:val="AGRHeading1"/>
      </w:pPr>
      <w:r w:rsidRPr="00CD3A14">
        <w:t xml:space="preserve">Department of </w:t>
      </w:r>
      <w:r w:rsidR="00524BB5" w:rsidRPr="00CD3A14">
        <w:t>Corporate and Information Services</w:t>
      </w:r>
      <w:r w:rsidRPr="00CD3A14">
        <w:t xml:space="preserve"> </w:t>
      </w:r>
      <w:proofErr w:type="spellStart"/>
      <w:r w:rsidRPr="00CD3A14">
        <w:t>cont</w:t>
      </w:r>
      <w:proofErr w:type="spellEnd"/>
      <w:r w:rsidRPr="00CD3A14">
        <w:t>…</w:t>
      </w:r>
    </w:p>
    <w:p w:rsidR="00A5089E" w:rsidRPr="00CD3A14" w:rsidRDefault="00A5089E" w:rsidP="00A5089E">
      <w:pPr>
        <w:pStyle w:val="AGRHeading3"/>
      </w:pPr>
      <w:r w:rsidRPr="00CD3A14">
        <w:t>Key Findings</w:t>
      </w:r>
    </w:p>
    <w:p w:rsidR="00D10D77" w:rsidRPr="00CD3A14" w:rsidRDefault="00D10D77" w:rsidP="00D10D77">
      <w:pPr>
        <w:pStyle w:val="AGRHeading4"/>
      </w:pPr>
      <w:r w:rsidRPr="00CD3A14">
        <w:t xml:space="preserve">No log of AIS outstanding issues exists </w:t>
      </w:r>
    </w:p>
    <w:p w:rsidR="00A5089E" w:rsidRPr="00CD3A14" w:rsidRDefault="00524BB5" w:rsidP="0013400B">
      <w:pPr>
        <w:pStyle w:val="AGRBodyText"/>
        <w:rPr>
          <w:noProof w:val="0"/>
          <w:lang w:val="en-AU"/>
        </w:rPr>
      </w:pPr>
      <w:r w:rsidRPr="00CD3A14">
        <w:rPr>
          <w:noProof w:val="0"/>
          <w:lang w:val="en-AU"/>
        </w:rPr>
        <w:t>An outstanding issue log, including data or functionality issues, was not available from April 2012, when AIS was placed into ‘read-only’ mode as part of the former Asset Management System project. An issues log was maintained by the Program Management Office for Phase 1a (re-instatement of AIS) of the project. My authorised auditors were advised that ASNEX Systems is currently developing a knowledge database to manage AIS issues (since go-live) that are logged by users.</w:t>
      </w:r>
    </w:p>
    <w:p w:rsidR="00524BB5" w:rsidRPr="00CD3A14" w:rsidRDefault="00440546" w:rsidP="0013400B">
      <w:pPr>
        <w:pStyle w:val="AGRBodyText"/>
        <w:rPr>
          <w:noProof w:val="0"/>
          <w:lang w:val="en-AU"/>
        </w:rPr>
      </w:pPr>
      <w:r w:rsidRPr="00CD3A14">
        <w:rPr>
          <w:noProof w:val="0"/>
          <w:lang w:val="en-AU"/>
        </w:rPr>
        <w:t>In the absence of a regularly updated issues log, t</w:t>
      </w:r>
      <w:r w:rsidR="00524BB5" w:rsidRPr="00CD3A14">
        <w:rPr>
          <w:noProof w:val="0"/>
          <w:lang w:val="en-AU"/>
        </w:rPr>
        <w:t xml:space="preserve">here is </w:t>
      </w:r>
      <w:r w:rsidRPr="00CD3A14">
        <w:rPr>
          <w:noProof w:val="0"/>
          <w:lang w:val="en-AU"/>
        </w:rPr>
        <w:t>a risk</w:t>
      </w:r>
      <w:r w:rsidR="00524BB5" w:rsidRPr="00CD3A14">
        <w:rPr>
          <w:noProof w:val="0"/>
          <w:lang w:val="en-AU"/>
        </w:rPr>
        <w:t xml:space="preserve"> that AIS issues, especially those known at April 2012 (when AIS was placed into ‘read-only’ mode)</w:t>
      </w:r>
      <w:r w:rsidR="00124E31">
        <w:rPr>
          <w:noProof w:val="0"/>
          <w:lang w:val="en-AU"/>
        </w:rPr>
        <w:t>,</w:t>
      </w:r>
      <w:r w:rsidR="00524BB5" w:rsidRPr="00CD3A14">
        <w:rPr>
          <w:noProof w:val="0"/>
          <w:lang w:val="en-AU"/>
        </w:rPr>
        <w:t xml:space="preserve"> are not taken into consideration when developing future business requirements.  </w:t>
      </w:r>
      <w:r w:rsidR="00BD0C9D" w:rsidRPr="00CD3A14">
        <w:rPr>
          <w:noProof w:val="0"/>
          <w:lang w:val="en-AU"/>
        </w:rPr>
        <w:t>T</w:t>
      </w:r>
      <w:r w:rsidR="00524BB5" w:rsidRPr="00CD3A14">
        <w:rPr>
          <w:noProof w:val="0"/>
          <w:lang w:val="en-AU"/>
        </w:rPr>
        <w:t xml:space="preserve">he resolution of these issues may take longer than anticipated if prior knowledge / information </w:t>
      </w:r>
      <w:proofErr w:type="gramStart"/>
      <w:r w:rsidR="00524BB5" w:rsidRPr="00CD3A14">
        <w:rPr>
          <w:noProof w:val="0"/>
          <w:lang w:val="en-AU"/>
        </w:rPr>
        <w:t>is</w:t>
      </w:r>
      <w:proofErr w:type="gramEnd"/>
      <w:r w:rsidR="00524BB5" w:rsidRPr="00CD3A14">
        <w:rPr>
          <w:noProof w:val="0"/>
          <w:lang w:val="en-AU"/>
        </w:rPr>
        <w:t xml:space="preserve"> not available.</w:t>
      </w:r>
    </w:p>
    <w:p w:rsidR="00D10D77" w:rsidRPr="00CD3A14" w:rsidRDefault="00D10D77" w:rsidP="0013400B">
      <w:pPr>
        <w:pStyle w:val="AGRBodyText"/>
        <w:rPr>
          <w:noProof w:val="0"/>
          <w:lang w:val="en-AU"/>
        </w:rPr>
      </w:pPr>
      <w:r w:rsidRPr="00CD3A14">
        <w:rPr>
          <w:noProof w:val="0"/>
          <w:lang w:val="en-AU"/>
        </w:rPr>
        <w:t xml:space="preserve">To address this finding, I recommended that </w:t>
      </w:r>
      <w:r w:rsidR="0039387B" w:rsidRPr="00CD3A14">
        <w:rPr>
          <w:noProof w:val="0"/>
          <w:lang w:val="en-AU"/>
        </w:rPr>
        <w:t>the Department of Corporate and Information Services (</w:t>
      </w:r>
      <w:r w:rsidRPr="00CD3A14">
        <w:rPr>
          <w:noProof w:val="0"/>
          <w:lang w:val="en-AU"/>
        </w:rPr>
        <w:t>DCIS</w:t>
      </w:r>
      <w:r w:rsidR="0039387B" w:rsidRPr="00CD3A14">
        <w:rPr>
          <w:noProof w:val="0"/>
          <w:lang w:val="en-AU"/>
        </w:rPr>
        <w:t>)</w:t>
      </w:r>
      <w:r w:rsidRPr="00CD3A14">
        <w:rPr>
          <w:noProof w:val="0"/>
          <w:lang w:val="en-AU"/>
        </w:rPr>
        <w:t xml:space="preserve"> continue to capture and record AIS issues and their subsequent resolution in the knowledge database.  Additionally, DCIS should take into consideration these issues when developing business requirements for future AIS modifications or replacement systems.</w:t>
      </w:r>
    </w:p>
    <w:p w:rsidR="00D10D77" w:rsidRPr="00CD3A14" w:rsidRDefault="00D10D77" w:rsidP="00D10D77">
      <w:pPr>
        <w:pStyle w:val="AGRHeading4"/>
      </w:pPr>
      <w:r w:rsidRPr="00CD3A14">
        <w:t>Service levels for ASNEX Systems were not formally defined.</w:t>
      </w:r>
    </w:p>
    <w:p w:rsidR="00D10D77" w:rsidRPr="00CD3A14" w:rsidRDefault="00D10D77" w:rsidP="0013400B">
      <w:pPr>
        <w:pStyle w:val="AGRBodyText"/>
        <w:rPr>
          <w:noProof w:val="0"/>
          <w:lang w:val="en-AU"/>
        </w:rPr>
      </w:pPr>
      <w:r w:rsidRPr="00CD3A14">
        <w:rPr>
          <w:noProof w:val="0"/>
          <w:lang w:val="en-AU"/>
        </w:rPr>
        <w:t xml:space="preserve">There was no formal service level agreement between ASNEX Systems and client agencies.  A draft ‘service statement’ existed which defined the role and responsibility for both ASNEX Systems and client agencies.  </w:t>
      </w:r>
    </w:p>
    <w:p w:rsidR="00D10D77" w:rsidRPr="00CD3A14" w:rsidRDefault="00D10D77" w:rsidP="0013400B">
      <w:pPr>
        <w:pStyle w:val="AGRBodyText"/>
        <w:rPr>
          <w:noProof w:val="0"/>
          <w:lang w:val="en-AU"/>
        </w:rPr>
      </w:pPr>
      <w:r w:rsidRPr="00CD3A14">
        <w:rPr>
          <w:noProof w:val="0"/>
          <w:lang w:val="en-AU"/>
        </w:rPr>
        <w:t>Review of the draft service statement and procedures identified that:</w:t>
      </w:r>
    </w:p>
    <w:p w:rsidR="00D10D77" w:rsidRPr="00CD3A14" w:rsidRDefault="00D10D77" w:rsidP="0013400B">
      <w:pPr>
        <w:pStyle w:val="AGRBulletText"/>
        <w:rPr>
          <w:noProof w:val="0"/>
          <w:lang w:val="en-AU" w:eastAsia="en-US"/>
        </w:rPr>
      </w:pPr>
      <w:r w:rsidRPr="00CD3A14">
        <w:rPr>
          <w:noProof w:val="0"/>
          <w:lang w:val="en-AU"/>
        </w:rPr>
        <w:t xml:space="preserve">The service statement appeared out-dated as it </w:t>
      </w:r>
      <w:r w:rsidR="002A435D" w:rsidRPr="00CD3A14">
        <w:rPr>
          <w:noProof w:val="0"/>
          <w:lang w:val="en-AU"/>
        </w:rPr>
        <w:t>referred</w:t>
      </w:r>
      <w:r w:rsidRPr="00CD3A14">
        <w:rPr>
          <w:noProof w:val="0"/>
          <w:lang w:val="en-AU"/>
        </w:rPr>
        <w:t xml:space="preserve"> to ‘simple’ and ‘complex’ tickets which is in contrast to the current configuration of Alloy (service desk system in use) that has multiple values for the ‘type’ of ticket raised; </w:t>
      </w:r>
    </w:p>
    <w:p w:rsidR="00D10D77" w:rsidRPr="00CD3A14" w:rsidRDefault="00D10D77" w:rsidP="0013400B">
      <w:pPr>
        <w:pStyle w:val="AGRBulletText"/>
        <w:rPr>
          <w:noProof w:val="0"/>
          <w:lang w:val="en-AU"/>
        </w:rPr>
      </w:pPr>
      <w:r w:rsidRPr="00CD3A14">
        <w:rPr>
          <w:noProof w:val="0"/>
          <w:lang w:val="en-AU"/>
        </w:rPr>
        <w:t>There was no baseline definition of what is considered an ‘incident’, ‘problem’ or ‘change management request’;</w:t>
      </w:r>
    </w:p>
    <w:p w:rsidR="00D10D77" w:rsidRPr="00CD3A14" w:rsidRDefault="00D10D77" w:rsidP="0013400B">
      <w:pPr>
        <w:pStyle w:val="AGRBulletText"/>
        <w:rPr>
          <w:noProof w:val="0"/>
          <w:lang w:val="en-AU"/>
        </w:rPr>
      </w:pPr>
      <w:r w:rsidRPr="00CD3A14">
        <w:rPr>
          <w:noProof w:val="0"/>
          <w:lang w:val="en-AU"/>
        </w:rPr>
        <w:t>Actual timeframes for ticket resolution, such as 3 days for ‘simple’ and 15 days for ‘complex’ tickets, were not reported to management to enable comparison with the timeframes established in the service statement; and</w:t>
      </w:r>
    </w:p>
    <w:p w:rsidR="001E2515" w:rsidRPr="00CD3A14" w:rsidRDefault="001E2515" w:rsidP="001E2515">
      <w:pPr>
        <w:pStyle w:val="AGRHeading1"/>
      </w:pPr>
      <w:r w:rsidRPr="00CD3A14">
        <w:t xml:space="preserve">Department of Corporate and Information Services </w:t>
      </w:r>
      <w:proofErr w:type="spellStart"/>
      <w:r w:rsidRPr="00CD3A14">
        <w:t>cont</w:t>
      </w:r>
      <w:proofErr w:type="spellEnd"/>
      <w:r w:rsidRPr="00CD3A14">
        <w:t>…</w:t>
      </w:r>
    </w:p>
    <w:p w:rsidR="00D10D77" w:rsidRPr="00CD3A14" w:rsidRDefault="00D10D77" w:rsidP="0013400B">
      <w:pPr>
        <w:pStyle w:val="AGRBulletText"/>
        <w:rPr>
          <w:noProof w:val="0"/>
          <w:lang w:val="en-AU"/>
        </w:rPr>
      </w:pPr>
      <w:r w:rsidRPr="00CD3A14">
        <w:rPr>
          <w:noProof w:val="0"/>
          <w:lang w:val="en-AU"/>
        </w:rPr>
        <w:t>The Key Performance Indicators reported to management are not defined in the service statement.</w:t>
      </w:r>
    </w:p>
    <w:p w:rsidR="004042FD" w:rsidRPr="00CD3A14" w:rsidRDefault="004042FD" w:rsidP="004042FD">
      <w:pPr>
        <w:pStyle w:val="AGRHeading4"/>
      </w:pPr>
      <w:r w:rsidRPr="00CD3A14">
        <w:t>Control weaknesses exist in relation to user access to AIS</w:t>
      </w:r>
    </w:p>
    <w:p w:rsidR="004042FD" w:rsidRPr="00CD3A14" w:rsidRDefault="004042FD" w:rsidP="0013400B">
      <w:pPr>
        <w:pStyle w:val="AGRBodyText"/>
        <w:rPr>
          <w:noProof w:val="0"/>
          <w:lang w:val="en-AU"/>
        </w:rPr>
      </w:pPr>
      <w:r w:rsidRPr="00CD3A14">
        <w:rPr>
          <w:noProof w:val="0"/>
          <w:lang w:val="en-AU"/>
        </w:rPr>
        <w:t>The following user access management issues were noted:</w:t>
      </w:r>
    </w:p>
    <w:p w:rsidR="004042FD" w:rsidRPr="00CD3A14" w:rsidRDefault="004042FD" w:rsidP="0013400B">
      <w:pPr>
        <w:pStyle w:val="AGRBulletText"/>
        <w:rPr>
          <w:noProof w:val="0"/>
          <w:lang w:val="en-AU"/>
        </w:rPr>
      </w:pPr>
      <w:r w:rsidRPr="00CD3A14">
        <w:rPr>
          <w:noProof w:val="0"/>
          <w:lang w:val="en-AU"/>
        </w:rPr>
        <w:t>There was no regular monitoring by client agencies of user access to AIS to assess if the access was still required.</w:t>
      </w:r>
    </w:p>
    <w:p w:rsidR="004042FD" w:rsidRPr="00CD3A14" w:rsidRDefault="004042FD" w:rsidP="0013400B">
      <w:pPr>
        <w:pStyle w:val="AGRBulletText"/>
        <w:rPr>
          <w:noProof w:val="0"/>
          <w:lang w:val="en-AU"/>
        </w:rPr>
      </w:pPr>
      <w:r w:rsidRPr="00CD3A14">
        <w:rPr>
          <w:noProof w:val="0"/>
          <w:lang w:val="en-AU"/>
        </w:rPr>
        <w:t>Three client Agency staff had access to AIS although documentation supporting this access was unavailable.</w:t>
      </w:r>
    </w:p>
    <w:p w:rsidR="004042FD" w:rsidRPr="00CD3A14" w:rsidRDefault="004042FD" w:rsidP="0013400B">
      <w:pPr>
        <w:pStyle w:val="AGRBulletText"/>
        <w:rPr>
          <w:noProof w:val="0"/>
          <w:lang w:val="en-AU"/>
        </w:rPr>
      </w:pPr>
      <w:r w:rsidRPr="00CD3A14">
        <w:rPr>
          <w:noProof w:val="0"/>
          <w:lang w:val="en-AU"/>
        </w:rPr>
        <w:t>The e-Pass online form used to request user access to system(s) did not require details of the specific permissions to be documented.  The form only required the system(s) and the delegates who will approve access to be nominated prior to logging with ASNEX Systems.</w:t>
      </w:r>
    </w:p>
    <w:p w:rsidR="004042FD" w:rsidRPr="00CD3A14" w:rsidRDefault="004042FD" w:rsidP="0039370E">
      <w:pPr>
        <w:pStyle w:val="AGRBodyText"/>
        <w:ind w:left="1211"/>
        <w:rPr>
          <w:noProof w:val="0"/>
          <w:lang w:val="en-AU"/>
        </w:rPr>
      </w:pPr>
      <w:r w:rsidRPr="00CD3A14">
        <w:rPr>
          <w:noProof w:val="0"/>
          <w:lang w:val="en-AU"/>
        </w:rPr>
        <w:t xml:space="preserve">It is acknowledged that ASNEX Systems was currently implementing another step in the process by ensuring that the comment field on the system selection screen is completed with the user access profile. This would enable the users’ delegate to approve the user profile (permissions) and not just access to AIS. </w:t>
      </w:r>
    </w:p>
    <w:p w:rsidR="00524BB5" w:rsidRDefault="004042FD" w:rsidP="0013400B">
      <w:pPr>
        <w:pStyle w:val="AGRBulletText"/>
        <w:rPr>
          <w:noProof w:val="0"/>
          <w:lang w:val="en-AU"/>
        </w:rPr>
      </w:pPr>
      <w:r w:rsidRPr="00CD3A14">
        <w:rPr>
          <w:noProof w:val="0"/>
          <w:lang w:val="en-AU"/>
        </w:rPr>
        <w:t xml:space="preserve">There was a lack of clear understanding by ASNEX Systems, and no detailed documentation, of the ASNEX </w:t>
      </w:r>
      <w:r w:rsidR="0039387B" w:rsidRPr="00CD3A14">
        <w:rPr>
          <w:rStyle w:val="tgc"/>
          <w:noProof w:val="0"/>
          <w:color w:val="222222"/>
          <w:lang w:val="en-AU"/>
        </w:rPr>
        <w:t>Resource Access Control Facility</w:t>
      </w:r>
      <w:r w:rsidR="0039387B" w:rsidRPr="00CD3A14">
        <w:rPr>
          <w:noProof w:val="0"/>
          <w:lang w:val="en-AU"/>
        </w:rPr>
        <w:t xml:space="preserve"> </w:t>
      </w:r>
      <w:r w:rsidRPr="00CD3A14">
        <w:rPr>
          <w:noProof w:val="0"/>
          <w:lang w:val="en-AU"/>
        </w:rPr>
        <w:t>(security) profiles and the access / permissions provided by these profiles.</w:t>
      </w:r>
    </w:p>
    <w:p w:rsidR="008F3751" w:rsidRPr="00CD3A14" w:rsidRDefault="008F3751" w:rsidP="008F3751">
      <w:pPr>
        <w:pStyle w:val="AGRHeading1"/>
      </w:pPr>
      <w:r w:rsidRPr="00CD3A14">
        <w:t xml:space="preserve">Department of Corporate and Information Services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CD3A14" w:rsidTr="008F3751">
        <w:trPr>
          <w:tblHeader/>
        </w:trPr>
        <w:tc>
          <w:tcPr>
            <w:tcW w:w="8151" w:type="dxa"/>
            <w:shd w:val="clear" w:color="auto" w:fill="F2F2F2" w:themeFill="background1" w:themeFillShade="F2"/>
          </w:tcPr>
          <w:p w:rsidR="008F3751" w:rsidRPr="00516156" w:rsidRDefault="008F3751"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Corporate and Information Services has commented:</w:t>
            </w:r>
          </w:p>
        </w:tc>
      </w:tr>
      <w:tr w:rsidR="008F3751" w:rsidRPr="00CD3A14" w:rsidTr="008F3751">
        <w:tc>
          <w:tcPr>
            <w:tcW w:w="8151" w:type="dxa"/>
            <w:shd w:val="clear" w:color="auto" w:fill="F2F2F2" w:themeFill="background1" w:themeFillShade="F2"/>
          </w:tcPr>
          <w:p w:rsidR="00896D47" w:rsidRPr="00896D47" w:rsidRDefault="00896D47" w:rsidP="00896D47">
            <w:pPr>
              <w:pStyle w:val="StyleAGRBodyCommentJustifiedLeft0cmPatternClearBa"/>
              <w:rPr>
                <w:sz w:val="21"/>
                <w:szCs w:val="21"/>
              </w:rPr>
            </w:pPr>
            <w:r w:rsidRPr="00896D47">
              <w:rPr>
                <w:sz w:val="21"/>
                <w:szCs w:val="21"/>
              </w:rPr>
              <w:t>The ASNEX Phase 1 project was successfully delivered on 10 November</w:t>
            </w:r>
            <w:r>
              <w:rPr>
                <w:sz w:val="21"/>
                <w:szCs w:val="21"/>
              </w:rPr>
              <w:t xml:space="preserve"> </w:t>
            </w:r>
            <w:r w:rsidRPr="00896D47">
              <w:rPr>
                <w:sz w:val="21"/>
                <w:szCs w:val="21"/>
              </w:rPr>
              <w:t>2014, on time and on budget.</w:t>
            </w:r>
            <w:r>
              <w:rPr>
                <w:sz w:val="21"/>
                <w:szCs w:val="21"/>
              </w:rPr>
              <w:t xml:space="preserve"> </w:t>
            </w:r>
            <w:r w:rsidRPr="00896D47">
              <w:rPr>
                <w:sz w:val="21"/>
                <w:szCs w:val="21"/>
              </w:rPr>
              <w:t>The project delivered a fit-for-purpose stabilised technology solution enabling management of the Northern Territory Government's</w:t>
            </w:r>
            <w:r>
              <w:rPr>
                <w:sz w:val="21"/>
                <w:szCs w:val="21"/>
              </w:rPr>
              <w:t xml:space="preserve"> </w:t>
            </w:r>
            <w:r w:rsidRPr="00896D47">
              <w:rPr>
                <w:sz w:val="21"/>
                <w:szCs w:val="21"/>
              </w:rPr>
              <w:t>capital works and repairs and maintenance programs and</w:t>
            </w:r>
            <w:r>
              <w:rPr>
                <w:sz w:val="21"/>
                <w:szCs w:val="21"/>
              </w:rPr>
              <w:t xml:space="preserve"> </w:t>
            </w:r>
            <w:r w:rsidRPr="00896D47">
              <w:rPr>
                <w:sz w:val="21"/>
                <w:szCs w:val="21"/>
              </w:rPr>
              <w:t>oversight of $11B in infrastructure assets.</w:t>
            </w:r>
            <w:r>
              <w:rPr>
                <w:sz w:val="21"/>
                <w:szCs w:val="21"/>
              </w:rPr>
              <w:t xml:space="preserve"> </w:t>
            </w:r>
            <w:r w:rsidRPr="00896D47">
              <w:rPr>
                <w:sz w:val="21"/>
                <w:szCs w:val="21"/>
              </w:rPr>
              <w:t>The project also successfully reconciled and verified infrastructure asset financial records across government and established reliable contract payment processes.</w:t>
            </w:r>
          </w:p>
          <w:p w:rsidR="00896D47" w:rsidRPr="00896D47" w:rsidRDefault="00896D47" w:rsidP="00896D47">
            <w:pPr>
              <w:pStyle w:val="StyleAGRBodyCommentJustifiedLeft0cmPatternClearBa"/>
              <w:rPr>
                <w:sz w:val="21"/>
                <w:szCs w:val="21"/>
              </w:rPr>
            </w:pPr>
            <w:r w:rsidRPr="00896D47">
              <w:rPr>
                <w:sz w:val="21"/>
                <w:szCs w:val="21"/>
              </w:rPr>
              <w:t>This was a critical stabilisation project that involved the re-establishment of foundation systems (noted above) core to the future development</w:t>
            </w:r>
            <w:r>
              <w:rPr>
                <w:sz w:val="21"/>
                <w:szCs w:val="21"/>
              </w:rPr>
              <w:t xml:space="preserve"> </w:t>
            </w:r>
            <w:r w:rsidRPr="00896D47">
              <w:rPr>
                <w:sz w:val="21"/>
                <w:szCs w:val="21"/>
              </w:rPr>
              <w:t>of the integrated ASNEX solution.</w:t>
            </w:r>
          </w:p>
          <w:p w:rsidR="00896D47" w:rsidRPr="00896D47" w:rsidRDefault="00896D47" w:rsidP="00896D47">
            <w:pPr>
              <w:pStyle w:val="StyleAGRBodyCommentJustifiedLeft0cmPatternClearBa"/>
              <w:rPr>
                <w:sz w:val="21"/>
                <w:szCs w:val="21"/>
              </w:rPr>
            </w:pPr>
            <w:r w:rsidRPr="00896D47">
              <w:rPr>
                <w:sz w:val="21"/>
                <w:szCs w:val="21"/>
              </w:rPr>
              <w:t>The project was initiated in response to the high profile failure of the previous</w:t>
            </w:r>
            <w:r>
              <w:rPr>
                <w:sz w:val="21"/>
                <w:szCs w:val="21"/>
              </w:rPr>
              <w:t xml:space="preserve"> </w:t>
            </w:r>
            <w:r w:rsidRPr="00896D47">
              <w:rPr>
                <w:sz w:val="21"/>
                <w:szCs w:val="21"/>
              </w:rPr>
              <w:t>Asset Management System (AMS) implemented in April 2012.</w:t>
            </w:r>
          </w:p>
          <w:p w:rsidR="00896D47" w:rsidRPr="00896D47" w:rsidRDefault="00896D47" w:rsidP="00896D47">
            <w:pPr>
              <w:pStyle w:val="StyleAGRBodyCommentJustifiedLeft0cmPatternClearBa"/>
              <w:rPr>
                <w:sz w:val="21"/>
                <w:szCs w:val="21"/>
              </w:rPr>
            </w:pPr>
            <w:r w:rsidRPr="00896D47">
              <w:rPr>
                <w:sz w:val="21"/>
                <w:szCs w:val="21"/>
              </w:rPr>
              <w:t>Responsibility for asset information systems transferred to DCIS in October</w:t>
            </w:r>
            <w:r>
              <w:rPr>
                <w:sz w:val="21"/>
                <w:szCs w:val="21"/>
              </w:rPr>
              <w:t xml:space="preserve"> </w:t>
            </w:r>
            <w:r w:rsidRPr="00896D47">
              <w:rPr>
                <w:sz w:val="21"/>
                <w:szCs w:val="21"/>
              </w:rPr>
              <w:t>2013.</w:t>
            </w:r>
          </w:p>
          <w:p w:rsidR="00896D47" w:rsidRPr="00896D47" w:rsidRDefault="00896D47" w:rsidP="00896D47">
            <w:pPr>
              <w:pStyle w:val="StyleAGRBodyCommentJustifiedLeft0cmPatternClearBa"/>
              <w:rPr>
                <w:sz w:val="21"/>
                <w:szCs w:val="21"/>
              </w:rPr>
            </w:pPr>
            <w:r w:rsidRPr="00896D47">
              <w:rPr>
                <w:sz w:val="21"/>
                <w:szCs w:val="21"/>
              </w:rPr>
              <w:t>The scope of the Auditor-General's</w:t>
            </w:r>
            <w:r>
              <w:rPr>
                <w:sz w:val="21"/>
                <w:szCs w:val="21"/>
              </w:rPr>
              <w:t xml:space="preserve"> </w:t>
            </w:r>
            <w:r w:rsidRPr="00896D47">
              <w:rPr>
                <w:sz w:val="21"/>
                <w:szCs w:val="21"/>
              </w:rPr>
              <w:t>audit, t</w:t>
            </w:r>
            <w:r>
              <w:rPr>
                <w:sz w:val="21"/>
                <w:szCs w:val="21"/>
              </w:rPr>
              <w:t>itled "</w:t>
            </w:r>
            <w:r w:rsidR="00785D93">
              <w:rPr>
                <w:sz w:val="21"/>
                <w:szCs w:val="21"/>
              </w:rPr>
              <w:t>AIS/</w:t>
            </w:r>
            <w:r>
              <w:rPr>
                <w:sz w:val="21"/>
                <w:szCs w:val="21"/>
              </w:rPr>
              <w:t xml:space="preserve">ASNEX Phase 1 </w:t>
            </w:r>
            <w:r w:rsidRPr="00896D47">
              <w:rPr>
                <w:sz w:val="21"/>
                <w:szCs w:val="21"/>
              </w:rPr>
              <w:t>Project Review" comprised:</w:t>
            </w:r>
          </w:p>
          <w:p w:rsidR="00896D47" w:rsidRPr="00896D47" w:rsidRDefault="00896D47" w:rsidP="00896D47">
            <w:pPr>
              <w:pStyle w:val="StyleAGRBodyCommentJustifiedLeft0cmPatternClearBa"/>
              <w:numPr>
                <w:ilvl w:val="0"/>
                <w:numId w:val="38"/>
              </w:numPr>
              <w:rPr>
                <w:b/>
                <w:sz w:val="21"/>
                <w:szCs w:val="21"/>
              </w:rPr>
            </w:pPr>
            <w:r w:rsidRPr="00896D47">
              <w:rPr>
                <w:b/>
                <w:sz w:val="21"/>
                <w:szCs w:val="21"/>
              </w:rPr>
              <w:t>An assessmen</w:t>
            </w:r>
            <w:r w:rsidR="00785D93">
              <w:rPr>
                <w:b/>
                <w:sz w:val="21"/>
                <w:szCs w:val="21"/>
              </w:rPr>
              <w:t>t of technical risks of the AIS</w:t>
            </w:r>
            <w:r w:rsidRPr="00896D47">
              <w:rPr>
                <w:b/>
                <w:sz w:val="21"/>
                <w:szCs w:val="21"/>
              </w:rPr>
              <w:t>/ASNEX including security design, data conversion and system interfaces.</w:t>
            </w:r>
          </w:p>
          <w:p w:rsidR="00896D47" w:rsidRPr="00896D47" w:rsidRDefault="00896D47" w:rsidP="00896D47">
            <w:pPr>
              <w:pStyle w:val="StyleAGRBodyCommentJustifiedLeft0cmPatternClearBa"/>
              <w:ind w:left="360"/>
              <w:rPr>
                <w:sz w:val="21"/>
                <w:szCs w:val="21"/>
              </w:rPr>
            </w:pPr>
            <w:r w:rsidRPr="00896D47">
              <w:rPr>
                <w:sz w:val="21"/>
                <w:szCs w:val="21"/>
              </w:rPr>
              <w:t>No control weaknesses or audit issues were identified for this audit scope element.</w:t>
            </w:r>
          </w:p>
          <w:p w:rsidR="00896D47" w:rsidRPr="00896D47" w:rsidRDefault="00896D47" w:rsidP="00896D47">
            <w:pPr>
              <w:pStyle w:val="StyleAGRBodyCommentJustifiedLeft0cmPatternClearBa"/>
              <w:ind w:left="360"/>
              <w:rPr>
                <w:sz w:val="21"/>
                <w:szCs w:val="21"/>
              </w:rPr>
            </w:pPr>
            <w:r w:rsidRPr="00896D47">
              <w:rPr>
                <w:sz w:val="21"/>
                <w:szCs w:val="21"/>
              </w:rPr>
              <w:t>Data from the previous AMS to AIS was successfully migrated and all system interfaces required for the operation of AIS were established.</w:t>
            </w:r>
          </w:p>
          <w:p w:rsidR="00896D47" w:rsidRPr="00896D47" w:rsidRDefault="00896D47" w:rsidP="00896D47">
            <w:pPr>
              <w:pStyle w:val="StyleAGRBodyCommentJustifiedLeft0cmPatternClearBa"/>
              <w:numPr>
                <w:ilvl w:val="0"/>
                <w:numId w:val="38"/>
              </w:numPr>
              <w:rPr>
                <w:b/>
                <w:sz w:val="21"/>
                <w:szCs w:val="21"/>
              </w:rPr>
            </w:pPr>
            <w:r w:rsidRPr="00896D47">
              <w:rPr>
                <w:b/>
                <w:sz w:val="21"/>
                <w:szCs w:val="21"/>
              </w:rPr>
              <w:t>A review of budget versus actual project costs.</w:t>
            </w:r>
          </w:p>
          <w:p w:rsidR="00896D47" w:rsidRPr="00896D47" w:rsidRDefault="00896D47" w:rsidP="00896D47">
            <w:pPr>
              <w:pStyle w:val="StyleAGRBodyCommentJustifiedLeft0cmPatternClearBa"/>
              <w:ind w:left="360"/>
              <w:rPr>
                <w:sz w:val="21"/>
                <w:szCs w:val="21"/>
              </w:rPr>
            </w:pPr>
            <w:r w:rsidRPr="00896D47">
              <w:rPr>
                <w:sz w:val="21"/>
                <w:szCs w:val="21"/>
              </w:rPr>
              <w:t>No control weaknesses</w:t>
            </w:r>
            <w:r>
              <w:rPr>
                <w:sz w:val="21"/>
                <w:szCs w:val="21"/>
              </w:rPr>
              <w:t xml:space="preserve"> </w:t>
            </w:r>
            <w:r w:rsidRPr="00896D47">
              <w:rPr>
                <w:sz w:val="21"/>
                <w:szCs w:val="21"/>
              </w:rPr>
              <w:t>or audit issues were identified for this audit scope element.</w:t>
            </w:r>
          </w:p>
          <w:p w:rsidR="008F3751" w:rsidRPr="0018172D" w:rsidRDefault="00896D47" w:rsidP="00937BE6">
            <w:pPr>
              <w:pStyle w:val="StyleAGRBodyCommentJustifiedLeft0cmPatternClearBa"/>
              <w:ind w:left="360"/>
              <w:rPr>
                <w:sz w:val="21"/>
                <w:szCs w:val="21"/>
              </w:rPr>
            </w:pPr>
            <w:r w:rsidRPr="00896D47">
              <w:rPr>
                <w:sz w:val="21"/>
                <w:szCs w:val="21"/>
              </w:rPr>
              <w:t>The ASNEX Phase 1 project was delivered within the original project budget.</w:t>
            </w:r>
          </w:p>
        </w:tc>
      </w:tr>
    </w:tbl>
    <w:p w:rsidR="00937BE6" w:rsidRPr="00CD3A14" w:rsidRDefault="00937BE6" w:rsidP="00937BE6">
      <w:pPr>
        <w:pStyle w:val="AGRHeading1"/>
      </w:pPr>
      <w:r w:rsidRPr="00CD3A14">
        <w:t xml:space="preserve">Department of Corporate and Information Services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785D93" w:rsidRPr="00CD3A14" w:rsidTr="002A3C5B">
        <w:trPr>
          <w:tblHeader/>
        </w:trPr>
        <w:tc>
          <w:tcPr>
            <w:tcW w:w="8151" w:type="dxa"/>
            <w:shd w:val="clear" w:color="auto" w:fill="F2F2F2" w:themeFill="background1" w:themeFillShade="F2"/>
          </w:tcPr>
          <w:p w:rsidR="00785D93" w:rsidRPr="00516156" w:rsidRDefault="00937BE6" w:rsidP="00937BE6">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Corporate and Information Services has commented (</w:t>
            </w:r>
            <w:proofErr w:type="spellStart"/>
            <w:r w:rsidRPr="00516156">
              <w:rPr>
                <w:rFonts w:ascii="Arial" w:hAnsi="Arial" w:cs="Arial"/>
                <w:sz w:val="22"/>
                <w:szCs w:val="22"/>
                <w:lang w:val="en-AU"/>
              </w:rPr>
              <w:t>cont</w:t>
            </w:r>
            <w:proofErr w:type="spellEnd"/>
            <w:r w:rsidRPr="00516156">
              <w:rPr>
                <w:rFonts w:ascii="Arial" w:hAnsi="Arial" w:cs="Arial"/>
                <w:sz w:val="22"/>
                <w:szCs w:val="22"/>
                <w:lang w:val="en-AU"/>
              </w:rPr>
              <w:t>…):</w:t>
            </w:r>
          </w:p>
        </w:tc>
      </w:tr>
      <w:tr w:rsidR="00785D93" w:rsidRPr="00CD3A14" w:rsidTr="002A3C5B">
        <w:tc>
          <w:tcPr>
            <w:tcW w:w="8151" w:type="dxa"/>
            <w:shd w:val="clear" w:color="auto" w:fill="F2F2F2" w:themeFill="background1" w:themeFillShade="F2"/>
          </w:tcPr>
          <w:p w:rsidR="00785D93" w:rsidRPr="00896D47" w:rsidRDefault="00785D93" w:rsidP="002A3C5B">
            <w:pPr>
              <w:pStyle w:val="StyleAGRBodyCommentJustifiedLeft0cmPatternClearBa"/>
              <w:keepNext/>
              <w:widowControl w:val="0"/>
              <w:numPr>
                <w:ilvl w:val="0"/>
                <w:numId w:val="38"/>
              </w:numPr>
              <w:ind w:left="351" w:hanging="357"/>
              <w:rPr>
                <w:sz w:val="21"/>
                <w:szCs w:val="21"/>
              </w:rPr>
            </w:pPr>
            <w:r w:rsidRPr="00896D47">
              <w:rPr>
                <w:b/>
                <w:sz w:val="21"/>
                <w:szCs w:val="21"/>
              </w:rPr>
              <w:t>An assessment of whether the project was completed within original timeframes.</w:t>
            </w:r>
          </w:p>
          <w:p w:rsidR="00785D93" w:rsidRPr="00896D47" w:rsidRDefault="00785D93" w:rsidP="002A3C5B">
            <w:pPr>
              <w:pStyle w:val="StyleAGRBodyCommentJustifiedLeft0cmPatternClearBa"/>
              <w:keepNext/>
              <w:widowControl w:val="0"/>
              <w:ind w:left="357"/>
              <w:rPr>
                <w:sz w:val="21"/>
                <w:szCs w:val="21"/>
              </w:rPr>
            </w:pPr>
            <w:r w:rsidRPr="00896D47">
              <w:rPr>
                <w:sz w:val="21"/>
                <w:szCs w:val="21"/>
              </w:rPr>
              <w:t>No control weaknesses or audit issues were identified for this audit scope element.</w:t>
            </w:r>
          </w:p>
          <w:p w:rsidR="00785D93" w:rsidRPr="00896D47" w:rsidRDefault="00785D93" w:rsidP="002A3C5B">
            <w:pPr>
              <w:pStyle w:val="StyleAGRBodyCommentJustifiedLeft0cmPatternClearBa"/>
              <w:ind w:left="360"/>
              <w:rPr>
                <w:sz w:val="21"/>
                <w:szCs w:val="21"/>
              </w:rPr>
            </w:pPr>
            <w:r w:rsidRPr="00896D47">
              <w:rPr>
                <w:sz w:val="21"/>
                <w:szCs w:val="21"/>
              </w:rPr>
              <w:t>The project was delivered in the timeframe approved by the ASNEX Steering Committee.</w:t>
            </w:r>
          </w:p>
          <w:p w:rsidR="00785D93" w:rsidRPr="00896D47" w:rsidRDefault="00785D93" w:rsidP="002A3C5B">
            <w:pPr>
              <w:pStyle w:val="StyleAGRBodyCommentJustifiedLeft0cmPatternClearBa"/>
              <w:numPr>
                <w:ilvl w:val="0"/>
                <w:numId w:val="38"/>
              </w:numPr>
              <w:rPr>
                <w:b/>
                <w:sz w:val="21"/>
                <w:szCs w:val="21"/>
              </w:rPr>
            </w:pPr>
            <w:r w:rsidRPr="00896D47">
              <w:rPr>
                <w:b/>
                <w:sz w:val="21"/>
                <w:szCs w:val="21"/>
              </w:rPr>
              <w:t>Resolution of any outstanding issues.</w:t>
            </w:r>
          </w:p>
          <w:p w:rsidR="00785D93" w:rsidRPr="00896D47" w:rsidRDefault="00785D93" w:rsidP="002A3C5B">
            <w:pPr>
              <w:pStyle w:val="StyleAGRBodyCommentJustifiedLeft0cmPatternClearBa"/>
              <w:ind w:left="360"/>
              <w:rPr>
                <w:sz w:val="21"/>
                <w:szCs w:val="21"/>
              </w:rPr>
            </w:pPr>
            <w:r w:rsidRPr="00896D47">
              <w:rPr>
                <w:sz w:val="21"/>
                <w:szCs w:val="21"/>
              </w:rPr>
              <w:t>Three minor issues were identified in the audit findings that were not fully resolved at the time of the audit.</w:t>
            </w:r>
          </w:p>
          <w:p w:rsidR="00785D93" w:rsidRPr="00896D47" w:rsidRDefault="00785D93" w:rsidP="002A3C5B">
            <w:pPr>
              <w:pStyle w:val="StyleAGRBodyCommentJustifiedLeft0cmPatternClearBa"/>
              <w:ind w:left="360"/>
              <w:rPr>
                <w:sz w:val="21"/>
                <w:szCs w:val="21"/>
              </w:rPr>
            </w:pPr>
            <w:r>
              <w:rPr>
                <w:sz w:val="21"/>
                <w:szCs w:val="21"/>
                <w:u w:val="single"/>
              </w:rPr>
              <w:t>No l</w:t>
            </w:r>
            <w:r w:rsidRPr="00896D47">
              <w:rPr>
                <w:sz w:val="21"/>
                <w:szCs w:val="21"/>
                <w:u w:val="single"/>
              </w:rPr>
              <w:t>og of AIS outstanding issues at April 2012</w:t>
            </w:r>
            <w:r w:rsidRPr="00896D47">
              <w:rPr>
                <w:sz w:val="21"/>
                <w:szCs w:val="21"/>
              </w:rPr>
              <w:t xml:space="preserve"> </w:t>
            </w:r>
            <w:r>
              <w:rPr>
                <w:sz w:val="21"/>
                <w:szCs w:val="21"/>
              </w:rPr>
              <w:t>– an issues l</w:t>
            </w:r>
            <w:r w:rsidRPr="00896D47">
              <w:rPr>
                <w:sz w:val="21"/>
                <w:szCs w:val="21"/>
              </w:rPr>
              <w:t>og for AIS was not maintained by the previous system owner prior to the implementation</w:t>
            </w:r>
            <w:r>
              <w:rPr>
                <w:sz w:val="21"/>
                <w:szCs w:val="21"/>
              </w:rPr>
              <w:t xml:space="preserve"> </w:t>
            </w:r>
            <w:r w:rsidRPr="00896D47">
              <w:rPr>
                <w:sz w:val="21"/>
                <w:szCs w:val="21"/>
              </w:rPr>
              <w:t>of AMS.</w:t>
            </w:r>
          </w:p>
          <w:p w:rsidR="00785D93" w:rsidRPr="00896D47" w:rsidRDefault="00785D93" w:rsidP="002A3C5B">
            <w:pPr>
              <w:pStyle w:val="StyleAGRBodyCommentJustifiedLeft0cmPatternClearBa"/>
              <w:ind w:left="360"/>
              <w:rPr>
                <w:sz w:val="21"/>
                <w:szCs w:val="21"/>
              </w:rPr>
            </w:pPr>
            <w:r w:rsidRPr="00896D47">
              <w:rPr>
                <w:sz w:val="21"/>
                <w:szCs w:val="21"/>
              </w:rPr>
              <w:t>This statement relates back to a situation that existed in 2011-12 or earlier under a different agency and systems management</w:t>
            </w:r>
            <w:r>
              <w:rPr>
                <w:sz w:val="21"/>
                <w:szCs w:val="21"/>
              </w:rPr>
              <w:t xml:space="preserve"> </w:t>
            </w:r>
            <w:r w:rsidRPr="00896D47">
              <w:rPr>
                <w:sz w:val="21"/>
                <w:szCs w:val="21"/>
              </w:rPr>
              <w:t xml:space="preserve">approach. The audit noted that </w:t>
            </w:r>
            <w:r>
              <w:rPr>
                <w:sz w:val="21"/>
                <w:szCs w:val="21"/>
              </w:rPr>
              <w:t>DCIS</w:t>
            </w:r>
            <w:r w:rsidRPr="00896D47">
              <w:rPr>
                <w:sz w:val="21"/>
                <w:szCs w:val="21"/>
              </w:rPr>
              <w:t xml:space="preserve"> had established an issues </w:t>
            </w:r>
            <w:r>
              <w:rPr>
                <w:sz w:val="21"/>
                <w:szCs w:val="21"/>
              </w:rPr>
              <w:t>l</w:t>
            </w:r>
            <w:r w:rsidRPr="00896D47">
              <w:rPr>
                <w:sz w:val="21"/>
                <w:szCs w:val="21"/>
              </w:rPr>
              <w:t>og for AIS</w:t>
            </w:r>
            <w:r>
              <w:rPr>
                <w:sz w:val="21"/>
                <w:szCs w:val="21"/>
              </w:rPr>
              <w:t xml:space="preserve"> </w:t>
            </w:r>
            <w:r w:rsidRPr="00896D47">
              <w:rPr>
                <w:sz w:val="21"/>
                <w:szCs w:val="21"/>
              </w:rPr>
              <w:t>following its restoration to a production system.</w:t>
            </w:r>
            <w:r>
              <w:rPr>
                <w:sz w:val="21"/>
                <w:szCs w:val="21"/>
              </w:rPr>
              <w:t xml:space="preserve"> This issues l</w:t>
            </w:r>
            <w:r w:rsidRPr="00896D47">
              <w:rPr>
                <w:sz w:val="21"/>
                <w:szCs w:val="21"/>
              </w:rPr>
              <w:t>og is maintained and updated as required.</w:t>
            </w:r>
          </w:p>
          <w:p w:rsidR="00785D93" w:rsidRPr="00896D47" w:rsidRDefault="00785D93" w:rsidP="002A3C5B">
            <w:pPr>
              <w:pStyle w:val="StyleAGRBodyCommentJustifiedLeft0cmPatternClearBa"/>
              <w:ind w:left="360"/>
              <w:rPr>
                <w:sz w:val="21"/>
                <w:szCs w:val="21"/>
              </w:rPr>
            </w:pPr>
            <w:r w:rsidRPr="00896D47">
              <w:rPr>
                <w:sz w:val="21"/>
                <w:szCs w:val="21"/>
                <w:u w:val="single"/>
              </w:rPr>
              <w:t>Service levels for ASNEX not formally defined</w:t>
            </w:r>
            <w:r>
              <w:rPr>
                <w:sz w:val="21"/>
                <w:szCs w:val="21"/>
              </w:rPr>
              <w:t xml:space="preserve"> –</w:t>
            </w:r>
            <w:r w:rsidRPr="00896D47">
              <w:rPr>
                <w:sz w:val="21"/>
                <w:szCs w:val="21"/>
              </w:rPr>
              <w:t xml:space="preserve"> </w:t>
            </w:r>
            <w:r>
              <w:rPr>
                <w:sz w:val="21"/>
                <w:szCs w:val="21"/>
              </w:rPr>
              <w:t>DCIS</w:t>
            </w:r>
            <w:r w:rsidRPr="00896D47">
              <w:rPr>
                <w:sz w:val="21"/>
                <w:szCs w:val="21"/>
              </w:rPr>
              <w:t xml:space="preserve"> has a comprehensive Service Framework incorporating Service Statements for each service line.</w:t>
            </w:r>
            <w:r>
              <w:rPr>
                <w:sz w:val="21"/>
                <w:szCs w:val="21"/>
              </w:rPr>
              <w:t xml:space="preserve"> </w:t>
            </w:r>
            <w:r w:rsidRPr="00896D47">
              <w:rPr>
                <w:sz w:val="21"/>
                <w:szCs w:val="21"/>
              </w:rPr>
              <w:t>The Service Statement for the ASNEX system has been finalised with the audit matters addressed.</w:t>
            </w:r>
          </w:p>
          <w:p w:rsidR="00785D93" w:rsidRPr="00896D47" w:rsidRDefault="00785D93" w:rsidP="002A3C5B">
            <w:pPr>
              <w:pStyle w:val="StyleAGRBodyCommentJustifiedLeft0cmPatternClearBa"/>
              <w:ind w:left="360"/>
              <w:rPr>
                <w:sz w:val="21"/>
                <w:szCs w:val="21"/>
              </w:rPr>
            </w:pPr>
            <w:r w:rsidRPr="00896D47">
              <w:rPr>
                <w:sz w:val="21"/>
                <w:szCs w:val="21"/>
                <w:u w:val="single"/>
              </w:rPr>
              <w:t>Control weaknesses relating to AIS user access</w:t>
            </w:r>
            <w:r>
              <w:rPr>
                <w:sz w:val="21"/>
                <w:szCs w:val="21"/>
              </w:rPr>
              <w:t xml:space="preserve"> –</w:t>
            </w:r>
            <w:r w:rsidRPr="00896D47">
              <w:rPr>
                <w:sz w:val="21"/>
                <w:szCs w:val="21"/>
              </w:rPr>
              <w:t xml:space="preserve"> the audit noted that client agencies were not regularly monitoring </w:t>
            </w:r>
            <w:r>
              <w:rPr>
                <w:sz w:val="21"/>
                <w:szCs w:val="21"/>
              </w:rPr>
              <w:t>user access for their staff. DCIS</w:t>
            </w:r>
            <w:r w:rsidRPr="00896D47">
              <w:rPr>
                <w:sz w:val="21"/>
                <w:szCs w:val="21"/>
              </w:rPr>
              <w:t xml:space="preserve"> verified with the agency that their three users identified in the audit required access to AIS to conduct their duties.</w:t>
            </w:r>
          </w:p>
          <w:p w:rsidR="00785D93" w:rsidRPr="0018172D" w:rsidRDefault="00785D93" w:rsidP="002A3C5B">
            <w:pPr>
              <w:pStyle w:val="StyleAGRBodyCommentJustifiedLeft0cmPatternClearBa"/>
              <w:ind w:left="360"/>
              <w:rPr>
                <w:sz w:val="21"/>
                <w:szCs w:val="21"/>
              </w:rPr>
            </w:pPr>
            <w:r w:rsidRPr="00896D47">
              <w:rPr>
                <w:sz w:val="21"/>
                <w:szCs w:val="21"/>
              </w:rPr>
              <w:t xml:space="preserve"> A more rigorous process has been implemented for managing user access to AIS, with verification of access levels sought from agencies on a regular basis, information capture expanded and profiles documented.</w:t>
            </w:r>
          </w:p>
        </w:tc>
      </w:tr>
    </w:tbl>
    <w:p w:rsidR="00785D93" w:rsidRPr="00CD3A14" w:rsidRDefault="00785D93" w:rsidP="0013400B">
      <w:pPr>
        <w:pStyle w:val="AGRBodyText"/>
        <w:rPr>
          <w:noProof w:val="0"/>
          <w:lang w:val="en-AU"/>
        </w:rPr>
      </w:pPr>
    </w:p>
    <w:p w:rsidR="00113878" w:rsidRPr="00CD3A14" w:rsidRDefault="00113878" w:rsidP="00113878">
      <w:pPr>
        <w:pStyle w:val="AGRHeading1"/>
      </w:pPr>
      <w:r w:rsidRPr="00CD3A14">
        <w:t>Department of Sport and Recreation</w:t>
      </w:r>
    </w:p>
    <w:p w:rsidR="00113878" w:rsidRPr="00CD3A14" w:rsidRDefault="00A60125" w:rsidP="00113878">
      <w:pPr>
        <w:pStyle w:val="AGRHeading2"/>
      </w:pPr>
      <w:bookmarkStart w:id="24" w:name="official_travel"/>
      <w:r w:rsidRPr="00CD3A14">
        <w:t>Official</w:t>
      </w:r>
      <w:r w:rsidR="00113878" w:rsidRPr="00CD3A14">
        <w:t xml:space="preserve"> Travel</w:t>
      </w:r>
      <w:bookmarkEnd w:id="24"/>
    </w:p>
    <w:p w:rsidR="00113878" w:rsidRPr="00CD3A14" w:rsidRDefault="00113878" w:rsidP="00113878">
      <w:pPr>
        <w:pStyle w:val="AGRHeading3"/>
      </w:pPr>
      <w:r w:rsidRPr="00CD3A14">
        <w:t>Audit Objective and Scope</w:t>
      </w:r>
    </w:p>
    <w:p w:rsidR="00113878" w:rsidRPr="00CD3A14" w:rsidRDefault="00113878" w:rsidP="0013400B">
      <w:pPr>
        <w:pStyle w:val="AGRBodyText"/>
        <w:rPr>
          <w:noProof w:val="0"/>
          <w:lang w:val="en-AU"/>
        </w:rPr>
      </w:pPr>
      <w:r w:rsidRPr="00CD3A14">
        <w:rPr>
          <w:noProof w:val="0"/>
          <w:lang w:val="en-AU"/>
        </w:rPr>
        <w:t>The audit objective was to determine whether the travel entitlements paid to employees of the Department of Sport and Recreation (“the Department”) during the period 1 July 2014 to 31 December 2014 complied with the following requirements:</w:t>
      </w:r>
    </w:p>
    <w:p w:rsidR="00113878" w:rsidRPr="00CD3A14" w:rsidRDefault="00113878" w:rsidP="0013400B">
      <w:pPr>
        <w:pStyle w:val="AGRBulletText"/>
        <w:rPr>
          <w:noProof w:val="0"/>
          <w:lang w:val="en-AU"/>
        </w:rPr>
      </w:pPr>
      <w:r w:rsidRPr="00CD3A14">
        <w:rPr>
          <w:noProof w:val="0"/>
          <w:lang w:val="en-AU"/>
        </w:rPr>
        <w:t>Treasurer’s Directions Section A6.3;</w:t>
      </w:r>
    </w:p>
    <w:p w:rsidR="00113878" w:rsidRPr="00CD3A14" w:rsidRDefault="00113878" w:rsidP="0013400B">
      <w:pPr>
        <w:pStyle w:val="AGRBulletText"/>
        <w:rPr>
          <w:noProof w:val="0"/>
          <w:lang w:val="en-AU"/>
        </w:rPr>
      </w:pPr>
      <w:r w:rsidRPr="00CD3A14">
        <w:rPr>
          <w:noProof w:val="0"/>
          <w:lang w:val="en-AU"/>
        </w:rPr>
        <w:t xml:space="preserve">the Department’s “Official Duty Travel Procedure”; and </w:t>
      </w:r>
    </w:p>
    <w:p w:rsidR="00113878" w:rsidRPr="00CD3A14" w:rsidRDefault="00113878" w:rsidP="0013400B">
      <w:pPr>
        <w:pStyle w:val="AGRBulletText"/>
        <w:rPr>
          <w:noProof w:val="0"/>
          <w:lang w:val="en-AU"/>
        </w:rPr>
      </w:pPr>
      <w:r w:rsidRPr="00CD3A14">
        <w:rPr>
          <w:noProof w:val="0"/>
          <w:lang w:val="en-AU"/>
        </w:rPr>
        <w:t xml:space="preserve">Determination Number 1 of 2014 issued under the </w:t>
      </w:r>
      <w:r w:rsidRPr="00CD3A14">
        <w:rPr>
          <w:i/>
          <w:noProof w:val="0"/>
          <w:lang w:val="en-AU"/>
        </w:rPr>
        <w:t>Public Section Employment and Management Act</w:t>
      </w:r>
      <w:r w:rsidRPr="00CD3A14">
        <w:rPr>
          <w:noProof w:val="0"/>
          <w:lang w:val="en-AU"/>
        </w:rPr>
        <w:t>.</w:t>
      </w:r>
    </w:p>
    <w:p w:rsidR="00113878" w:rsidRPr="00CD3A14" w:rsidRDefault="00113878" w:rsidP="00113878">
      <w:pPr>
        <w:pStyle w:val="AGRHeading3"/>
      </w:pPr>
      <w:r w:rsidRPr="00CD3A14">
        <w:t>Background</w:t>
      </w:r>
    </w:p>
    <w:p w:rsidR="00113878" w:rsidRPr="00CD3A14" w:rsidRDefault="00113878" w:rsidP="0013400B">
      <w:pPr>
        <w:pStyle w:val="AGRBodyText"/>
        <w:rPr>
          <w:noProof w:val="0"/>
          <w:lang w:val="en-AU"/>
        </w:rPr>
      </w:pPr>
      <w:r w:rsidRPr="00CD3A14">
        <w:rPr>
          <w:noProof w:val="0"/>
          <w:lang w:val="en-AU"/>
        </w:rPr>
        <w:t xml:space="preserve">This audit covered the payment of entitlements relating to official travel undertaken by employees of the Department during the period 1 July 2014 to 31 December 2014. </w:t>
      </w:r>
    </w:p>
    <w:p w:rsidR="00113878" w:rsidRPr="00CD3A14" w:rsidRDefault="00113878" w:rsidP="0013400B">
      <w:pPr>
        <w:pStyle w:val="AGRBodyText"/>
        <w:rPr>
          <w:noProof w:val="0"/>
          <w:lang w:val="en-AU"/>
        </w:rPr>
      </w:pPr>
      <w:r w:rsidRPr="00CD3A14">
        <w:rPr>
          <w:noProof w:val="0"/>
          <w:lang w:val="en-AU"/>
        </w:rPr>
        <w:t xml:space="preserve">Official travel includes work related travel undertaken by employees of the Department on behalf of the Department. A movement requisition (MR) is an official document which records the travel details and forms the basis for making payments relating to travelling, camping and vehicle allowances and other travel related expenses. Employees are required to complete a MR and obtain prior approval from a delegated officer who has the appropriate delegated limit to approve the official travel. </w:t>
      </w:r>
    </w:p>
    <w:p w:rsidR="00113878" w:rsidRPr="00CD3A14" w:rsidRDefault="00113878" w:rsidP="0013400B">
      <w:pPr>
        <w:pStyle w:val="AGRBodyText"/>
        <w:rPr>
          <w:noProof w:val="0"/>
          <w:lang w:val="en-AU"/>
        </w:rPr>
      </w:pPr>
      <w:r w:rsidRPr="00CD3A14">
        <w:rPr>
          <w:noProof w:val="0"/>
          <w:lang w:val="en-AU"/>
        </w:rPr>
        <w:t>For the purpose of this audit, the population consisted of travel entitlements relating to official travel undertaken by the Department’s employees. From this population a sample of 30 items was selected. The audit assessed whether or not all the sampled expenses / allowances on the movement requisition adhered to the relevant policies and controls.</w:t>
      </w:r>
    </w:p>
    <w:p w:rsidR="00113878" w:rsidRPr="00CD3A14" w:rsidRDefault="00113878" w:rsidP="0013400B">
      <w:pPr>
        <w:pStyle w:val="AGRBodyText"/>
        <w:rPr>
          <w:noProof w:val="0"/>
          <w:lang w:val="en-AU"/>
        </w:rPr>
      </w:pPr>
      <w:r w:rsidRPr="00CD3A14">
        <w:rPr>
          <w:noProof w:val="0"/>
          <w:lang w:val="en-AU"/>
        </w:rPr>
        <w:t>Official travel payments were categorised as accommodation, local travelling, travelling allowance, overseas travelling, and other expenses.</w:t>
      </w:r>
    </w:p>
    <w:p w:rsidR="00113878" w:rsidRPr="00CD3A14" w:rsidRDefault="00113878" w:rsidP="00113878">
      <w:pPr>
        <w:pStyle w:val="AGRHeading1"/>
      </w:pPr>
      <w:r w:rsidRPr="00CD3A14">
        <w:t xml:space="preserve">Department of Sport and Recreation </w:t>
      </w:r>
      <w:proofErr w:type="spellStart"/>
      <w:r w:rsidRPr="00CD3A14">
        <w:t>cont</w:t>
      </w:r>
      <w:proofErr w:type="spellEnd"/>
      <w:r w:rsidRPr="00CD3A14">
        <w:t>…</w:t>
      </w:r>
    </w:p>
    <w:p w:rsidR="00113878" w:rsidRPr="00CD3A14" w:rsidRDefault="00113878" w:rsidP="00113878">
      <w:pPr>
        <w:pStyle w:val="AGRHeading3"/>
      </w:pPr>
      <w:r w:rsidRPr="00CD3A14">
        <w:t>Key Findings</w:t>
      </w:r>
    </w:p>
    <w:p w:rsidR="00113878" w:rsidRPr="00CD3A14" w:rsidRDefault="00113878" w:rsidP="0013400B">
      <w:pPr>
        <w:pStyle w:val="AGRBodyText"/>
        <w:rPr>
          <w:noProof w:val="0"/>
          <w:lang w:val="en-AU"/>
        </w:rPr>
      </w:pPr>
      <w:r w:rsidRPr="00CD3A14">
        <w:rPr>
          <w:noProof w:val="0"/>
          <w:lang w:val="en-AU"/>
        </w:rPr>
        <w:t>The Department’s Official Duty Travel Procedure states “</w:t>
      </w:r>
      <w:r w:rsidRPr="00CD3A14">
        <w:rPr>
          <w:i/>
          <w:noProof w:val="0"/>
          <w:lang w:val="en-AU"/>
        </w:rPr>
        <w:t>…prior approval for all official travel”</w:t>
      </w:r>
      <w:r w:rsidRPr="0039370E">
        <w:rPr>
          <w:noProof w:val="0"/>
          <w:lang w:val="en-AU"/>
        </w:rPr>
        <w:t xml:space="preserve"> is required and</w:t>
      </w:r>
      <w:r w:rsidRPr="00CD3A14">
        <w:rPr>
          <w:i/>
          <w:noProof w:val="0"/>
          <w:lang w:val="en-AU"/>
        </w:rPr>
        <w:t xml:space="preserve"> “all overseas travel is by ministerial approval</w:t>
      </w:r>
      <w:r w:rsidRPr="00CD3A14">
        <w:rPr>
          <w:noProof w:val="0"/>
          <w:lang w:val="en-AU"/>
        </w:rPr>
        <w:t xml:space="preserve">”. </w:t>
      </w:r>
    </w:p>
    <w:p w:rsidR="00113878" w:rsidRPr="00CD3A14" w:rsidRDefault="00113878" w:rsidP="0013400B">
      <w:pPr>
        <w:pStyle w:val="AGRBodyText"/>
        <w:rPr>
          <w:noProof w:val="0"/>
          <w:lang w:val="en-AU"/>
        </w:rPr>
      </w:pPr>
      <w:r w:rsidRPr="00CD3A14">
        <w:rPr>
          <w:noProof w:val="0"/>
          <w:lang w:val="en-AU"/>
        </w:rPr>
        <w:t>Section A6.3.4 of the Treasurer’s Directions states “</w:t>
      </w:r>
      <w:r w:rsidRPr="00CD3A14">
        <w:rPr>
          <w:i/>
          <w:noProof w:val="0"/>
          <w:lang w:val="en-AU"/>
        </w:rPr>
        <w:t>…the accountable officer / delegate is to approve all official travel prior to the expense being incurred</w:t>
      </w:r>
      <w:r w:rsidRPr="00CD3A14">
        <w:rPr>
          <w:noProof w:val="0"/>
          <w:lang w:val="en-AU"/>
        </w:rPr>
        <w:t>”; and section A6.3.4 (ii) of the Treasurer’s Directions states “</w:t>
      </w:r>
      <w:r w:rsidRPr="00CD3A14">
        <w:rPr>
          <w:i/>
          <w:noProof w:val="0"/>
          <w:lang w:val="en-AU"/>
        </w:rPr>
        <w:t>official travel requires prior approval utilising a movement requisition</w:t>
      </w:r>
      <w:r w:rsidRPr="00CD3A14">
        <w:rPr>
          <w:noProof w:val="0"/>
          <w:lang w:val="en-AU"/>
        </w:rPr>
        <w:t>”.</w:t>
      </w:r>
    </w:p>
    <w:p w:rsidR="00113878" w:rsidRPr="00CD3A14" w:rsidRDefault="00113878" w:rsidP="0013400B">
      <w:pPr>
        <w:pStyle w:val="AGRBodyText"/>
        <w:rPr>
          <w:noProof w:val="0"/>
          <w:lang w:val="en-AU"/>
        </w:rPr>
      </w:pPr>
      <w:r w:rsidRPr="00CD3A14">
        <w:rPr>
          <w:noProof w:val="0"/>
          <w:lang w:val="en-AU"/>
        </w:rPr>
        <w:t>I noted that appropriate prior approval was not always obtained before the Department incurred travel related expenses.</w:t>
      </w:r>
    </w:p>
    <w:p w:rsidR="00925F89" w:rsidRPr="00CD3A14" w:rsidRDefault="00925F89" w:rsidP="0013400B">
      <w:pPr>
        <w:pStyle w:val="AGRBodyText"/>
        <w:rPr>
          <w:noProof w:val="0"/>
          <w:lang w:val="en-AU"/>
        </w:rPr>
      </w:pPr>
      <w:r w:rsidRPr="00CD3A14">
        <w:rPr>
          <w:noProof w:val="0"/>
          <w:lang w:val="en-AU"/>
        </w:rPr>
        <w:t xml:space="preserve">Section </w:t>
      </w:r>
      <w:proofErr w:type="gramStart"/>
      <w:r w:rsidRPr="00CD3A14">
        <w:rPr>
          <w:noProof w:val="0"/>
          <w:lang w:val="en-AU"/>
        </w:rPr>
        <w:t>A6.3.4(</w:t>
      </w:r>
      <w:proofErr w:type="spellStart"/>
      <w:proofErr w:type="gramEnd"/>
      <w:r w:rsidRPr="00CD3A14">
        <w:rPr>
          <w:noProof w:val="0"/>
          <w:lang w:val="en-AU"/>
        </w:rPr>
        <w:t>i</w:t>
      </w:r>
      <w:proofErr w:type="spellEnd"/>
      <w:r w:rsidRPr="00CD3A14">
        <w:rPr>
          <w:noProof w:val="0"/>
          <w:lang w:val="en-AU"/>
        </w:rPr>
        <w:t>) of the Treasurer’s Directions A6.3.4 states: “</w:t>
      </w:r>
      <w:r w:rsidRPr="00CD3A14">
        <w:rPr>
          <w:i/>
          <w:noProof w:val="0"/>
          <w:lang w:val="en-AU"/>
        </w:rPr>
        <w:t>…official travel by their nature of expense “may be subject to scrutiny and have the potential for misuse. Accordingly, such expenses should be fully justified…</w:t>
      </w:r>
      <w:proofErr w:type="gramStart"/>
      <w:r w:rsidR="0039387B" w:rsidRPr="00CD3A14">
        <w:rPr>
          <w:noProof w:val="0"/>
          <w:lang w:val="en-AU"/>
        </w:rPr>
        <w:t>”.</w:t>
      </w:r>
      <w:proofErr w:type="gramEnd"/>
    </w:p>
    <w:p w:rsidR="00925F89" w:rsidRPr="00CD3A14" w:rsidRDefault="00925F89" w:rsidP="0013400B">
      <w:pPr>
        <w:pStyle w:val="AGRBodyText"/>
        <w:rPr>
          <w:noProof w:val="0"/>
          <w:lang w:val="en-AU"/>
        </w:rPr>
      </w:pPr>
      <w:r w:rsidRPr="00CD3A14">
        <w:rPr>
          <w:noProof w:val="0"/>
          <w:lang w:val="en-AU"/>
        </w:rPr>
        <w:t xml:space="preserve">Section </w:t>
      </w:r>
      <w:proofErr w:type="gramStart"/>
      <w:r w:rsidRPr="00CD3A14">
        <w:rPr>
          <w:noProof w:val="0"/>
          <w:lang w:val="en-AU"/>
        </w:rPr>
        <w:t>A6.3.4(</w:t>
      </w:r>
      <w:proofErr w:type="gramEnd"/>
      <w:r w:rsidRPr="00CD3A14">
        <w:rPr>
          <w:noProof w:val="0"/>
          <w:lang w:val="en-AU"/>
        </w:rPr>
        <w:t>ii) of the Treasurer’s Directions states “</w:t>
      </w:r>
      <w:r w:rsidRPr="00CD3A14">
        <w:rPr>
          <w:i/>
          <w:noProof w:val="0"/>
          <w:lang w:val="en-AU"/>
        </w:rPr>
        <w:t>Subsequent travel is to be undertaken in accordance with that approved on the movement requisition, and is required to be appropriately acquitted</w:t>
      </w:r>
      <w:r w:rsidR="0039387B" w:rsidRPr="00CD3A14">
        <w:rPr>
          <w:noProof w:val="0"/>
          <w:lang w:val="en-AU"/>
        </w:rPr>
        <w:t>”.</w:t>
      </w:r>
    </w:p>
    <w:p w:rsidR="00113878" w:rsidRPr="00CD3A14" w:rsidRDefault="00925F89" w:rsidP="0013400B">
      <w:pPr>
        <w:pStyle w:val="AGRBodyText"/>
        <w:rPr>
          <w:noProof w:val="0"/>
          <w:lang w:val="en-AU"/>
        </w:rPr>
      </w:pPr>
      <w:r w:rsidRPr="00CD3A14">
        <w:rPr>
          <w:noProof w:val="0"/>
          <w:lang w:val="en-AU"/>
        </w:rPr>
        <w:t>The Official Duty Travel Procedure states “</w:t>
      </w:r>
      <w:r w:rsidRPr="00CD3A14">
        <w:rPr>
          <w:i/>
          <w:noProof w:val="0"/>
          <w:lang w:val="en-AU"/>
        </w:rPr>
        <w:t xml:space="preserve">a MR acquittal form via TRIPS is required to be completed by the person who travelled within 2 weeks after returning, confirming that the travel took place as described on the MR. MR acquittals are an audit requirement in accordance with </w:t>
      </w:r>
      <w:r w:rsidR="0039387B" w:rsidRPr="00CD3A14">
        <w:rPr>
          <w:i/>
          <w:noProof w:val="0"/>
          <w:lang w:val="en-AU"/>
        </w:rPr>
        <w:t>Treasurer’s Direction (TD)</w:t>
      </w:r>
      <w:r w:rsidRPr="00CD3A14">
        <w:rPr>
          <w:i/>
          <w:noProof w:val="0"/>
          <w:lang w:val="en-AU"/>
        </w:rPr>
        <w:t xml:space="preserve"> A6.3.4</w:t>
      </w:r>
      <w:r w:rsidRPr="00CD3A14">
        <w:rPr>
          <w:noProof w:val="0"/>
          <w:lang w:val="en-AU"/>
        </w:rPr>
        <w:t>.”</w:t>
      </w:r>
    </w:p>
    <w:p w:rsidR="00113878" w:rsidRDefault="00F94437" w:rsidP="0013400B">
      <w:pPr>
        <w:pStyle w:val="AGRBodyText"/>
        <w:rPr>
          <w:noProof w:val="0"/>
          <w:lang w:val="en-AU"/>
        </w:rPr>
      </w:pPr>
      <w:r w:rsidRPr="00CD3A14">
        <w:rPr>
          <w:noProof w:val="0"/>
          <w:lang w:val="en-AU"/>
        </w:rPr>
        <w:t xml:space="preserve">I noted instances where the </w:t>
      </w:r>
      <w:r w:rsidR="002A435D" w:rsidRPr="00CD3A14">
        <w:rPr>
          <w:noProof w:val="0"/>
          <w:lang w:val="en-AU"/>
        </w:rPr>
        <w:t>acquittal</w:t>
      </w:r>
      <w:r w:rsidRPr="00CD3A14">
        <w:rPr>
          <w:noProof w:val="0"/>
          <w:lang w:val="en-AU"/>
        </w:rPr>
        <w:t xml:space="preserve"> was not completed, was not completed </w:t>
      </w:r>
      <w:r w:rsidR="0047417B" w:rsidRPr="00CD3A14">
        <w:rPr>
          <w:noProof w:val="0"/>
          <w:lang w:val="en-AU"/>
        </w:rPr>
        <w:t>within</w:t>
      </w:r>
      <w:r w:rsidRPr="00CD3A14">
        <w:rPr>
          <w:noProof w:val="0"/>
          <w:lang w:val="en-AU"/>
        </w:rPr>
        <w:t xml:space="preserve"> 2 weeks of returning from the official travel, did not contain the required details relating to the travel, or included ‘cab charge’ expenses when no supporting documentation could be provided to support the expense.</w:t>
      </w:r>
    </w:p>
    <w:p w:rsidR="008F3751" w:rsidRPr="00CD3A14" w:rsidRDefault="008F3751" w:rsidP="008F3751">
      <w:pPr>
        <w:pStyle w:val="AGRHeading1"/>
      </w:pPr>
      <w:r w:rsidRPr="00CD3A14">
        <w:t xml:space="preserve">Department of </w:t>
      </w:r>
      <w:r>
        <w:t>Sport and Recreation</w:t>
      </w:r>
      <w:r w:rsidRPr="00CD3A14">
        <w:t xml:space="preserve">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CD3A14" w:rsidTr="008F3751">
        <w:trPr>
          <w:tblHeader/>
        </w:trPr>
        <w:tc>
          <w:tcPr>
            <w:tcW w:w="8151" w:type="dxa"/>
            <w:shd w:val="clear" w:color="auto" w:fill="F2F2F2" w:themeFill="background1" w:themeFillShade="F2"/>
          </w:tcPr>
          <w:p w:rsidR="008F3751" w:rsidRPr="00516156" w:rsidRDefault="008F3751"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Sport and Recreation has commented:</w:t>
            </w:r>
          </w:p>
        </w:tc>
      </w:tr>
      <w:tr w:rsidR="008F3751" w:rsidRPr="00CD3A14" w:rsidTr="008F3751">
        <w:tc>
          <w:tcPr>
            <w:tcW w:w="8151" w:type="dxa"/>
            <w:shd w:val="clear" w:color="auto" w:fill="F2F2F2" w:themeFill="background1" w:themeFillShade="F2"/>
          </w:tcPr>
          <w:p w:rsidR="00290FA3" w:rsidRPr="0018172D" w:rsidRDefault="00290FA3" w:rsidP="00290FA3">
            <w:pPr>
              <w:pStyle w:val="StyleAGRBodyCommentJustifiedLeft0cmPatternClearBa"/>
              <w:rPr>
                <w:sz w:val="21"/>
                <w:szCs w:val="21"/>
              </w:rPr>
            </w:pPr>
            <w:r w:rsidRPr="0018172D">
              <w:rPr>
                <w:sz w:val="21"/>
                <w:szCs w:val="21"/>
              </w:rPr>
              <w:t>The Department notes the audit findings.</w:t>
            </w:r>
          </w:p>
          <w:p w:rsidR="00290FA3" w:rsidRPr="0018172D" w:rsidRDefault="00290FA3" w:rsidP="00290FA3">
            <w:pPr>
              <w:pStyle w:val="StyleAGRBodyCommentJustifiedLeft0cmPatternClearBa"/>
              <w:rPr>
                <w:sz w:val="21"/>
                <w:szCs w:val="21"/>
              </w:rPr>
            </w:pPr>
            <w:r w:rsidRPr="0018172D">
              <w:rPr>
                <w:sz w:val="21"/>
                <w:szCs w:val="21"/>
              </w:rPr>
              <w:t>The inability to place flights on hold when booking online has historically given rise to approval delays.  This issue has since been overcome with the introduction of a Travel Management System that en</w:t>
            </w:r>
            <w:r w:rsidR="00C162E9" w:rsidRPr="0018172D">
              <w:rPr>
                <w:sz w:val="21"/>
                <w:szCs w:val="21"/>
              </w:rPr>
              <w:t>ables flights to be held for 48 </w:t>
            </w:r>
            <w:r w:rsidRPr="0018172D">
              <w:rPr>
                <w:sz w:val="21"/>
                <w:szCs w:val="21"/>
              </w:rPr>
              <w:t xml:space="preserve">hours whilst approval is sought.  </w:t>
            </w:r>
          </w:p>
          <w:p w:rsidR="00290FA3" w:rsidRPr="0018172D" w:rsidRDefault="00290FA3" w:rsidP="00290FA3">
            <w:pPr>
              <w:pStyle w:val="StyleAGRBodyCommentJustifiedLeft0cmPatternClearBa"/>
              <w:rPr>
                <w:sz w:val="21"/>
                <w:szCs w:val="21"/>
              </w:rPr>
            </w:pPr>
            <w:r w:rsidRPr="0018172D">
              <w:rPr>
                <w:sz w:val="21"/>
                <w:szCs w:val="21"/>
              </w:rPr>
              <w:t>The process of acquitting movement requisitions in a timely manner is closely monitored and reviewed.  Where is it is found that a movement requisition is outstanding, any new movement requisition claiming travel allowance will not be paid until the previous trip is acquitted.</w:t>
            </w:r>
          </w:p>
          <w:p w:rsidR="008F3751" w:rsidRPr="0018172D" w:rsidRDefault="00290FA3" w:rsidP="00290FA3">
            <w:pPr>
              <w:pStyle w:val="StyleAGRBodyCommentJustifiedLeft0cmPatternClearBa"/>
              <w:rPr>
                <w:sz w:val="21"/>
                <w:szCs w:val="21"/>
              </w:rPr>
            </w:pPr>
            <w:r w:rsidRPr="0018172D">
              <w:rPr>
                <w:sz w:val="21"/>
                <w:szCs w:val="21"/>
              </w:rPr>
              <w:t>The Department will continue educating and training staff on travel policy and processes including the requirement to acquit travel in a timely manner and adjust any items not in-accordance with the original trip</w:t>
            </w:r>
            <w:r w:rsidR="001B53D2" w:rsidRPr="0018172D">
              <w:rPr>
                <w:sz w:val="21"/>
                <w:szCs w:val="21"/>
              </w:rPr>
              <w:t>.</w:t>
            </w:r>
          </w:p>
        </w:tc>
      </w:tr>
    </w:tbl>
    <w:p w:rsidR="008F3751" w:rsidRPr="00CD3A14" w:rsidRDefault="008F3751" w:rsidP="0013400B">
      <w:pPr>
        <w:pStyle w:val="AGRBodyText"/>
        <w:rPr>
          <w:noProof w:val="0"/>
          <w:lang w:val="en-AU"/>
        </w:rPr>
      </w:pPr>
    </w:p>
    <w:p w:rsidR="00A26433" w:rsidRPr="00CD3A14" w:rsidRDefault="00A26433" w:rsidP="00A26433">
      <w:pPr>
        <w:pStyle w:val="AGRHeading1"/>
      </w:pPr>
      <w:r w:rsidRPr="00CD3A14">
        <w:t>Department of the Chief Minister</w:t>
      </w:r>
    </w:p>
    <w:p w:rsidR="00A26433" w:rsidRPr="00CD3A14" w:rsidRDefault="00A26433" w:rsidP="00A26433">
      <w:pPr>
        <w:pStyle w:val="AGRHeading2"/>
      </w:pPr>
      <w:bookmarkStart w:id="25" w:name="ministerial_travel"/>
      <w:r w:rsidRPr="00CD3A14">
        <w:t>Ministerial Travel</w:t>
      </w:r>
      <w:bookmarkEnd w:id="25"/>
    </w:p>
    <w:p w:rsidR="00A26433" w:rsidRPr="00CD3A14" w:rsidRDefault="00A26433" w:rsidP="00A26433">
      <w:pPr>
        <w:pStyle w:val="AGRHeading3"/>
      </w:pPr>
      <w:r w:rsidRPr="00CD3A14">
        <w:t>Audit Objective and Scope</w:t>
      </w:r>
    </w:p>
    <w:p w:rsidR="00A26433" w:rsidRPr="00CD3A14" w:rsidRDefault="00A26433" w:rsidP="0013400B">
      <w:pPr>
        <w:pStyle w:val="AGRBodyText"/>
        <w:rPr>
          <w:noProof w:val="0"/>
          <w:lang w:val="en-AU"/>
        </w:rPr>
      </w:pPr>
      <w:r w:rsidRPr="00CD3A14">
        <w:rPr>
          <w:noProof w:val="0"/>
          <w:lang w:val="en-AU"/>
        </w:rPr>
        <w:t xml:space="preserve">The objective of the audit was to determine whether the travel entitlements paid to Ministers during the period 1 July 2014 to 31 December 2014 were in accordance with the Remuneration Tribunal Determination No.1 of 2013 (“the current Determination”). </w:t>
      </w:r>
    </w:p>
    <w:p w:rsidR="00A26433" w:rsidRPr="00CD3A14" w:rsidRDefault="00A26433" w:rsidP="00A26433">
      <w:pPr>
        <w:pStyle w:val="AGRHeading3"/>
      </w:pPr>
      <w:r w:rsidRPr="00CD3A14">
        <w:t>Background</w:t>
      </w:r>
    </w:p>
    <w:p w:rsidR="00E8606E" w:rsidRDefault="00A26433" w:rsidP="00E8606E">
      <w:pPr>
        <w:pStyle w:val="AGRBodyText"/>
        <w:rPr>
          <w:noProof w:val="0"/>
          <w:lang w:val="en-AU"/>
        </w:rPr>
      </w:pPr>
      <w:r w:rsidRPr="00CD3A14">
        <w:rPr>
          <w:noProof w:val="0"/>
          <w:lang w:val="en-AU"/>
        </w:rPr>
        <w:t xml:space="preserve">The Twelfth Legislative Assembly was elected on 25 August 2012 and it forms the current Legislative Assembly. </w:t>
      </w:r>
    </w:p>
    <w:p w:rsidR="00AC35E9" w:rsidRPr="00CD3A14" w:rsidRDefault="00AC35E9" w:rsidP="0013400B">
      <w:pPr>
        <w:pStyle w:val="AGRBodyText"/>
        <w:rPr>
          <w:noProof w:val="0"/>
          <w:lang w:val="en-AU"/>
        </w:rPr>
      </w:pPr>
      <w:r w:rsidRPr="00CD3A14">
        <w:rPr>
          <w:noProof w:val="0"/>
          <w:lang w:val="en-AU"/>
        </w:rPr>
        <w:t>Travel undertaken by Members of the Legislative Assembly, in their capacity as Ministers or Leader of the Opposition (“the Claimants”), is administered by the Department of the Chief Minister (“the Department”). This travel is recorded separately from Members travel, which is recorded on the Members Entitlements Travel System maintained by the Department of the Legislative Assembly.</w:t>
      </w:r>
    </w:p>
    <w:p w:rsidR="00A26433" w:rsidRPr="00CD3A14" w:rsidRDefault="00A26433" w:rsidP="0013400B">
      <w:pPr>
        <w:pStyle w:val="AGRBodyText"/>
        <w:rPr>
          <w:noProof w:val="0"/>
          <w:lang w:val="en-AU"/>
        </w:rPr>
      </w:pPr>
      <w:r w:rsidRPr="00CD3A14">
        <w:rPr>
          <w:noProof w:val="0"/>
          <w:lang w:val="en-AU"/>
        </w:rPr>
        <w:t>The scope of the audit (which is official travel covered by the current determination) only includes travel by Ministers (who reside outside of Darwin) to attend parliamentary sessions and/or cabinet meeting and as such excludes the following:</w:t>
      </w:r>
    </w:p>
    <w:p w:rsidR="00A26433" w:rsidRPr="00CD3A14" w:rsidRDefault="00A26433" w:rsidP="0013400B">
      <w:pPr>
        <w:pStyle w:val="AGRBulletText"/>
        <w:rPr>
          <w:noProof w:val="0"/>
          <w:lang w:val="en-AU"/>
        </w:rPr>
      </w:pPr>
      <w:r w:rsidRPr="00CD3A14">
        <w:rPr>
          <w:noProof w:val="0"/>
          <w:lang w:val="en-AU"/>
        </w:rPr>
        <w:t>all intrastate travel (where the purpose of travel is not parliamentary sessions and/or cabinet meeting);</w:t>
      </w:r>
    </w:p>
    <w:p w:rsidR="00A26433" w:rsidRPr="00CD3A14" w:rsidRDefault="00A26433" w:rsidP="0013400B">
      <w:pPr>
        <w:pStyle w:val="AGRBulletText"/>
        <w:rPr>
          <w:noProof w:val="0"/>
          <w:lang w:val="en-AU"/>
        </w:rPr>
      </w:pPr>
      <w:r w:rsidRPr="00CD3A14">
        <w:rPr>
          <w:noProof w:val="0"/>
          <w:lang w:val="en-AU"/>
        </w:rPr>
        <w:t xml:space="preserve">interstate travel; and </w:t>
      </w:r>
    </w:p>
    <w:p w:rsidR="00E8606E" w:rsidRDefault="00A26433" w:rsidP="00E8606E">
      <w:pPr>
        <w:pStyle w:val="AGRBulletText"/>
        <w:rPr>
          <w:noProof w:val="0"/>
          <w:lang w:val="en-AU"/>
        </w:rPr>
      </w:pPr>
      <w:proofErr w:type="gramStart"/>
      <w:r w:rsidRPr="00CD3A14">
        <w:rPr>
          <w:noProof w:val="0"/>
          <w:lang w:val="en-AU"/>
        </w:rPr>
        <w:t>overseas</w:t>
      </w:r>
      <w:proofErr w:type="gramEnd"/>
      <w:r w:rsidRPr="00CD3A14">
        <w:rPr>
          <w:noProof w:val="0"/>
          <w:lang w:val="en-AU"/>
        </w:rPr>
        <w:t xml:space="preserve"> travel. </w:t>
      </w:r>
    </w:p>
    <w:p w:rsidR="00E8606E" w:rsidRPr="00CD3A14" w:rsidRDefault="00E8606E" w:rsidP="00E8606E">
      <w:pPr>
        <w:pStyle w:val="AGRBodyText"/>
        <w:rPr>
          <w:noProof w:val="0"/>
          <w:lang w:val="en-AU"/>
        </w:rPr>
      </w:pPr>
      <w:r w:rsidRPr="00CD3A14">
        <w:rPr>
          <w:noProof w:val="0"/>
          <w:lang w:val="en-AU"/>
        </w:rPr>
        <w:t>There were five Members of the Assembly who met the criteria during the period, specifically:</w:t>
      </w:r>
    </w:p>
    <w:p w:rsidR="00E8606E" w:rsidRPr="00CD3A14" w:rsidRDefault="00E8606E" w:rsidP="00E8606E">
      <w:pPr>
        <w:pStyle w:val="AGRBodyText"/>
        <w:rPr>
          <w:noProof w:val="0"/>
          <w:lang w:val="en-AU"/>
        </w:rPr>
      </w:pPr>
      <w:r w:rsidRPr="00CD3A14">
        <w:rPr>
          <w:noProof w:val="0"/>
          <w:lang w:val="en-AU"/>
        </w:rPr>
        <w:t>1.</w:t>
      </w:r>
      <w:r w:rsidRPr="00CD3A14">
        <w:rPr>
          <w:noProof w:val="0"/>
          <w:lang w:val="en-AU"/>
        </w:rPr>
        <w:tab/>
        <w:t>The Honourable Adam Giles MLA;</w:t>
      </w:r>
    </w:p>
    <w:p w:rsidR="00E8606E" w:rsidRPr="00CD3A14" w:rsidRDefault="00E8606E" w:rsidP="00E8606E">
      <w:pPr>
        <w:pStyle w:val="AGRBodyText"/>
        <w:rPr>
          <w:noProof w:val="0"/>
          <w:lang w:val="en-AU"/>
        </w:rPr>
      </w:pPr>
      <w:r w:rsidRPr="00CD3A14">
        <w:rPr>
          <w:noProof w:val="0"/>
          <w:lang w:val="en-AU"/>
        </w:rPr>
        <w:t>2.</w:t>
      </w:r>
      <w:r w:rsidRPr="00CD3A14">
        <w:rPr>
          <w:noProof w:val="0"/>
          <w:lang w:val="en-AU"/>
        </w:rPr>
        <w:tab/>
        <w:t xml:space="preserve">Mr Matthew </w:t>
      </w:r>
      <w:proofErr w:type="spellStart"/>
      <w:r w:rsidRPr="00CD3A14">
        <w:rPr>
          <w:noProof w:val="0"/>
          <w:lang w:val="en-AU"/>
        </w:rPr>
        <w:t>Conlan</w:t>
      </w:r>
      <w:proofErr w:type="spellEnd"/>
      <w:r w:rsidRPr="00CD3A14">
        <w:rPr>
          <w:noProof w:val="0"/>
          <w:lang w:val="en-AU"/>
        </w:rPr>
        <w:t xml:space="preserve"> MLA;</w:t>
      </w:r>
    </w:p>
    <w:p w:rsidR="00E8606E" w:rsidRPr="00CD3A14" w:rsidRDefault="00E8606E" w:rsidP="00E8606E">
      <w:pPr>
        <w:pStyle w:val="AGRBodyText"/>
        <w:rPr>
          <w:noProof w:val="0"/>
          <w:lang w:val="en-AU"/>
        </w:rPr>
      </w:pPr>
      <w:r w:rsidRPr="00CD3A14">
        <w:rPr>
          <w:noProof w:val="0"/>
          <w:lang w:val="en-AU"/>
        </w:rPr>
        <w:t>3.</w:t>
      </w:r>
      <w:r w:rsidRPr="00CD3A14">
        <w:rPr>
          <w:noProof w:val="0"/>
          <w:lang w:val="en-AU"/>
        </w:rPr>
        <w:tab/>
        <w:t>The Honourable Bess Price MLA;</w:t>
      </w:r>
    </w:p>
    <w:p w:rsidR="00E8606E" w:rsidRPr="00CD3A14" w:rsidRDefault="00E8606E" w:rsidP="00E8606E">
      <w:pPr>
        <w:pStyle w:val="AGRBodyText"/>
        <w:rPr>
          <w:noProof w:val="0"/>
          <w:lang w:val="en-AU"/>
        </w:rPr>
      </w:pPr>
      <w:r w:rsidRPr="00CD3A14">
        <w:rPr>
          <w:noProof w:val="0"/>
          <w:lang w:val="en-AU"/>
        </w:rPr>
        <w:t>4.</w:t>
      </w:r>
      <w:r w:rsidRPr="00CD3A14">
        <w:rPr>
          <w:noProof w:val="0"/>
          <w:lang w:val="en-AU"/>
        </w:rPr>
        <w:tab/>
        <w:t xml:space="preserve">The Honourable Willem </w:t>
      </w:r>
      <w:proofErr w:type="spellStart"/>
      <w:r w:rsidRPr="00CD3A14">
        <w:rPr>
          <w:noProof w:val="0"/>
          <w:lang w:val="en-AU"/>
        </w:rPr>
        <w:t>Westra</w:t>
      </w:r>
      <w:proofErr w:type="spellEnd"/>
      <w:r w:rsidRPr="00CD3A14">
        <w:rPr>
          <w:noProof w:val="0"/>
          <w:lang w:val="en-AU"/>
        </w:rPr>
        <w:t xml:space="preserve"> Van </w:t>
      </w:r>
      <w:proofErr w:type="spellStart"/>
      <w:r w:rsidRPr="00CD3A14">
        <w:rPr>
          <w:noProof w:val="0"/>
          <w:lang w:val="en-AU"/>
        </w:rPr>
        <w:t>Holthe</w:t>
      </w:r>
      <w:proofErr w:type="spellEnd"/>
      <w:r w:rsidRPr="00CD3A14">
        <w:rPr>
          <w:noProof w:val="0"/>
          <w:lang w:val="en-AU"/>
        </w:rPr>
        <w:t xml:space="preserve"> MLA; and</w:t>
      </w:r>
    </w:p>
    <w:p w:rsidR="00E8606E" w:rsidRPr="00CD3A14" w:rsidRDefault="00E8606E" w:rsidP="00E8606E">
      <w:pPr>
        <w:pStyle w:val="AGRBodyText"/>
        <w:rPr>
          <w:noProof w:val="0"/>
          <w:lang w:val="en-AU"/>
        </w:rPr>
      </w:pPr>
      <w:r w:rsidRPr="00CD3A14">
        <w:rPr>
          <w:noProof w:val="0"/>
          <w:lang w:val="en-AU"/>
        </w:rPr>
        <w:t>5.</w:t>
      </w:r>
      <w:r w:rsidRPr="00CD3A14">
        <w:rPr>
          <w:noProof w:val="0"/>
          <w:lang w:val="en-AU"/>
        </w:rPr>
        <w:tab/>
        <w:t xml:space="preserve">Mrs Robyn </w:t>
      </w:r>
      <w:proofErr w:type="spellStart"/>
      <w:r w:rsidRPr="00CD3A14">
        <w:rPr>
          <w:noProof w:val="0"/>
          <w:lang w:val="en-AU"/>
        </w:rPr>
        <w:t>Lambley</w:t>
      </w:r>
      <w:proofErr w:type="spellEnd"/>
      <w:r w:rsidRPr="00CD3A14">
        <w:rPr>
          <w:noProof w:val="0"/>
          <w:lang w:val="en-AU"/>
        </w:rPr>
        <w:t xml:space="preserve"> MLA.</w:t>
      </w:r>
    </w:p>
    <w:p w:rsidR="00A26433" w:rsidRPr="00CD3A14" w:rsidRDefault="00A26433" w:rsidP="00E8606E">
      <w:pPr>
        <w:pStyle w:val="AGRBodyText"/>
        <w:rPr>
          <w:noProof w:val="0"/>
          <w:lang w:val="en-AU"/>
        </w:rPr>
      </w:pPr>
    </w:p>
    <w:p w:rsidR="00AC35E9" w:rsidRPr="00CD3A14" w:rsidRDefault="00AC35E9" w:rsidP="00AC35E9">
      <w:pPr>
        <w:pStyle w:val="AGRHeading1"/>
      </w:pPr>
      <w:r w:rsidRPr="00CD3A14">
        <w:t xml:space="preserve">Department of the Chief Minister </w:t>
      </w:r>
      <w:proofErr w:type="spellStart"/>
      <w:proofErr w:type="gramStart"/>
      <w:r w:rsidRPr="00CD3A14">
        <w:t>cont</w:t>
      </w:r>
      <w:proofErr w:type="spellEnd"/>
      <w:proofErr w:type="gramEnd"/>
      <w:r w:rsidRPr="00CD3A14">
        <w:t>…</w:t>
      </w:r>
    </w:p>
    <w:p w:rsidR="00A26433" w:rsidRPr="00CD3A14" w:rsidRDefault="00A26433" w:rsidP="00A26433">
      <w:pPr>
        <w:pStyle w:val="AGRHeading3"/>
      </w:pPr>
      <w:r w:rsidRPr="00CD3A14">
        <w:t>Key Findings</w:t>
      </w:r>
    </w:p>
    <w:p w:rsidR="00A26433" w:rsidRPr="00CD3A14" w:rsidRDefault="00A26433" w:rsidP="0013400B">
      <w:pPr>
        <w:pStyle w:val="AGRBodyText"/>
        <w:rPr>
          <w:noProof w:val="0"/>
          <w:lang w:val="en-AU"/>
        </w:rPr>
      </w:pPr>
      <w:r w:rsidRPr="00CD3A14">
        <w:rPr>
          <w:noProof w:val="0"/>
          <w:lang w:val="en-AU"/>
        </w:rPr>
        <w:t>Clause 5.11 of the current Determination states:</w:t>
      </w:r>
    </w:p>
    <w:p w:rsidR="00A26433" w:rsidRPr="00CD3A14" w:rsidRDefault="00A26433" w:rsidP="0013400B">
      <w:pPr>
        <w:pStyle w:val="AGRBodyText"/>
        <w:rPr>
          <w:noProof w:val="0"/>
          <w:lang w:val="en-AU"/>
        </w:rPr>
      </w:pPr>
      <w:r w:rsidRPr="00CD3A14">
        <w:rPr>
          <w:noProof w:val="0"/>
          <w:lang w:val="en-AU"/>
        </w:rPr>
        <w:t>“</w:t>
      </w:r>
      <w:r w:rsidRPr="004B1F76">
        <w:rPr>
          <w:i/>
          <w:noProof w:val="0"/>
          <w:lang w:val="en-AU"/>
        </w:rPr>
        <w:t>Entitlement to the Travelling Allowance where commercial accommodation is used at a place specified in Part A of Schedule 2 is established by production of a tax invoice or certification by the relevant Member that a tax invoice can be produced on demand.</w:t>
      </w:r>
      <w:r w:rsidRPr="00CD3A14">
        <w:rPr>
          <w:noProof w:val="0"/>
          <w:lang w:val="en-AU"/>
        </w:rPr>
        <w:t>”</w:t>
      </w:r>
    </w:p>
    <w:p w:rsidR="00A26433" w:rsidRPr="00CD3A14" w:rsidRDefault="001D2479" w:rsidP="0013400B">
      <w:pPr>
        <w:pStyle w:val="AGRBodyText"/>
        <w:rPr>
          <w:noProof w:val="0"/>
          <w:lang w:val="en-AU"/>
        </w:rPr>
      </w:pPr>
      <w:r w:rsidRPr="00CD3A14">
        <w:rPr>
          <w:noProof w:val="0"/>
          <w:lang w:val="en-AU"/>
        </w:rPr>
        <w:t>Two</w:t>
      </w:r>
      <w:r w:rsidR="00860F49" w:rsidRPr="00CD3A14">
        <w:rPr>
          <w:noProof w:val="0"/>
          <w:lang w:val="en-AU"/>
        </w:rPr>
        <w:t xml:space="preserve"> instances were noted where there was no evidence of</w:t>
      </w:r>
      <w:r w:rsidR="0047417B" w:rsidRPr="00CD3A14">
        <w:rPr>
          <w:noProof w:val="0"/>
          <w:lang w:val="en-AU"/>
        </w:rPr>
        <w:t xml:space="preserve"> a</w:t>
      </w:r>
      <w:r w:rsidR="00860F49" w:rsidRPr="00CD3A14">
        <w:rPr>
          <w:noProof w:val="0"/>
          <w:lang w:val="en-AU"/>
        </w:rPr>
        <w:t xml:space="preserve"> stay at commercial accommodation being provided to substantiat</w:t>
      </w:r>
      <w:r w:rsidR="0047417B" w:rsidRPr="00CD3A14">
        <w:rPr>
          <w:noProof w:val="0"/>
          <w:lang w:val="en-AU"/>
        </w:rPr>
        <w:t>e a</w:t>
      </w:r>
      <w:r w:rsidR="00860F49" w:rsidRPr="00CD3A14">
        <w:rPr>
          <w:noProof w:val="0"/>
          <w:lang w:val="en-AU"/>
        </w:rPr>
        <w:t xml:space="preserve"> claim </w:t>
      </w:r>
      <w:r w:rsidR="0047417B" w:rsidRPr="00CD3A14">
        <w:rPr>
          <w:noProof w:val="0"/>
          <w:lang w:val="en-AU"/>
        </w:rPr>
        <w:t xml:space="preserve">for </w:t>
      </w:r>
      <w:r w:rsidR="00860F49" w:rsidRPr="00CD3A14">
        <w:rPr>
          <w:noProof w:val="0"/>
          <w:lang w:val="en-AU"/>
        </w:rPr>
        <w:t xml:space="preserve">travelling allowance as per Part </w:t>
      </w:r>
      <w:proofErr w:type="gramStart"/>
      <w:r w:rsidR="00860F49" w:rsidRPr="00CD3A14">
        <w:rPr>
          <w:noProof w:val="0"/>
          <w:lang w:val="en-AU"/>
        </w:rPr>
        <w:t>A</w:t>
      </w:r>
      <w:proofErr w:type="gramEnd"/>
      <w:r w:rsidR="00860F49" w:rsidRPr="00CD3A14">
        <w:rPr>
          <w:noProof w:val="0"/>
          <w:lang w:val="en-AU"/>
        </w:rPr>
        <w:t xml:space="preserve"> of Schedule 2.</w:t>
      </w:r>
    </w:p>
    <w:p w:rsidR="00A621EB" w:rsidRPr="00CD3A14" w:rsidRDefault="00D86E0A" w:rsidP="0013400B">
      <w:pPr>
        <w:pStyle w:val="AGRBodyText"/>
        <w:rPr>
          <w:noProof w:val="0"/>
          <w:lang w:val="en-AU"/>
        </w:rPr>
      </w:pPr>
      <w:r w:rsidRPr="00CD3A14">
        <w:rPr>
          <w:noProof w:val="0"/>
          <w:lang w:val="en-AU"/>
        </w:rPr>
        <w:t>During the audit, the following observations were note</w:t>
      </w:r>
      <w:r w:rsidR="004B1F76">
        <w:rPr>
          <w:noProof w:val="0"/>
          <w:lang w:val="en-AU"/>
        </w:rPr>
        <w:t>d</w:t>
      </w:r>
      <w:r w:rsidR="00A621EB" w:rsidRPr="00CD3A14">
        <w:rPr>
          <w:noProof w:val="0"/>
          <w:lang w:val="en-AU"/>
        </w:rPr>
        <w:t>:</w:t>
      </w:r>
    </w:p>
    <w:p w:rsidR="00A621EB" w:rsidRPr="00CD3A14" w:rsidRDefault="00A621EB" w:rsidP="0013400B">
      <w:pPr>
        <w:pStyle w:val="AGRBulletText"/>
        <w:rPr>
          <w:noProof w:val="0"/>
          <w:lang w:val="en-AU"/>
        </w:rPr>
      </w:pPr>
      <w:r w:rsidRPr="00CD3A14">
        <w:rPr>
          <w:noProof w:val="0"/>
          <w:lang w:val="en-AU"/>
        </w:rPr>
        <w:t>Six instances where the Movement Requisition (“the MR”) was not approved prior to the commencement of the official travel;</w:t>
      </w:r>
    </w:p>
    <w:p w:rsidR="00A621EB" w:rsidRPr="00CD3A14" w:rsidRDefault="00A621EB" w:rsidP="0013400B">
      <w:pPr>
        <w:pStyle w:val="AGRBulletText"/>
        <w:rPr>
          <w:noProof w:val="0"/>
          <w:lang w:val="en-AU"/>
        </w:rPr>
      </w:pPr>
      <w:r w:rsidRPr="00CD3A14">
        <w:rPr>
          <w:noProof w:val="0"/>
          <w:lang w:val="en-AU"/>
        </w:rPr>
        <w:t>Two instances where the confirmation of completion of travel took place more than two weeks after the travel period;</w:t>
      </w:r>
    </w:p>
    <w:p w:rsidR="00A621EB" w:rsidRPr="00CD3A14" w:rsidRDefault="00A621EB" w:rsidP="0013400B">
      <w:pPr>
        <w:pStyle w:val="AGRBulletText"/>
        <w:rPr>
          <w:noProof w:val="0"/>
          <w:lang w:val="en-AU"/>
        </w:rPr>
      </w:pPr>
      <w:r w:rsidRPr="00CD3A14">
        <w:rPr>
          <w:noProof w:val="0"/>
          <w:lang w:val="en-AU"/>
        </w:rPr>
        <w:t>Three instances where the MRs were not substantiated within 60 days after travel;</w:t>
      </w:r>
    </w:p>
    <w:p w:rsidR="00A621EB" w:rsidRPr="00CD3A14" w:rsidRDefault="00A621EB" w:rsidP="0013400B">
      <w:pPr>
        <w:pStyle w:val="AGRBulletText"/>
        <w:rPr>
          <w:noProof w:val="0"/>
          <w:lang w:val="en-AU"/>
        </w:rPr>
      </w:pPr>
      <w:r w:rsidRPr="00CD3A14">
        <w:rPr>
          <w:noProof w:val="0"/>
          <w:lang w:val="en-AU"/>
        </w:rPr>
        <w:t>Nine instances where the approved amounts per the completed MR acquittals did not agree to supporting documents; and</w:t>
      </w:r>
    </w:p>
    <w:p w:rsidR="00A621EB" w:rsidRDefault="00A621EB" w:rsidP="0013400B">
      <w:pPr>
        <w:pStyle w:val="AGRBulletText"/>
        <w:rPr>
          <w:noProof w:val="0"/>
          <w:lang w:val="en-AU"/>
        </w:rPr>
      </w:pPr>
      <w:r w:rsidRPr="00CD3A14">
        <w:rPr>
          <w:noProof w:val="0"/>
          <w:lang w:val="en-AU"/>
        </w:rPr>
        <w:t>Some acquitted movement requisitions contain</w:t>
      </w:r>
      <w:r w:rsidR="004B1F76">
        <w:rPr>
          <w:noProof w:val="0"/>
          <w:lang w:val="en-AU"/>
        </w:rPr>
        <w:t>ed</w:t>
      </w:r>
      <w:r w:rsidRPr="00CD3A14">
        <w:rPr>
          <w:noProof w:val="0"/>
          <w:lang w:val="en-AU"/>
        </w:rPr>
        <w:t xml:space="preserve"> items that have not been incurred. As an example, one movement requisition </w:t>
      </w:r>
      <w:proofErr w:type="gramStart"/>
      <w:r w:rsidRPr="00CD3A14">
        <w:rPr>
          <w:noProof w:val="0"/>
          <w:lang w:val="en-AU"/>
        </w:rPr>
        <w:t>acquittal,</w:t>
      </w:r>
      <w:proofErr w:type="gramEnd"/>
      <w:r w:rsidRPr="00CD3A14">
        <w:rPr>
          <w:noProof w:val="0"/>
          <w:lang w:val="en-AU"/>
        </w:rPr>
        <w:t xml:space="preserve"> included an amount of $5,000 for “Hospitality” expenses however there were </w:t>
      </w:r>
      <w:r w:rsidR="0047417B" w:rsidRPr="00CD3A14">
        <w:rPr>
          <w:noProof w:val="0"/>
          <w:lang w:val="en-AU"/>
        </w:rPr>
        <w:t xml:space="preserve">no </w:t>
      </w:r>
      <w:r w:rsidRPr="00CD3A14">
        <w:rPr>
          <w:noProof w:val="0"/>
          <w:lang w:val="en-AU"/>
        </w:rPr>
        <w:t xml:space="preserve">supporting documents to substantiate this amount nor was the MR acquittal updated to remove the $5,000 (which was not incurred). </w:t>
      </w:r>
    </w:p>
    <w:p w:rsidR="008F3751" w:rsidRPr="00CD3A14" w:rsidRDefault="008F3751" w:rsidP="008F3751">
      <w:pPr>
        <w:pStyle w:val="AGRHeading1"/>
      </w:pPr>
      <w:r w:rsidRPr="00CD3A14">
        <w:t xml:space="preserve">Department of </w:t>
      </w:r>
      <w:r>
        <w:t>the Chief Minister</w:t>
      </w:r>
      <w:r w:rsidRPr="00CD3A14">
        <w:t xml:space="preserve"> </w:t>
      </w:r>
      <w:proofErr w:type="spellStart"/>
      <w:proofErr w:type="gramStart"/>
      <w:r w:rsidRPr="00CD3A14">
        <w:t>cont</w:t>
      </w:r>
      <w:proofErr w:type="spellEnd"/>
      <w:proofErr w:type="gram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CD3A14" w:rsidTr="008F3751">
        <w:trPr>
          <w:tblHeader/>
        </w:trPr>
        <w:tc>
          <w:tcPr>
            <w:tcW w:w="8151" w:type="dxa"/>
            <w:shd w:val="clear" w:color="auto" w:fill="F2F2F2" w:themeFill="background1" w:themeFillShade="F2"/>
          </w:tcPr>
          <w:p w:rsidR="008F3751" w:rsidRPr="00516156" w:rsidRDefault="008F3751"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Chief Minister has commented:</w:t>
            </w:r>
          </w:p>
        </w:tc>
      </w:tr>
      <w:tr w:rsidR="008F3751" w:rsidRPr="00CD3A14" w:rsidTr="008F3751">
        <w:tc>
          <w:tcPr>
            <w:tcW w:w="8151" w:type="dxa"/>
            <w:shd w:val="clear" w:color="auto" w:fill="F2F2F2" w:themeFill="background1" w:themeFillShade="F2"/>
          </w:tcPr>
          <w:p w:rsidR="008F3751" w:rsidRPr="0018172D" w:rsidRDefault="00B61EDF" w:rsidP="008F3751">
            <w:pPr>
              <w:pStyle w:val="StyleAGRBodyCommentJustifiedLeft0cmPatternClearBa"/>
              <w:rPr>
                <w:sz w:val="21"/>
                <w:szCs w:val="21"/>
              </w:rPr>
            </w:pPr>
            <w:r w:rsidRPr="0018172D">
              <w:rPr>
                <w:sz w:val="21"/>
                <w:szCs w:val="21"/>
              </w:rPr>
              <w:t>Findings from the Ministerial Travel audit of the department have been noted and acted upon where necessary</w:t>
            </w:r>
            <w:r w:rsidR="001B53D2" w:rsidRPr="0018172D">
              <w:rPr>
                <w:sz w:val="21"/>
                <w:szCs w:val="21"/>
              </w:rPr>
              <w:t>.</w:t>
            </w:r>
          </w:p>
        </w:tc>
      </w:tr>
    </w:tbl>
    <w:p w:rsidR="008F3751" w:rsidRPr="00CD3A14" w:rsidRDefault="008F3751" w:rsidP="008F3751">
      <w:pPr>
        <w:pStyle w:val="AGRBodyText"/>
        <w:rPr>
          <w:noProof w:val="0"/>
          <w:lang w:val="en-AU"/>
        </w:rPr>
      </w:pPr>
    </w:p>
    <w:p w:rsidR="00A60125" w:rsidRPr="00CD3A14" w:rsidRDefault="00A60125" w:rsidP="00A60125">
      <w:pPr>
        <w:pStyle w:val="AGRHeading1"/>
      </w:pPr>
      <w:r w:rsidRPr="00CD3A14">
        <w:t>Department of the Legislative Assembly</w:t>
      </w:r>
    </w:p>
    <w:p w:rsidR="00A60125" w:rsidRPr="00CD3A14" w:rsidRDefault="00A60125" w:rsidP="00A60125">
      <w:pPr>
        <w:pStyle w:val="AGRHeading2"/>
      </w:pPr>
      <w:bookmarkStart w:id="26" w:name="members_travel"/>
      <w:r w:rsidRPr="00CD3A14">
        <w:t>Members Travel</w:t>
      </w:r>
      <w:bookmarkEnd w:id="26"/>
    </w:p>
    <w:p w:rsidR="00A60125" w:rsidRPr="00CD3A14" w:rsidRDefault="00A60125" w:rsidP="00A60125">
      <w:pPr>
        <w:pStyle w:val="AGRHeading3"/>
      </w:pPr>
      <w:r w:rsidRPr="00CD3A14">
        <w:t>Audit Objective and Scope</w:t>
      </w:r>
    </w:p>
    <w:p w:rsidR="00A60125" w:rsidRPr="00CD3A14" w:rsidRDefault="00A60125" w:rsidP="0013400B">
      <w:pPr>
        <w:pStyle w:val="AGRBodyText"/>
        <w:rPr>
          <w:noProof w:val="0"/>
          <w:lang w:val="en-AU"/>
        </w:rPr>
      </w:pPr>
      <w:r w:rsidRPr="00CD3A14">
        <w:rPr>
          <w:noProof w:val="0"/>
          <w:lang w:val="en-AU"/>
        </w:rPr>
        <w:t>The audit objective was to determine whether the administration of travel entitlements paid to the Members of the Legislative Assembly (other than Ministers and the Leader of Opposition) during the period 1 July 2014 to 31 December 2014 was in accordance with the Remuneration Tribunal Determination No.1 of 2013 (“the RTD”).</w:t>
      </w:r>
    </w:p>
    <w:p w:rsidR="00A60125" w:rsidRPr="00CD3A14" w:rsidRDefault="00A60125" w:rsidP="00A60125">
      <w:pPr>
        <w:pStyle w:val="AGRHeading3"/>
      </w:pPr>
      <w:r w:rsidRPr="00CD3A14">
        <w:t>Background</w:t>
      </w:r>
    </w:p>
    <w:p w:rsidR="00A60125" w:rsidRPr="00CD3A14" w:rsidRDefault="00A60125" w:rsidP="0013400B">
      <w:pPr>
        <w:pStyle w:val="AGRBodyText"/>
        <w:rPr>
          <w:noProof w:val="0"/>
          <w:lang w:val="en-AU"/>
        </w:rPr>
      </w:pPr>
      <w:r w:rsidRPr="00CD3A14">
        <w:rPr>
          <w:noProof w:val="0"/>
          <w:lang w:val="en-AU"/>
        </w:rPr>
        <w:t xml:space="preserve">The Department of the Legislative Assembly (“the Department”) provides operational support, services and professional advice to Northern Territory Legislative Assembly Members, including the administration of Members’ travel entitlements.  All travel for Members is recorded on the Members’ Entitlements Travel System (METS). </w:t>
      </w:r>
    </w:p>
    <w:p w:rsidR="00A60125" w:rsidRPr="00CD3A14" w:rsidRDefault="00A60125" w:rsidP="0013400B">
      <w:pPr>
        <w:pStyle w:val="AGRBodyText"/>
        <w:rPr>
          <w:noProof w:val="0"/>
          <w:lang w:val="en-AU"/>
        </w:rPr>
      </w:pPr>
      <w:r w:rsidRPr="00CD3A14">
        <w:rPr>
          <w:noProof w:val="0"/>
          <w:lang w:val="en-AU"/>
        </w:rPr>
        <w:t>This audit covered the payment of entitlements relating to travel undertaken during the period 1 July 2014 to 31 December 2014 and included travel by Members, Office Holders, spouses, nominees and dependent children as provided in the RTD.</w:t>
      </w:r>
    </w:p>
    <w:p w:rsidR="00A60125" w:rsidRPr="00CD3A14" w:rsidRDefault="00A60125" w:rsidP="0013400B">
      <w:pPr>
        <w:pStyle w:val="AGRBodyText"/>
        <w:rPr>
          <w:noProof w:val="0"/>
          <w:lang w:val="en-AU"/>
        </w:rPr>
      </w:pPr>
      <w:r w:rsidRPr="00CD3A14">
        <w:rPr>
          <w:noProof w:val="0"/>
          <w:lang w:val="en-AU"/>
        </w:rPr>
        <w:t xml:space="preserve">Travel undertaken by Members of the Legislative Assembly, in their capacity as Ministers is administered by the Department of Chief Minister (“DCM”) except where the purpose of travel is under Clause 3.1 (c) and Clause 4 of the RTD. This particular travel is paid by DCM and, following the completion of the travel, DCM recharges the costs of travel to the Department which is recorded in METS maintained by the </w:t>
      </w:r>
      <w:r w:rsidR="004B1F76" w:rsidRPr="00CD3A14">
        <w:rPr>
          <w:noProof w:val="0"/>
          <w:lang w:val="en-AU"/>
        </w:rPr>
        <w:t>Department of the Legislative Assembly</w:t>
      </w:r>
      <w:r w:rsidRPr="00CD3A14">
        <w:rPr>
          <w:noProof w:val="0"/>
          <w:lang w:val="en-AU"/>
        </w:rPr>
        <w:t xml:space="preserve">. </w:t>
      </w:r>
    </w:p>
    <w:p w:rsidR="00A60125" w:rsidRPr="00CD3A14" w:rsidRDefault="00A60125" w:rsidP="0013400B">
      <w:pPr>
        <w:pStyle w:val="AGRBodyText"/>
        <w:rPr>
          <w:noProof w:val="0"/>
          <w:lang w:val="en-AU"/>
        </w:rPr>
      </w:pPr>
      <w:r w:rsidRPr="00CD3A14">
        <w:rPr>
          <w:noProof w:val="0"/>
          <w:lang w:val="en-AU"/>
        </w:rPr>
        <w:t>The Twelfth Legislative Assembly was elected on 25 August 2012 and it forms the current Legislative Assembly.  25 travel entitlements were selected for this audit (that is – one travel entitlement per Member) from the ‘Legislative Assembly – Members Entitlements Travel Report’ from 1</w:t>
      </w:r>
      <w:r w:rsidR="0047417B" w:rsidRPr="00CD3A14">
        <w:rPr>
          <w:noProof w:val="0"/>
          <w:lang w:val="en-AU"/>
        </w:rPr>
        <w:t xml:space="preserve"> July 2014 to 31 December 2014.</w:t>
      </w:r>
    </w:p>
    <w:p w:rsidR="00A60125" w:rsidRPr="00CD3A14" w:rsidRDefault="00A60125" w:rsidP="00A60125">
      <w:pPr>
        <w:pStyle w:val="AGRHeading1"/>
      </w:pPr>
      <w:r w:rsidRPr="00CD3A14">
        <w:t xml:space="preserve">Department of the Legislative Assembly </w:t>
      </w:r>
      <w:proofErr w:type="spellStart"/>
      <w:r w:rsidRPr="00CD3A14">
        <w:t>cont</w:t>
      </w:r>
      <w:proofErr w:type="spellEnd"/>
      <w:r w:rsidRPr="00CD3A14">
        <w:t>…</w:t>
      </w:r>
    </w:p>
    <w:p w:rsidR="00A60125" w:rsidRPr="00CD3A14" w:rsidRDefault="00A60125" w:rsidP="00A60125">
      <w:pPr>
        <w:pStyle w:val="AGRHeading3"/>
      </w:pPr>
      <w:r w:rsidRPr="00CD3A14">
        <w:t>Key Findings</w:t>
      </w:r>
    </w:p>
    <w:p w:rsidR="00A60125" w:rsidRPr="00CD3A14" w:rsidRDefault="00A60125" w:rsidP="0013400B">
      <w:pPr>
        <w:pStyle w:val="AGRBodyText"/>
        <w:rPr>
          <w:noProof w:val="0"/>
          <w:lang w:val="en-AU"/>
        </w:rPr>
      </w:pPr>
      <w:r w:rsidRPr="00CD3A14">
        <w:rPr>
          <w:noProof w:val="0"/>
          <w:lang w:val="en-AU"/>
        </w:rPr>
        <w:t>During the audit the following issues were noted:</w:t>
      </w:r>
    </w:p>
    <w:p w:rsidR="00A60125" w:rsidRPr="00CD3A14" w:rsidRDefault="00A60125" w:rsidP="0013400B">
      <w:pPr>
        <w:pStyle w:val="AGRBulletText"/>
        <w:rPr>
          <w:noProof w:val="0"/>
          <w:lang w:val="en-AU"/>
        </w:rPr>
      </w:pPr>
      <w:r w:rsidRPr="00CD3A14">
        <w:rPr>
          <w:noProof w:val="0"/>
          <w:lang w:val="en-AU"/>
        </w:rPr>
        <w:t>Travelling allowance was paid</w:t>
      </w:r>
      <w:r w:rsidR="007F434C" w:rsidRPr="00CD3A14">
        <w:rPr>
          <w:noProof w:val="0"/>
          <w:lang w:val="en-AU"/>
        </w:rPr>
        <w:t xml:space="preserve"> for an accompanying person</w:t>
      </w:r>
      <w:r w:rsidRPr="00CD3A14">
        <w:rPr>
          <w:noProof w:val="0"/>
          <w:lang w:val="en-AU"/>
        </w:rPr>
        <w:t xml:space="preserve"> when </w:t>
      </w:r>
      <w:r w:rsidR="007F434C" w:rsidRPr="00CD3A14">
        <w:rPr>
          <w:noProof w:val="0"/>
          <w:lang w:val="en-AU"/>
        </w:rPr>
        <w:t>no entitlement existed</w:t>
      </w:r>
      <w:r w:rsidRPr="00CD3A14">
        <w:rPr>
          <w:noProof w:val="0"/>
          <w:lang w:val="en-AU"/>
        </w:rPr>
        <w:t>.</w:t>
      </w:r>
    </w:p>
    <w:p w:rsidR="00A60125" w:rsidRPr="00CD3A14" w:rsidRDefault="00A60125" w:rsidP="0013400B">
      <w:pPr>
        <w:pStyle w:val="AGRBulletText"/>
        <w:rPr>
          <w:noProof w:val="0"/>
          <w:lang w:val="en-AU"/>
        </w:rPr>
      </w:pPr>
      <w:r w:rsidRPr="00CD3A14">
        <w:rPr>
          <w:noProof w:val="0"/>
          <w:lang w:val="en-AU"/>
        </w:rPr>
        <w:t xml:space="preserve">There were two instances noted where the Member(s) did not prepare and deliver a report to the Speaker within 90 days </w:t>
      </w:r>
      <w:r w:rsidR="004E5F31">
        <w:rPr>
          <w:noProof w:val="0"/>
          <w:lang w:val="en-AU"/>
        </w:rPr>
        <w:t>of the completion of the travel.</w:t>
      </w:r>
    </w:p>
    <w:p w:rsidR="00A60125" w:rsidRPr="00CD3A14" w:rsidRDefault="00A60125" w:rsidP="0013400B">
      <w:pPr>
        <w:pStyle w:val="AGRBulletText"/>
        <w:rPr>
          <w:noProof w:val="0"/>
          <w:lang w:val="en-AU"/>
        </w:rPr>
      </w:pPr>
      <w:r w:rsidRPr="00CD3A14">
        <w:rPr>
          <w:noProof w:val="0"/>
          <w:lang w:val="en-AU"/>
        </w:rPr>
        <w:t>Four instances were noted where the report provided by the Member(s) to the Speaker did not contain all the information or details required.</w:t>
      </w:r>
    </w:p>
    <w:p w:rsidR="00A60125" w:rsidRPr="00CD3A14" w:rsidRDefault="00A60125" w:rsidP="0013400B">
      <w:pPr>
        <w:pStyle w:val="AGRBulletText"/>
        <w:rPr>
          <w:noProof w:val="0"/>
          <w:lang w:val="en-AU"/>
        </w:rPr>
      </w:pPr>
      <w:r w:rsidRPr="00CD3A14">
        <w:rPr>
          <w:noProof w:val="0"/>
          <w:lang w:val="en-AU"/>
        </w:rPr>
        <w:t>A number of the clauses of the RTD require review and possible revision in order to reflect more accurately the intention of the Tribunal and to remove possible inconsistencies or uncertainties.</w:t>
      </w:r>
    </w:p>
    <w:p w:rsidR="00A60125" w:rsidRPr="00CD3A14" w:rsidRDefault="00A60125" w:rsidP="0013400B">
      <w:pPr>
        <w:pStyle w:val="AGRBodyText"/>
        <w:rPr>
          <w:noProof w:val="0"/>
          <w:lang w:val="en-AU"/>
        </w:rPr>
      </w:pPr>
    </w:p>
    <w:p w:rsidR="008F3751" w:rsidRPr="00CD3A14" w:rsidRDefault="008F3751" w:rsidP="008F3751">
      <w:pPr>
        <w:pStyle w:val="AGRHeading1"/>
      </w:pPr>
      <w:r w:rsidRPr="00CD3A14">
        <w:t xml:space="preserve">Department of </w:t>
      </w:r>
      <w:r>
        <w:t xml:space="preserve">the Legislative Assembly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Legislative Assembly has commented:</w:t>
            </w:r>
          </w:p>
        </w:tc>
      </w:tr>
      <w:tr w:rsidR="008F3751" w:rsidRPr="0018172D" w:rsidTr="008F3751">
        <w:tc>
          <w:tcPr>
            <w:tcW w:w="8151" w:type="dxa"/>
            <w:shd w:val="clear" w:color="auto" w:fill="F2F2F2" w:themeFill="background1" w:themeFillShade="F2"/>
          </w:tcPr>
          <w:p w:rsidR="008F3751" w:rsidRPr="0018172D" w:rsidRDefault="00164ABE" w:rsidP="008F3751">
            <w:pPr>
              <w:pStyle w:val="StyleAGRBodyCommentJustifiedLeft0cmPatternClearBa"/>
              <w:rPr>
                <w:sz w:val="21"/>
                <w:szCs w:val="21"/>
              </w:rPr>
            </w:pPr>
            <w:r w:rsidRPr="00164ABE">
              <w:rPr>
                <w:sz w:val="21"/>
                <w:szCs w:val="21"/>
              </w:rPr>
              <w:t>The Department of the Legislative Assembly accepts the findings of this audit and has made systems changes to help prevent the issues identified arising in future. The payment of an allowance without entitlement arose from an administrative error where a staff member did not take into account recent clarification by the Remuneration Tribunal of the allowances payable under the Determination. Staff training has been improved to address this. The Members’ Entitlements Travel System has been modified to provide monthly reminders to Members on travel report requirements. The Department is continuing to liaise with the Tribunal to address any possible inconsistencies or uncertainties wi</w:t>
            </w:r>
            <w:r>
              <w:rPr>
                <w:sz w:val="21"/>
                <w:szCs w:val="21"/>
              </w:rPr>
              <w:t>th the Tribunal’s Determination</w:t>
            </w:r>
            <w:r w:rsidR="001B53D2" w:rsidRPr="0018172D">
              <w:rPr>
                <w:sz w:val="21"/>
                <w:szCs w:val="21"/>
              </w:rPr>
              <w:t>.</w:t>
            </w:r>
          </w:p>
        </w:tc>
      </w:tr>
    </w:tbl>
    <w:p w:rsidR="00A60125" w:rsidRPr="00CD3A14" w:rsidRDefault="00A60125" w:rsidP="0013400B">
      <w:pPr>
        <w:pStyle w:val="AGRBodyText"/>
        <w:rPr>
          <w:noProof w:val="0"/>
          <w:lang w:val="en-AU"/>
        </w:rPr>
      </w:pPr>
    </w:p>
    <w:p w:rsidR="00A60125" w:rsidRPr="00CD3A14" w:rsidRDefault="00A60125" w:rsidP="0013400B">
      <w:pPr>
        <w:pStyle w:val="AGRBodyText"/>
        <w:rPr>
          <w:noProof w:val="0"/>
          <w:lang w:val="en-AU"/>
        </w:rPr>
      </w:pPr>
    </w:p>
    <w:p w:rsidR="005D71CD" w:rsidRPr="00CD3A14" w:rsidRDefault="00A24915" w:rsidP="00C67DA8">
      <w:pPr>
        <w:pStyle w:val="AGRHeading1"/>
      </w:pPr>
      <w:bookmarkStart w:id="27" w:name="menzies"/>
      <w:r w:rsidRPr="00CD3A14">
        <w:t>Menzies School of Health Research</w:t>
      </w:r>
      <w:bookmarkEnd w:id="27"/>
    </w:p>
    <w:p w:rsidR="005D71CD" w:rsidRPr="00CD3A14" w:rsidRDefault="00504E2B" w:rsidP="005D71CD">
      <w:pPr>
        <w:pStyle w:val="AGRHeading2"/>
      </w:pPr>
      <w:bookmarkStart w:id="28" w:name="menzies_audit_title"/>
      <w:r w:rsidRPr="00CD3A14">
        <w:t>Audit findings and a</w:t>
      </w:r>
      <w:r w:rsidR="005D71CD" w:rsidRPr="00CD3A14">
        <w:t xml:space="preserve">nalysis of the financial statements for the year ended </w:t>
      </w:r>
      <w:r w:rsidR="00C64B1A" w:rsidRPr="00CD3A14">
        <w:t>31 December 2014</w:t>
      </w:r>
      <w:bookmarkEnd w:id="28"/>
    </w:p>
    <w:p w:rsidR="005D71CD" w:rsidRPr="00CD3A14" w:rsidRDefault="005D71CD" w:rsidP="00C708C3">
      <w:pPr>
        <w:pStyle w:val="AGRHeading3"/>
      </w:pPr>
      <w:r w:rsidRPr="00CD3A14">
        <w:t>Background</w:t>
      </w:r>
    </w:p>
    <w:p w:rsidR="003D7933" w:rsidRPr="00CD3A14" w:rsidRDefault="003D7933" w:rsidP="0013400B">
      <w:pPr>
        <w:pStyle w:val="AGRBodyText"/>
        <w:rPr>
          <w:noProof w:val="0"/>
          <w:lang w:val="en-AU"/>
        </w:rPr>
      </w:pPr>
      <w:r w:rsidRPr="00CD3A14">
        <w:rPr>
          <w:noProof w:val="0"/>
          <w:lang w:val="en-AU"/>
        </w:rPr>
        <w:t xml:space="preserve">The </w:t>
      </w:r>
      <w:r w:rsidR="006D494A" w:rsidRPr="00CD3A14">
        <w:rPr>
          <w:noProof w:val="0"/>
          <w:lang w:val="en-AU"/>
        </w:rPr>
        <w:t>Menzies School of Health Research (the School)</w:t>
      </w:r>
      <w:r w:rsidRPr="00CD3A14">
        <w:rPr>
          <w:noProof w:val="0"/>
          <w:lang w:val="en-AU"/>
        </w:rPr>
        <w:t xml:space="preserve"> </w:t>
      </w:r>
      <w:r w:rsidR="00DA7825" w:rsidRPr="00CD3A14">
        <w:rPr>
          <w:noProof w:val="0"/>
          <w:lang w:val="en-AU"/>
        </w:rPr>
        <w:t>i</w:t>
      </w:r>
      <w:r w:rsidR="00205581" w:rsidRPr="00CD3A14">
        <w:rPr>
          <w:noProof w:val="0"/>
          <w:lang w:val="en-AU"/>
        </w:rPr>
        <w:t xml:space="preserve">s </w:t>
      </w:r>
      <w:r w:rsidRPr="00CD3A14">
        <w:rPr>
          <w:noProof w:val="0"/>
          <w:lang w:val="en-AU"/>
        </w:rPr>
        <w:t xml:space="preserve">established under the </w:t>
      </w:r>
      <w:r w:rsidRPr="00CD3A14">
        <w:rPr>
          <w:i/>
          <w:noProof w:val="0"/>
          <w:lang w:val="en-AU"/>
        </w:rPr>
        <w:t>Menzies School of Health Research Act</w:t>
      </w:r>
      <w:r w:rsidRPr="00CD3A14">
        <w:rPr>
          <w:noProof w:val="0"/>
          <w:lang w:val="en-AU"/>
        </w:rPr>
        <w:t xml:space="preserve"> in 1985 and operates as a medical research institute within the Northern Territory.  </w:t>
      </w:r>
      <w:r w:rsidR="006D494A" w:rsidRPr="00CD3A14">
        <w:rPr>
          <w:noProof w:val="0"/>
          <w:lang w:val="en-AU"/>
        </w:rPr>
        <w:t xml:space="preserve">The School </w:t>
      </w:r>
      <w:r w:rsidRPr="00CD3A14">
        <w:rPr>
          <w:noProof w:val="0"/>
          <w:lang w:val="en-AU"/>
        </w:rPr>
        <w:t xml:space="preserve">is </w:t>
      </w:r>
      <w:r w:rsidR="00205581" w:rsidRPr="00CD3A14">
        <w:rPr>
          <w:noProof w:val="0"/>
          <w:lang w:val="en-AU"/>
        </w:rPr>
        <w:t xml:space="preserve">deemed to be </w:t>
      </w:r>
      <w:r w:rsidRPr="00CD3A14">
        <w:rPr>
          <w:noProof w:val="0"/>
          <w:lang w:val="en-AU"/>
        </w:rPr>
        <w:t xml:space="preserve">controlled by Charles Darwin University </w:t>
      </w:r>
      <w:r w:rsidR="00205581" w:rsidRPr="00CD3A14">
        <w:rPr>
          <w:noProof w:val="0"/>
          <w:lang w:val="en-AU"/>
        </w:rPr>
        <w:t xml:space="preserve">by virtue </w:t>
      </w:r>
      <w:r w:rsidR="00640E17" w:rsidRPr="00CD3A14">
        <w:rPr>
          <w:noProof w:val="0"/>
          <w:lang w:val="en-AU"/>
        </w:rPr>
        <w:t>of Section</w:t>
      </w:r>
      <w:r w:rsidRPr="00CD3A14">
        <w:rPr>
          <w:noProof w:val="0"/>
          <w:lang w:val="en-AU"/>
        </w:rPr>
        <w:t xml:space="preserve"> 11(1) of the </w:t>
      </w:r>
      <w:r w:rsidR="00A93B97" w:rsidRPr="00CD3A14">
        <w:rPr>
          <w:noProof w:val="0"/>
          <w:lang w:val="en-AU"/>
        </w:rPr>
        <w:t>Act</w:t>
      </w:r>
      <w:r w:rsidRPr="00CD3A14">
        <w:rPr>
          <w:noProof w:val="0"/>
          <w:lang w:val="en-AU"/>
        </w:rPr>
        <w:t xml:space="preserve"> which specifies that </w:t>
      </w:r>
      <w:r w:rsidR="00205581" w:rsidRPr="00CD3A14">
        <w:rPr>
          <w:noProof w:val="0"/>
          <w:lang w:val="en-AU"/>
        </w:rPr>
        <w:t>the Vice</w:t>
      </w:r>
      <w:r w:rsidR="00F730E0" w:rsidRPr="00CD3A14">
        <w:rPr>
          <w:noProof w:val="0"/>
          <w:lang w:val="en-AU"/>
        </w:rPr>
        <w:t>-</w:t>
      </w:r>
      <w:r w:rsidR="00205581" w:rsidRPr="00CD3A14">
        <w:rPr>
          <w:noProof w:val="0"/>
          <w:lang w:val="en-AU"/>
        </w:rPr>
        <w:t xml:space="preserve">Chancellor and the Deputy </w:t>
      </w:r>
      <w:r w:rsidR="00F730E0" w:rsidRPr="00CD3A14">
        <w:rPr>
          <w:noProof w:val="0"/>
          <w:lang w:val="en-AU"/>
        </w:rPr>
        <w:t>Vice-Chancellor (Research) of the University</w:t>
      </w:r>
      <w:r w:rsidRPr="00CD3A14">
        <w:rPr>
          <w:noProof w:val="0"/>
          <w:lang w:val="en-AU"/>
        </w:rPr>
        <w:t xml:space="preserve"> will be </w:t>
      </w:r>
      <w:r w:rsidR="00A93B97" w:rsidRPr="00CD3A14">
        <w:rPr>
          <w:i/>
          <w:noProof w:val="0"/>
          <w:lang w:val="en-AU"/>
        </w:rPr>
        <w:t>ex officio</w:t>
      </w:r>
      <w:r w:rsidRPr="00CD3A14">
        <w:rPr>
          <w:noProof w:val="0"/>
          <w:lang w:val="en-AU"/>
        </w:rPr>
        <w:t xml:space="preserve"> members of the School’s Board, and through Section 11(2</w:t>
      </w:r>
      <w:proofErr w:type="gramStart"/>
      <w:r w:rsidRPr="00CD3A14">
        <w:rPr>
          <w:noProof w:val="0"/>
          <w:lang w:val="en-AU"/>
        </w:rPr>
        <w:t>)(</w:t>
      </w:r>
      <w:proofErr w:type="gramEnd"/>
      <w:r w:rsidRPr="00CD3A14">
        <w:rPr>
          <w:noProof w:val="0"/>
          <w:lang w:val="en-AU"/>
        </w:rPr>
        <w:t>d) which specifies that five of the ten persons appointed to the Board by the Administrator are appointed on the nomination of the University.</w:t>
      </w:r>
    </w:p>
    <w:p w:rsidR="00177BC6" w:rsidRPr="00CD3A14" w:rsidRDefault="00177BC6" w:rsidP="00C708C3">
      <w:pPr>
        <w:pStyle w:val="AGRHeading3"/>
      </w:pPr>
      <w:r w:rsidRPr="00CD3A14">
        <w:t>Audit Opinion</w:t>
      </w:r>
    </w:p>
    <w:p w:rsidR="00177BC6" w:rsidRPr="00CD3A14" w:rsidRDefault="00177BC6" w:rsidP="0013400B">
      <w:pPr>
        <w:pStyle w:val="AGRBodyText"/>
        <w:rPr>
          <w:noProof w:val="0"/>
          <w:lang w:val="en-AU"/>
        </w:rPr>
      </w:pPr>
      <w:r w:rsidRPr="00CD3A14">
        <w:rPr>
          <w:noProof w:val="0"/>
          <w:lang w:val="en-AU"/>
        </w:rPr>
        <w:t xml:space="preserve">The audit of the financial statements of Menzies School of Health Research for the year ended </w:t>
      </w:r>
      <w:r w:rsidR="00C64B1A" w:rsidRPr="00CD3A14">
        <w:rPr>
          <w:noProof w:val="0"/>
          <w:lang w:val="en-AU"/>
        </w:rPr>
        <w:t>31 December 2014</w:t>
      </w:r>
      <w:r w:rsidRPr="00CD3A14">
        <w:rPr>
          <w:noProof w:val="0"/>
          <w:lang w:val="en-AU"/>
        </w:rPr>
        <w:t xml:space="preserve"> resulted in an </w:t>
      </w:r>
      <w:r w:rsidR="006A1F59" w:rsidRPr="00CD3A14">
        <w:rPr>
          <w:noProof w:val="0"/>
          <w:lang w:val="en-AU"/>
        </w:rPr>
        <w:t>unmodified</w:t>
      </w:r>
      <w:r w:rsidRPr="00CD3A14">
        <w:rPr>
          <w:noProof w:val="0"/>
          <w:lang w:val="en-AU"/>
        </w:rPr>
        <w:t xml:space="preserve"> independent audit opinion, which was issued on </w:t>
      </w:r>
      <w:r w:rsidR="00FC4331" w:rsidRPr="00CD3A14">
        <w:rPr>
          <w:noProof w:val="0"/>
          <w:lang w:val="en-AU"/>
        </w:rPr>
        <w:t>27 April 2015</w:t>
      </w:r>
      <w:r w:rsidRPr="00CD3A14">
        <w:rPr>
          <w:noProof w:val="0"/>
          <w:lang w:val="en-AU"/>
        </w:rPr>
        <w:t>.</w:t>
      </w:r>
    </w:p>
    <w:p w:rsidR="005D71CD" w:rsidRPr="00CD3A14" w:rsidRDefault="005D71CD" w:rsidP="00C708C3">
      <w:pPr>
        <w:pStyle w:val="AGRHeading3"/>
      </w:pPr>
      <w:r w:rsidRPr="00CD3A14">
        <w:t xml:space="preserve">Key </w:t>
      </w:r>
      <w:r w:rsidR="00177BC6" w:rsidRPr="00CD3A14">
        <w:t>Findings</w:t>
      </w:r>
    </w:p>
    <w:p w:rsidR="00FC4331" w:rsidRPr="00CD3A14" w:rsidRDefault="00FC4331" w:rsidP="0013400B">
      <w:pPr>
        <w:pStyle w:val="AGRBodyText"/>
        <w:rPr>
          <w:noProof w:val="0"/>
          <w:lang w:val="en-AU"/>
        </w:rPr>
      </w:pPr>
      <w:r w:rsidRPr="00CD3A14">
        <w:rPr>
          <w:noProof w:val="0"/>
          <w:lang w:val="en-AU"/>
        </w:rPr>
        <w:t xml:space="preserve">Total income has decreased by $23.1 million this financial year.  This is predominantly due to Menzies receiving additional Australian Government funding </w:t>
      </w:r>
      <w:r w:rsidR="00297342" w:rsidRPr="00CD3A14">
        <w:rPr>
          <w:noProof w:val="0"/>
          <w:lang w:val="en-AU"/>
        </w:rPr>
        <w:t xml:space="preserve">during the prior year </w:t>
      </w:r>
      <w:r w:rsidRPr="00CD3A14">
        <w:rPr>
          <w:noProof w:val="0"/>
          <w:lang w:val="en-AU"/>
        </w:rPr>
        <w:t xml:space="preserve">for the construction of research and training facilities at Charles Darwin University and Royal Darwin Hospital </w:t>
      </w:r>
      <w:r w:rsidR="00BE0AA1" w:rsidRPr="00CD3A14">
        <w:rPr>
          <w:noProof w:val="0"/>
          <w:lang w:val="en-AU"/>
        </w:rPr>
        <w:t xml:space="preserve">(RDH) </w:t>
      </w:r>
      <w:r w:rsidRPr="00CD3A14">
        <w:rPr>
          <w:noProof w:val="0"/>
          <w:lang w:val="en-AU"/>
        </w:rPr>
        <w:t>and for refurbishing an existing Building at RDH</w:t>
      </w:r>
      <w:r w:rsidR="00297342" w:rsidRPr="00CD3A14">
        <w:rPr>
          <w:noProof w:val="0"/>
          <w:lang w:val="en-AU"/>
        </w:rPr>
        <w:t xml:space="preserve">. </w:t>
      </w:r>
      <w:r w:rsidRPr="00CD3A14">
        <w:rPr>
          <w:noProof w:val="0"/>
          <w:lang w:val="en-AU"/>
        </w:rPr>
        <w:t xml:space="preserve"> These projects are now complete. </w:t>
      </w:r>
    </w:p>
    <w:p w:rsidR="003B5514" w:rsidRPr="00CD3A14" w:rsidRDefault="00FC4331" w:rsidP="0013400B">
      <w:pPr>
        <w:pStyle w:val="AGRBodyText"/>
        <w:rPr>
          <w:noProof w:val="0"/>
          <w:lang w:val="en-AU"/>
        </w:rPr>
      </w:pPr>
      <w:r w:rsidRPr="00CD3A14">
        <w:rPr>
          <w:noProof w:val="0"/>
          <w:lang w:val="en-AU"/>
        </w:rPr>
        <w:t>The transfer of the building</w:t>
      </w:r>
      <w:r w:rsidR="00297342" w:rsidRPr="00CD3A14">
        <w:rPr>
          <w:noProof w:val="0"/>
          <w:lang w:val="en-AU"/>
        </w:rPr>
        <w:t xml:space="preserve"> located at RDH</w:t>
      </w:r>
      <w:r w:rsidRPr="00CD3A14">
        <w:rPr>
          <w:noProof w:val="0"/>
          <w:lang w:val="en-AU"/>
        </w:rPr>
        <w:t xml:space="preserve"> to the Department of Health, at no cost, generated a loss of economic benefit to Menzies. As part of Menzies lease agreement with the Department</w:t>
      </w:r>
      <w:r w:rsidR="00297342" w:rsidRPr="00CD3A14">
        <w:rPr>
          <w:noProof w:val="0"/>
          <w:lang w:val="en-AU"/>
        </w:rPr>
        <w:t xml:space="preserve"> of Health</w:t>
      </w:r>
      <w:r w:rsidRPr="00CD3A14">
        <w:rPr>
          <w:noProof w:val="0"/>
          <w:lang w:val="en-AU"/>
        </w:rPr>
        <w:t>, Menzies holds the right to use the building for a period of 20 years at peppercorn rent of $1 per annum.  Consequently Menzies has recognised an intangible asset representing the fair value of the prepaid rent of the building estimated to be $15.9 million.  The transfer of the building at i</w:t>
      </w:r>
      <w:r w:rsidR="008F3CFF" w:rsidRPr="00CD3A14">
        <w:rPr>
          <w:noProof w:val="0"/>
          <w:lang w:val="en-AU"/>
        </w:rPr>
        <w:t>t</w:t>
      </w:r>
      <w:r w:rsidRPr="00CD3A14">
        <w:rPr>
          <w:noProof w:val="0"/>
          <w:lang w:val="en-AU"/>
        </w:rPr>
        <w:t>s carrying amount of $19.8 million offset by recognition of the intangible asset of $15.9 million has resulted in a loss on disposal of assets of $3.8 million being</w:t>
      </w:r>
      <w:r w:rsidR="00124E31">
        <w:rPr>
          <w:noProof w:val="0"/>
          <w:lang w:val="en-AU"/>
        </w:rPr>
        <w:t xml:space="preserve"> recognised</w:t>
      </w:r>
      <w:r w:rsidRPr="00CD3A14">
        <w:rPr>
          <w:noProof w:val="0"/>
          <w:lang w:val="en-AU"/>
        </w:rPr>
        <w:t>.</w:t>
      </w:r>
    </w:p>
    <w:p w:rsidR="00357F87" w:rsidRPr="00CD3A14" w:rsidRDefault="00357F87" w:rsidP="00C67DA8">
      <w:pPr>
        <w:pStyle w:val="AGRHeading1"/>
      </w:pPr>
      <w:r w:rsidRPr="00CD3A14">
        <w:t xml:space="preserve">Menzies School of Health Research </w:t>
      </w:r>
      <w:proofErr w:type="spellStart"/>
      <w:r w:rsidRPr="00CD3A14">
        <w:t>cont</w:t>
      </w:r>
      <w:proofErr w:type="spellEnd"/>
      <w:r w:rsidRPr="00CD3A14">
        <w:t>…</w:t>
      </w:r>
    </w:p>
    <w:p w:rsidR="005D71CD" w:rsidRPr="00CD3A14" w:rsidRDefault="005602EC" w:rsidP="00C708C3">
      <w:pPr>
        <w:pStyle w:val="AGRHeading3"/>
      </w:pPr>
      <w:r w:rsidRPr="00CD3A14">
        <w:t>Financial Performance for the year</w:t>
      </w:r>
      <w:r w:rsidR="00D51577" w:rsidRPr="00CD3A14">
        <w:t xml:space="preserve"> ended </w:t>
      </w:r>
      <w:r w:rsidR="00C64B1A" w:rsidRPr="00CD3A14">
        <w:t>31 December 2014</w:t>
      </w:r>
    </w:p>
    <w:tbl>
      <w:tblPr>
        <w:tblW w:w="7371" w:type="dxa"/>
        <w:tblInd w:w="851" w:type="dxa"/>
        <w:tblLook w:val="01E0" w:firstRow="1" w:lastRow="1" w:firstColumn="1" w:lastColumn="1" w:noHBand="0" w:noVBand="0"/>
      </w:tblPr>
      <w:tblGrid>
        <w:gridCol w:w="4728"/>
        <w:gridCol w:w="1322"/>
        <w:gridCol w:w="1321"/>
      </w:tblGrid>
      <w:tr w:rsidR="005D71CD" w:rsidRPr="00CD3A14" w:rsidTr="002C0576">
        <w:tc>
          <w:tcPr>
            <w:tcW w:w="4728" w:type="dxa"/>
            <w:tcBorders>
              <w:bottom w:val="single" w:sz="4" w:space="0" w:color="auto"/>
            </w:tcBorders>
          </w:tcPr>
          <w:p w:rsidR="005D71CD" w:rsidRPr="00CD3A14" w:rsidRDefault="005D71CD" w:rsidP="002C0576">
            <w:pPr>
              <w:pStyle w:val="AGRTableText"/>
            </w:pPr>
          </w:p>
        </w:tc>
        <w:tc>
          <w:tcPr>
            <w:tcW w:w="1322" w:type="dxa"/>
            <w:tcBorders>
              <w:bottom w:val="single" w:sz="4" w:space="0" w:color="auto"/>
            </w:tcBorders>
          </w:tcPr>
          <w:p w:rsidR="005D71CD" w:rsidRPr="00CD3A14" w:rsidRDefault="00B745F2" w:rsidP="00417532">
            <w:pPr>
              <w:pStyle w:val="AGRTableText"/>
              <w:tabs>
                <w:tab w:val="center" w:pos="570"/>
              </w:tabs>
            </w:pPr>
            <w:r w:rsidRPr="00CD3A14">
              <w:tab/>
            </w:r>
            <w:r w:rsidR="00313635" w:rsidRPr="00CD3A14">
              <w:t>201</w:t>
            </w:r>
            <w:r w:rsidR="00417532" w:rsidRPr="00CD3A14">
              <w:t>4</w:t>
            </w:r>
          </w:p>
        </w:tc>
        <w:tc>
          <w:tcPr>
            <w:tcW w:w="1321" w:type="dxa"/>
            <w:tcBorders>
              <w:bottom w:val="single" w:sz="4" w:space="0" w:color="auto"/>
            </w:tcBorders>
          </w:tcPr>
          <w:p w:rsidR="005D71CD" w:rsidRPr="00CD3A14" w:rsidRDefault="00B745F2" w:rsidP="00417532">
            <w:pPr>
              <w:pStyle w:val="AGRTableText"/>
              <w:tabs>
                <w:tab w:val="center" w:pos="570"/>
              </w:tabs>
            </w:pPr>
            <w:r w:rsidRPr="00CD3A14">
              <w:tab/>
            </w:r>
            <w:r w:rsidR="00982C76" w:rsidRPr="00CD3A14">
              <w:t>201</w:t>
            </w:r>
            <w:r w:rsidR="00417532" w:rsidRPr="00CD3A14">
              <w:t>3</w:t>
            </w:r>
          </w:p>
        </w:tc>
      </w:tr>
      <w:tr w:rsidR="005D71CD" w:rsidRPr="00CD3A14" w:rsidTr="002C0576">
        <w:tc>
          <w:tcPr>
            <w:tcW w:w="4728" w:type="dxa"/>
            <w:tcBorders>
              <w:top w:val="single" w:sz="4" w:space="0" w:color="auto"/>
            </w:tcBorders>
          </w:tcPr>
          <w:p w:rsidR="005D71CD" w:rsidRPr="00CD3A14" w:rsidRDefault="005D71CD" w:rsidP="002C0576">
            <w:pPr>
              <w:pStyle w:val="AGRTableText"/>
            </w:pPr>
          </w:p>
        </w:tc>
        <w:tc>
          <w:tcPr>
            <w:tcW w:w="1322" w:type="dxa"/>
            <w:tcBorders>
              <w:top w:val="single" w:sz="4" w:space="0" w:color="auto"/>
            </w:tcBorders>
          </w:tcPr>
          <w:p w:rsidR="005D71CD" w:rsidRPr="00CD3A14" w:rsidRDefault="005D71CD" w:rsidP="002C0576">
            <w:pPr>
              <w:pStyle w:val="AGRTableText"/>
              <w:tabs>
                <w:tab w:val="center" w:pos="570"/>
              </w:tabs>
            </w:pPr>
            <w:r w:rsidRPr="00CD3A14">
              <w:tab/>
              <w:t>$’000</w:t>
            </w:r>
          </w:p>
        </w:tc>
        <w:tc>
          <w:tcPr>
            <w:tcW w:w="1321" w:type="dxa"/>
            <w:tcBorders>
              <w:top w:val="single" w:sz="4" w:space="0" w:color="auto"/>
            </w:tcBorders>
          </w:tcPr>
          <w:p w:rsidR="005D71CD" w:rsidRPr="00CD3A14" w:rsidRDefault="005D71CD" w:rsidP="002C0576">
            <w:pPr>
              <w:pStyle w:val="AGRTableText"/>
              <w:tabs>
                <w:tab w:val="center" w:pos="570"/>
              </w:tabs>
            </w:pPr>
            <w:r w:rsidRPr="00CD3A14">
              <w:tab/>
              <w:t>$’000</w:t>
            </w:r>
          </w:p>
        </w:tc>
      </w:tr>
      <w:tr w:rsidR="00417532" w:rsidRPr="00CD3A14" w:rsidTr="002C0576">
        <w:tc>
          <w:tcPr>
            <w:tcW w:w="4728" w:type="dxa"/>
            <w:tcBorders>
              <w:bottom w:val="single" w:sz="4" w:space="0" w:color="auto"/>
            </w:tcBorders>
          </w:tcPr>
          <w:p w:rsidR="00417532" w:rsidRPr="00CD3A14" w:rsidRDefault="00417532" w:rsidP="002C0576">
            <w:pPr>
              <w:pStyle w:val="AGRTableTextBold"/>
            </w:pPr>
            <w:r w:rsidRPr="00CD3A14">
              <w:t>Revenue from continuing operations</w:t>
            </w:r>
          </w:p>
        </w:tc>
        <w:tc>
          <w:tcPr>
            <w:tcW w:w="1322" w:type="dxa"/>
            <w:tcBorders>
              <w:bottom w:val="single" w:sz="4" w:space="0" w:color="auto"/>
            </w:tcBorders>
          </w:tcPr>
          <w:p w:rsidR="00417532" w:rsidRPr="00CD3A14" w:rsidRDefault="00FC4331" w:rsidP="002C0576">
            <w:pPr>
              <w:pStyle w:val="AGRTableNumbersBold"/>
            </w:pPr>
            <w:r w:rsidRPr="00CD3A14">
              <w:t>39,501</w:t>
            </w:r>
          </w:p>
        </w:tc>
        <w:tc>
          <w:tcPr>
            <w:tcW w:w="1321" w:type="dxa"/>
            <w:tcBorders>
              <w:bottom w:val="single" w:sz="4" w:space="0" w:color="auto"/>
            </w:tcBorders>
          </w:tcPr>
          <w:p w:rsidR="00417532" w:rsidRPr="00CD3A14" w:rsidRDefault="00417532" w:rsidP="008D0827">
            <w:pPr>
              <w:pStyle w:val="AGRTableNumbersBold"/>
            </w:pPr>
            <w:r w:rsidRPr="00CD3A14">
              <w:t>62,601</w:t>
            </w:r>
          </w:p>
        </w:tc>
      </w:tr>
      <w:tr w:rsidR="00417532" w:rsidRPr="00CD3A14" w:rsidTr="002C0576">
        <w:tc>
          <w:tcPr>
            <w:tcW w:w="4728" w:type="dxa"/>
            <w:tcBorders>
              <w:top w:val="single" w:sz="4" w:space="0" w:color="auto"/>
            </w:tcBorders>
          </w:tcPr>
          <w:p w:rsidR="00417532" w:rsidRPr="00CD3A14" w:rsidRDefault="00417532" w:rsidP="002C0576">
            <w:pPr>
              <w:pStyle w:val="AGRTableTextBold"/>
            </w:pPr>
            <w:r w:rsidRPr="00CD3A14">
              <w:t>Less expenses from ordinary activities</w:t>
            </w:r>
          </w:p>
        </w:tc>
        <w:tc>
          <w:tcPr>
            <w:tcW w:w="1322" w:type="dxa"/>
            <w:tcBorders>
              <w:top w:val="single" w:sz="4" w:space="0" w:color="auto"/>
            </w:tcBorders>
          </w:tcPr>
          <w:p w:rsidR="00417532" w:rsidRPr="00CD3A14" w:rsidRDefault="00417532" w:rsidP="002C0576">
            <w:pPr>
              <w:pStyle w:val="AGRTableText"/>
              <w:tabs>
                <w:tab w:val="decimal" w:pos="811"/>
              </w:tabs>
            </w:pPr>
          </w:p>
        </w:tc>
        <w:tc>
          <w:tcPr>
            <w:tcW w:w="1321" w:type="dxa"/>
            <w:tcBorders>
              <w:top w:val="single" w:sz="4" w:space="0" w:color="auto"/>
            </w:tcBorders>
          </w:tcPr>
          <w:p w:rsidR="00417532" w:rsidRPr="00CD3A14" w:rsidRDefault="00417532" w:rsidP="008D0827">
            <w:pPr>
              <w:pStyle w:val="AGRTableText"/>
              <w:tabs>
                <w:tab w:val="decimal" w:pos="811"/>
              </w:tabs>
            </w:pPr>
          </w:p>
        </w:tc>
      </w:tr>
      <w:tr w:rsidR="00417532" w:rsidRPr="00CD3A14" w:rsidTr="002C0576">
        <w:tc>
          <w:tcPr>
            <w:tcW w:w="4728" w:type="dxa"/>
          </w:tcPr>
          <w:p w:rsidR="00417532" w:rsidRPr="00CD3A14" w:rsidRDefault="00417532" w:rsidP="005F491D">
            <w:pPr>
              <w:pStyle w:val="AGRTableText"/>
            </w:pPr>
            <w:r w:rsidRPr="00CD3A14">
              <w:t>Employee expenses</w:t>
            </w:r>
          </w:p>
        </w:tc>
        <w:tc>
          <w:tcPr>
            <w:tcW w:w="1322" w:type="dxa"/>
          </w:tcPr>
          <w:p w:rsidR="00417532" w:rsidRPr="00CD3A14" w:rsidRDefault="00FC4331" w:rsidP="00982C76">
            <w:pPr>
              <w:pStyle w:val="AGRTableNumbers"/>
            </w:pPr>
            <w:r w:rsidRPr="00CD3A14">
              <w:t>(23,339)</w:t>
            </w:r>
          </w:p>
        </w:tc>
        <w:tc>
          <w:tcPr>
            <w:tcW w:w="1321" w:type="dxa"/>
          </w:tcPr>
          <w:p w:rsidR="00417532" w:rsidRPr="00CD3A14" w:rsidRDefault="00417532" w:rsidP="008D0827">
            <w:pPr>
              <w:pStyle w:val="AGRTableNumbers"/>
            </w:pPr>
            <w:r w:rsidRPr="00CD3A14">
              <w:t>(24,008)</w:t>
            </w:r>
          </w:p>
        </w:tc>
      </w:tr>
      <w:tr w:rsidR="00417532" w:rsidRPr="00CD3A14" w:rsidTr="002C0576">
        <w:tc>
          <w:tcPr>
            <w:tcW w:w="4728" w:type="dxa"/>
          </w:tcPr>
          <w:p w:rsidR="00417532" w:rsidRPr="00CD3A14" w:rsidRDefault="00417532" w:rsidP="002C0576">
            <w:pPr>
              <w:pStyle w:val="AGRTableText"/>
            </w:pPr>
            <w:r w:rsidRPr="00CD3A14">
              <w:t>Administration, operational and other expenses</w:t>
            </w:r>
          </w:p>
        </w:tc>
        <w:tc>
          <w:tcPr>
            <w:tcW w:w="1322" w:type="dxa"/>
          </w:tcPr>
          <w:p w:rsidR="00417532" w:rsidRPr="00CD3A14" w:rsidRDefault="00FC4331" w:rsidP="00982C76">
            <w:pPr>
              <w:pStyle w:val="AGRTableText"/>
              <w:tabs>
                <w:tab w:val="decimal" w:pos="811"/>
              </w:tabs>
            </w:pPr>
            <w:r w:rsidRPr="00CD3A14">
              <w:t>(14,564)</w:t>
            </w:r>
          </w:p>
        </w:tc>
        <w:tc>
          <w:tcPr>
            <w:tcW w:w="1321" w:type="dxa"/>
          </w:tcPr>
          <w:p w:rsidR="00417532" w:rsidRPr="00CD3A14" w:rsidRDefault="00417532" w:rsidP="008D0827">
            <w:pPr>
              <w:pStyle w:val="AGRTableText"/>
              <w:tabs>
                <w:tab w:val="decimal" w:pos="811"/>
              </w:tabs>
            </w:pPr>
            <w:r w:rsidRPr="00CD3A14">
              <w:t>(14,915)</w:t>
            </w:r>
          </w:p>
        </w:tc>
      </w:tr>
      <w:tr w:rsidR="00417532" w:rsidRPr="00CD3A14" w:rsidTr="002C0576">
        <w:tc>
          <w:tcPr>
            <w:tcW w:w="4728" w:type="dxa"/>
            <w:tcBorders>
              <w:bottom w:val="single" w:sz="4" w:space="0" w:color="auto"/>
            </w:tcBorders>
          </w:tcPr>
          <w:p w:rsidR="00417532" w:rsidRPr="00CD3A14" w:rsidRDefault="00417532" w:rsidP="002C0576">
            <w:pPr>
              <w:pStyle w:val="AGRTableTextBold"/>
            </w:pPr>
            <w:r w:rsidRPr="00CD3A14">
              <w:t>Total expenses from ordinary activities</w:t>
            </w:r>
          </w:p>
        </w:tc>
        <w:tc>
          <w:tcPr>
            <w:tcW w:w="1322" w:type="dxa"/>
            <w:tcBorders>
              <w:bottom w:val="single" w:sz="4" w:space="0" w:color="auto"/>
            </w:tcBorders>
          </w:tcPr>
          <w:p w:rsidR="00417532" w:rsidRPr="00CD3A14" w:rsidRDefault="00FC4331" w:rsidP="001F7495">
            <w:pPr>
              <w:pStyle w:val="AGRTableNumbersBold"/>
            </w:pPr>
            <w:r w:rsidRPr="00CD3A14">
              <w:t>(37,903)</w:t>
            </w:r>
          </w:p>
        </w:tc>
        <w:tc>
          <w:tcPr>
            <w:tcW w:w="1321" w:type="dxa"/>
            <w:tcBorders>
              <w:bottom w:val="single" w:sz="4" w:space="0" w:color="auto"/>
            </w:tcBorders>
          </w:tcPr>
          <w:p w:rsidR="00417532" w:rsidRPr="00CD3A14" w:rsidRDefault="00417532" w:rsidP="008D0827">
            <w:pPr>
              <w:pStyle w:val="AGRTableNumbersBold"/>
            </w:pPr>
            <w:r w:rsidRPr="00CD3A14">
              <w:t>(38,923)</w:t>
            </w:r>
          </w:p>
        </w:tc>
      </w:tr>
      <w:tr w:rsidR="00417532" w:rsidRPr="00CD3A14" w:rsidTr="002C0576">
        <w:tc>
          <w:tcPr>
            <w:tcW w:w="4728" w:type="dxa"/>
            <w:tcBorders>
              <w:bottom w:val="single" w:sz="4" w:space="0" w:color="auto"/>
            </w:tcBorders>
          </w:tcPr>
          <w:p w:rsidR="00417532" w:rsidRPr="00CD3A14" w:rsidRDefault="00417532" w:rsidP="003D7933">
            <w:pPr>
              <w:pStyle w:val="AGRTableTextBold"/>
            </w:pPr>
            <w:r w:rsidRPr="00CD3A14">
              <w:t>Net operating result for the year</w:t>
            </w:r>
          </w:p>
        </w:tc>
        <w:tc>
          <w:tcPr>
            <w:tcW w:w="1322" w:type="dxa"/>
            <w:tcBorders>
              <w:bottom w:val="single" w:sz="4" w:space="0" w:color="auto"/>
            </w:tcBorders>
          </w:tcPr>
          <w:p w:rsidR="00417532" w:rsidRPr="00CD3A14" w:rsidRDefault="00FC4331" w:rsidP="00172314">
            <w:pPr>
              <w:pStyle w:val="AGRTableNumbersBold"/>
            </w:pPr>
            <w:r w:rsidRPr="00CD3A14">
              <w:t>(1,598)</w:t>
            </w:r>
          </w:p>
        </w:tc>
        <w:tc>
          <w:tcPr>
            <w:tcW w:w="1321" w:type="dxa"/>
            <w:tcBorders>
              <w:bottom w:val="single" w:sz="4" w:space="0" w:color="auto"/>
            </w:tcBorders>
          </w:tcPr>
          <w:p w:rsidR="00417532" w:rsidRPr="00CD3A14" w:rsidRDefault="00417532" w:rsidP="008D0827">
            <w:pPr>
              <w:pStyle w:val="AGRTableNumbersBold"/>
            </w:pPr>
            <w:r w:rsidRPr="00CD3A14">
              <w:t>23,678</w:t>
            </w:r>
          </w:p>
        </w:tc>
      </w:tr>
    </w:tbl>
    <w:p w:rsidR="008F3CFF" w:rsidRPr="00CD3A14" w:rsidRDefault="008F3CFF" w:rsidP="0013400B">
      <w:pPr>
        <w:pStyle w:val="AGRBodyText"/>
        <w:rPr>
          <w:noProof w:val="0"/>
          <w:lang w:val="en-AU"/>
        </w:rPr>
      </w:pPr>
    </w:p>
    <w:p w:rsidR="008F3CFF" w:rsidRPr="00CD3A14" w:rsidRDefault="008F3CFF" w:rsidP="0013400B">
      <w:pPr>
        <w:pStyle w:val="AGRBodyText"/>
        <w:rPr>
          <w:noProof w:val="0"/>
          <w:lang w:val="en-AU"/>
        </w:rPr>
      </w:pPr>
    </w:p>
    <w:p w:rsidR="00B74230" w:rsidRPr="00CD3A14" w:rsidRDefault="00B74230" w:rsidP="00C67DA8">
      <w:pPr>
        <w:pStyle w:val="AGRHeading1"/>
      </w:pPr>
      <w:r w:rsidRPr="00CD3A14">
        <w:t xml:space="preserve">Menzies School of Health Research </w:t>
      </w:r>
      <w:proofErr w:type="spellStart"/>
      <w:r w:rsidRPr="00CD3A14">
        <w:t>cont</w:t>
      </w:r>
      <w:proofErr w:type="spellEnd"/>
      <w:r w:rsidRPr="00CD3A14">
        <w:t>…</w:t>
      </w:r>
    </w:p>
    <w:p w:rsidR="00B74230" w:rsidRPr="00CD3A14" w:rsidRDefault="005602EC" w:rsidP="00C708C3">
      <w:pPr>
        <w:pStyle w:val="AGRHeading3"/>
      </w:pPr>
      <w:r w:rsidRPr="00CD3A14">
        <w:t xml:space="preserve">Financial Position </w:t>
      </w:r>
      <w:r w:rsidR="00D51577" w:rsidRPr="00CD3A14">
        <w:t xml:space="preserve">as </w:t>
      </w:r>
      <w:r w:rsidRPr="00CD3A14">
        <w:t xml:space="preserve">at </w:t>
      </w:r>
      <w:r w:rsidR="00C64B1A" w:rsidRPr="00CD3A14">
        <w:t>31 December 2014</w:t>
      </w:r>
    </w:p>
    <w:tbl>
      <w:tblPr>
        <w:tblW w:w="7371" w:type="dxa"/>
        <w:tblInd w:w="851" w:type="dxa"/>
        <w:tblLook w:val="01E0" w:firstRow="1" w:lastRow="1" w:firstColumn="1" w:lastColumn="1" w:noHBand="0" w:noVBand="0"/>
      </w:tblPr>
      <w:tblGrid>
        <w:gridCol w:w="4728"/>
        <w:gridCol w:w="1322"/>
        <w:gridCol w:w="1321"/>
      </w:tblGrid>
      <w:tr w:rsidR="00B74230" w:rsidRPr="00CD3A14" w:rsidTr="00B74230">
        <w:tc>
          <w:tcPr>
            <w:tcW w:w="4728" w:type="dxa"/>
            <w:tcBorders>
              <w:bottom w:val="single" w:sz="4" w:space="0" w:color="auto"/>
            </w:tcBorders>
          </w:tcPr>
          <w:p w:rsidR="00B74230" w:rsidRPr="00CD3A14" w:rsidRDefault="00B74230" w:rsidP="00B74230">
            <w:pPr>
              <w:pStyle w:val="AGRTableText"/>
            </w:pPr>
          </w:p>
        </w:tc>
        <w:tc>
          <w:tcPr>
            <w:tcW w:w="1322" w:type="dxa"/>
            <w:tcBorders>
              <w:bottom w:val="single" w:sz="4" w:space="0" w:color="auto"/>
            </w:tcBorders>
          </w:tcPr>
          <w:p w:rsidR="00B74230" w:rsidRPr="00CD3A14" w:rsidRDefault="00B745F2" w:rsidP="00417532">
            <w:pPr>
              <w:pStyle w:val="AGRTableText"/>
              <w:tabs>
                <w:tab w:val="center" w:pos="570"/>
              </w:tabs>
            </w:pPr>
            <w:r w:rsidRPr="00CD3A14">
              <w:tab/>
            </w:r>
            <w:r w:rsidR="00313635" w:rsidRPr="00CD3A14">
              <w:t>201</w:t>
            </w:r>
            <w:r w:rsidR="00417532" w:rsidRPr="00CD3A14">
              <w:t>4</w:t>
            </w:r>
          </w:p>
        </w:tc>
        <w:tc>
          <w:tcPr>
            <w:tcW w:w="1321" w:type="dxa"/>
            <w:tcBorders>
              <w:bottom w:val="single" w:sz="4" w:space="0" w:color="auto"/>
            </w:tcBorders>
          </w:tcPr>
          <w:p w:rsidR="00B74230" w:rsidRPr="00CD3A14" w:rsidRDefault="00B74230" w:rsidP="00417532">
            <w:pPr>
              <w:pStyle w:val="AGRTableText"/>
              <w:tabs>
                <w:tab w:val="center" w:pos="570"/>
              </w:tabs>
            </w:pPr>
            <w:r w:rsidRPr="00CD3A14">
              <w:tab/>
            </w:r>
            <w:r w:rsidR="00982C76" w:rsidRPr="00CD3A14">
              <w:t>201</w:t>
            </w:r>
            <w:r w:rsidR="00417532" w:rsidRPr="00CD3A14">
              <w:t>3</w:t>
            </w:r>
          </w:p>
        </w:tc>
      </w:tr>
      <w:tr w:rsidR="00036669" w:rsidRPr="00CD3A14" w:rsidTr="00B74230">
        <w:tc>
          <w:tcPr>
            <w:tcW w:w="4728" w:type="dxa"/>
            <w:tcBorders>
              <w:top w:val="single" w:sz="4" w:space="0" w:color="auto"/>
            </w:tcBorders>
          </w:tcPr>
          <w:p w:rsidR="00036669" w:rsidRPr="00CD3A14" w:rsidRDefault="00036669" w:rsidP="00B74230">
            <w:pPr>
              <w:pStyle w:val="AGRTableText"/>
            </w:pPr>
          </w:p>
        </w:tc>
        <w:tc>
          <w:tcPr>
            <w:tcW w:w="1322" w:type="dxa"/>
            <w:tcBorders>
              <w:top w:val="single" w:sz="4" w:space="0" w:color="auto"/>
            </w:tcBorders>
          </w:tcPr>
          <w:p w:rsidR="00036669" w:rsidRPr="00CD3A14" w:rsidRDefault="00036669" w:rsidP="00B74230">
            <w:pPr>
              <w:pStyle w:val="AGRTableText"/>
              <w:tabs>
                <w:tab w:val="center" w:pos="570"/>
              </w:tabs>
            </w:pPr>
            <w:r w:rsidRPr="00CD3A14">
              <w:tab/>
              <w:t>$’000</w:t>
            </w:r>
          </w:p>
        </w:tc>
        <w:tc>
          <w:tcPr>
            <w:tcW w:w="1321" w:type="dxa"/>
            <w:tcBorders>
              <w:top w:val="single" w:sz="4" w:space="0" w:color="auto"/>
            </w:tcBorders>
          </w:tcPr>
          <w:p w:rsidR="00036669" w:rsidRPr="00CD3A14" w:rsidRDefault="00036669" w:rsidP="00B94157">
            <w:pPr>
              <w:pStyle w:val="AGRTableText"/>
              <w:tabs>
                <w:tab w:val="center" w:pos="570"/>
              </w:tabs>
            </w:pPr>
            <w:r w:rsidRPr="00CD3A14">
              <w:tab/>
              <w:t>$’000</w:t>
            </w:r>
          </w:p>
        </w:tc>
      </w:tr>
      <w:tr w:rsidR="00417532" w:rsidRPr="00CD3A14" w:rsidTr="00B74230">
        <w:tc>
          <w:tcPr>
            <w:tcW w:w="4728" w:type="dxa"/>
          </w:tcPr>
          <w:p w:rsidR="00417532" w:rsidRPr="00CD3A14" w:rsidRDefault="00417532" w:rsidP="00B74230">
            <w:pPr>
              <w:pStyle w:val="AGRTableText"/>
            </w:pPr>
            <w:r w:rsidRPr="00CD3A14">
              <w:t>Current assets</w:t>
            </w:r>
          </w:p>
        </w:tc>
        <w:tc>
          <w:tcPr>
            <w:tcW w:w="1322" w:type="dxa"/>
          </w:tcPr>
          <w:p w:rsidR="00417532" w:rsidRPr="00CD3A14" w:rsidRDefault="00FC4331" w:rsidP="00B74230">
            <w:pPr>
              <w:pStyle w:val="AGRTableNumbers"/>
            </w:pPr>
            <w:r w:rsidRPr="00CD3A14">
              <w:t>34,487</w:t>
            </w:r>
          </w:p>
        </w:tc>
        <w:tc>
          <w:tcPr>
            <w:tcW w:w="1321" w:type="dxa"/>
          </w:tcPr>
          <w:p w:rsidR="00417532" w:rsidRPr="00CD3A14" w:rsidRDefault="00417532" w:rsidP="008D0827">
            <w:pPr>
              <w:pStyle w:val="AGRTableNumbers"/>
            </w:pPr>
            <w:r w:rsidRPr="00CD3A14">
              <w:t>36,879</w:t>
            </w:r>
          </w:p>
        </w:tc>
      </w:tr>
      <w:tr w:rsidR="00417532" w:rsidRPr="00CD3A14" w:rsidTr="00B74230">
        <w:tc>
          <w:tcPr>
            <w:tcW w:w="4728" w:type="dxa"/>
          </w:tcPr>
          <w:p w:rsidR="00417532" w:rsidRPr="00CD3A14" w:rsidRDefault="00417532" w:rsidP="005F491D">
            <w:pPr>
              <w:pStyle w:val="AGRTableText"/>
            </w:pPr>
            <w:r w:rsidRPr="00CD3A14">
              <w:t>Less current liabilities</w:t>
            </w:r>
          </w:p>
        </w:tc>
        <w:tc>
          <w:tcPr>
            <w:tcW w:w="1322" w:type="dxa"/>
          </w:tcPr>
          <w:p w:rsidR="00417532" w:rsidRPr="00CD3A14" w:rsidRDefault="00FC4331" w:rsidP="00982C76">
            <w:pPr>
              <w:pStyle w:val="AGRTableText"/>
              <w:tabs>
                <w:tab w:val="decimal" w:pos="811"/>
              </w:tabs>
            </w:pPr>
            <w:r w:rsidRPr="00CD3A14">
              <w:t>(8,684)</w:t>
            </w:r>
          </w:p>
        </w:tc>
        <w:tc>
          <w:tcPr>
            <w:tcW w:w="1321" w:type="dxa"/>
          </w:tcPr>
          <w:p w:rsidR="00417532" w:rsidRPr="00CD3A14" w:rsidRDefault="00417532" w:rsidP="008D0827">
            <w:pPr>
              <w:pStyle w:val="AGRTableText"/>
              <w:tabs>
                <w:tab w:val="decimal" w:pos="811"/>
              </w:tabs>
            </w:pPr>
            <w:r w:rsidRPr="00CD3A14">
              <w:t>(5,554)</w:t>
            </w:r>
          </w:p>
        </w:tc>
      </w:tr>
      <w:tr w:rsidR="00417532" w:rsidRPr="00CD3A14" w:rsidTr="00B74230">
        <w:tc>
          <w:tcPr>
            <w:tcW w:w="4728" w:type="dxa"/>
            <w:tcBorders>
              <w:bottom w:val="single" w:sz="4" w:space="0" w:color="auto"/>
            </w:tcBorders>
          </w:tcPr>
          <w:p w:rsidR="00417532" w:rsidRPr="00CD3A14" w:rsidRDefault="00417532" w:rsidP="00B74230">
            <w:pPr>
              <w:pStyle w:val="AGRTableTextBold"/>
            </w:pPr>
            <w:r w:rsidRPr="00CD3A14">
              <w:t>Working capital</w:t>
            </w:r>
          </w:p>
        </w:tc>
        <w:tc>
          <w:tcPr>
            <w:tcW w:w="1322" w:type="dxa"/>
            <w:tcBorders>
              <w:bottom w:val="single" w:sz="4" w:space="0" w:color="auto"/>
            </w:tcBorders>
          </w:tcPr>
          <w:p w:rsidR="00417532" w:rsidRPr="00CD3A14" w:rsidRDefault="00FC4331" w:rsidP="00B74230">
            <w:pPr>
              <w:pStyle w:val="AGRTableNumbersBold"/>
            </w:pPr>
            <w:r w:rsidRPr="00CD3A14">
              <w:t>25</w:t>
            </w:r>
            <w:r w:rsidR="004B1F76">
              <w:t>,</w:t>
            </w:r>
            <w:r w:rsidRPr="00CD3A14">
              <w:t>830</w:t>
            </w:r>
          </w:p>
        </w:tc>
        <w:tc>
          <w:tcPr>
            <w:tcW w:w="1321" w:type="dxa"/>
            <w:tcBorders>
              <w:bottom w:val="single" w:sz="4" w:space="0" w:color="auto"/>
            </w:tcBorders>
          </w:tcPr>
          <w:p w:rsidR="00417532" w:rsidRPr="00CD3A14" w:rsidRDefault="00417532" w:rsidP="008D0827">
            <w:pPr>
              <w:pStyle w:val="AGRTableNumbersBold"/>
            </w:pPr>
            <w:r w:rsidRPr="00CD3A14">
              <w:t>31,325</w:t>
            </w:r>
          </w:p>
        </w:tc>
      </w:tr>
      <w:tr w:rsidR="00417532" w:rsidRPr="00CD3A14" w:rsidTr="00B74230">
        <w:tc>
          <w:tcPr>
            <w:tcW w:w="4728" w:type="dxa"/>
            <w:tcBorders>
              <w:top w:val="single" w:sz="4" w:space="0" w:color="auto"/>
            </w:tcBorders>
          </w:tcPr>
          <w:p w:rsidR="00417532" w:rsidRPr="00CD3A14" w:rsidRDefault="00417532" w:rsidP="005F491D">
            <w:pPr>
              <w:pStyle w:val="AGRTableText"/>
            </w:pPr>
            <w:r w:rsidRPr="00CD3A14">
              <w:t>Add non current assets</w:t>
            </w:r>
          </w:p>
        </w:tc>
        <w:tc>
          <w:tcPr>
            <w:tcW w:w="1322" w:type="dxa"/>
            <w:tcBorders>
              <w:top w:val="single" w:sz="4" w:space="0" w:color="auto"/>
            </w:tcBorders>
          </w:tcPr>
          <w:p w:rsidR="00417532" w:rsidRPr="00CD3A14" w:rsidRDefault="00FC4331" w:rsidP="00B74230">
            <w:pPr>
              <w:pStyle w:val="AGRTableText"/>
              <w:tabs>
                <w:tab w:val="decimal" w:pos="811"/>
              </w:tabs>
            </w:pPr>
            <w:r w:rsidRPr="00CD3A14">
              <w:t>26,249</w:t>
            </w:r>
          </w:p>
        </w:tc>
        <w:tc>
          <w:tcPr>
            <w:tcW w:w="1321" w:type="dxa"/>
            <w:tcBorders>
              <w:top w:val="single" w:sz="4" w:space="0" w:color="auto"/>
            </w:tcBorders>
          </w:tcPr>
          <w:p w:rsidR="00417532" w:rsidRPr="00CD3A14" w:rsidRDefault="00417532" w:rsidP="008D0827">
            <w:pPr>
              <w:pStyle w:val="AGRTableText"/>
              <w:tabs>
                <w:tab w:val="decimal" w:pos="811"/>
              </w:tabs>
            </w:pPr>
            <w:r w:rsidRPr="00CD3A14">
              <w:t>35,031</w:t>
            </w:r>
          </w:p>
        </w:tc>
      </w:tr>
      <w:tr w:rsidR="00417532" w:rsidRPr="00CD3A14" w:rsidTr="00B74230">
        <w:tc>
          <w:tcPr>
            <w:tcW w:w="4728" w:type="dxa"/>
          </w:tcPr>
          <w:p w:rsidR="00417532" w:rsidRPr="00CD3A14" w:rsidRDefault="00417532" w:rsidP="00B74230">
            <w:pPr>
              <w:pStyle w:val="AGRTableText"/>
            </w:pPr>
          </w:p>
        </w:tc>
        <w:tc>
          <w:tcPr>
            <w:tcW w:w="1322" w:type="dxa"/>
          </w:tcPr>
          <w:p w:rsidR="00417532" w:rsidRPr="00CD3A14" w:rsidRDefault="00FC4331" w:rsidP="00B74230">
            <w:pPr>
              <w:pStyle w:val="AGRTableNumbers"/>
            </w:pPr>
            <w:r w:rsidRPr="00CD3A14">
              <w:t>52,052</w:t>
            </w:r>
          </w:p>
        </w:tc>
        <w:tc>
          <w:tcPr>
            <w:tcW w:w="1321" w:type="dxa"/>
          </w:tcPr>
          <w:p w:rsidR="00417532" w:rsidRPr="00CD3A14" w:rsidRDefault="00417532" w:rsidP="008D0827">
            <w:pPr>
              <w:pStyle w:val="AGRTableNumbers"/>
            </w:pPr>
            <w:r w:rsidRPr="00CD3A14">
              <w:t>66,356</w:t>
            </w:r>
          </w:p>
        </w:tc>
      </w:tr>
      <w:tr w:rsidR="00417532" w:rsidRPr="00CD3A14" w:rsidTr="00B74230">
        <w:tc>
          <w:tcPr>
            <w:tcW w:w="4728" w:type="dxa"/>
          </w:tcPr>
          <w:p w:rsidR="00417532" w:rsidRPr="00CD3A14" w:rsidRDefault="00417532" w:rsidP="005F491D">
            <w:pPr>
              <w:pStyle w:val="AGRTableText"/>
            </w:pPr>
            <w:r w:rsidRPr="00CD3A14">
              <w:t>Less non current liabilities</w:t>
            </w:r>
          </w:p>
        </w:tc>
        <w:tc>
          <w:tcPr>
            <w:tcW w:w="1322" w:type="dxa"/>
          </w:tcPr>
          <w:p w:rsidR="00417532" w:rsidRPr="00CD3A14" w:rsidRDefault="00FC4331" w:rsidP="00982C76">
            <w:pPr>
              <w:pStyle w:val="AGRTableNumbers"/>
            </w:pPr>
            <w:r w:rsidRPr="00CD3A14">
              <w:t>(307)</w:t>
            </w:r>
          </w:p>
        </w:tc>
        <w:tc>
          <w:tcPr>
            <w:tcW w:w="1321" w:type="dxa"/>
          </w:tcPr>
          <w:p w:rsidR="00417532" w:rsidRPr="00CD3A14" w:rsidRDefault="00417532" w:rsidP="008D0827">
            <w:pPr>
              <w:pStyle w:val="AGRTableNumbers"/>
            </w:pPr>
            <w:r w:rsidRPr="00CD3A14">
              <w:t>(290)</w:t>
            </w:r>
          </w:p>
        </w:tc>
      </w:tr>
      <w:tr w:rsidR="00417532" w:rsidRPr="00CD3A14" w:rsidTr="00B74230">
        <w:tc>
          <w:tcPr>
            <w:tcW w:w="4728" w:type="dxa"/>
            <w:tcBorders>
              <w:bottom w:val="single" w:sz="4" w:space="0" w:color="auto"/>
            </w:tcBorders>
          </w:tcPr>
          <w:p w:rsidR="00417532" w:rsidRPr="00CD3A14" w:rsidRDefault="00417532" w:rsidP="00B74230">
            <w:pPr>
              <w:pStyle w:val="AGRTableTextBold"/>
            </w:pPr>
            <w:r w:rsidRPr="00CD3A14">
              <w:t>Net assets</w:t>
            </w:r>
          </w:p>
        </w:tc>
        <w:tc>
          <w:tcPr>
            <w:tcW w:w="1322" w:type="dxa"/>
            <w:tcBorders>
              <w:bottom w:val="single" w:sz="4" w:space="0" w:color="auto"/>
            </w:tcBorders>
          </w:tcPr>
          <w:p w:rsidR="00417532" w:rsidRPr="00CD3A14" w:rsidRDefault="00FC4331" w:rsidP="00B74230">
            <w:pPr>
              <w:pStyle w:val="AGRTableNumbersBold"/>
            </w:pPr>
            <w:r w:rsidRPr="00CD3A14">
              <w:t>51,745</w:t>
            </w:r>
          </w:p>
        </w:tc>
        <w:tc>
          <w:tcPr>
            <w:tcW w:w="1321" w:type="dxa"/>
            <w:tcBorders>
              <w:bottom w:val="single" w:sz="4" w:space="0" w:color="auto"/>
            </w:tcBorders>
          </w:tcPr>
          <w:p w:rsidR="00417532" w:rsidRPr="00CD3A14" w:rsidRDefault="00417532" w:rsidP="008D0827">
            <w:pPr>
              <w:pStyle w:val="AGRTableNumbersBold"/>
            </w:pPr>
            <w:r w:rsidRPr="00CD3A14">
              <w:t>66,066</w:t>
            </w:r>
          </w:p>
        </w:tc>
      </w:tr>
      <w:tr w:rsidR="00417532" w:rsidRPr="00CD3A14" w:rsidTr="00B74230">
        <w:tc>
          <w:tcPr>
            <w:tcW w:w="4728" w:type="dxa"/>
            <w:tcBorders>
              <w:top w:val="single" w:sz="4" w:space="0" w:color="auto"/>
            </w:tcBorders>
          </w:tcPr>
          <w:p w:rsidR="00417532" w:rsidRPr="00CD3A14" w:rsidRDefault="00417532" w:rsidP="00B74230">
            <w:pPr>
              <w:pStyle w:val="AGRTableText"/>
            </w:pPr>
            <w:r w:rsidRPr="00CD3A14">
              <w:t>Represented by:</w:t>
            </w:r>
          </w:p>
        </w:tc>
        <w:tc>
          <w:tcPr>
            <w:tcW w:w="1322" w:type="dxa"/>
            <w:tcBorders>
              <w:top w:val="single" w:sz="4" w:space="0" w:color="auto"/>
            </w:tcBorders>
          </w:tcPr>
          <w:p w:rsidR="00417532" w:rsidRPr="00CD3A14" w:rsidRDefault="00417532" w:rsidP="00B74230">
            <w:pPr>
              <w:pStyle w:val="AGRTableNumbers"/>
            </w:pPr>
          </w:p>
        </w:tc>
        <w:tc>
          <w:tcPr>
            <w:tcW w:w="1321" w:type="dxa"/>
            <w:tcBorders>
              <w:top w:val="single" w:sz="4" w:space="0" w:color="auto"/>
            </w:tcBorders>
          </w:tcPr>
          <w:p w:rsidR="00417532" w:rsidRPr="00CD3A14" w:rsidRDefault="00417532" w:rsidP="008D0827">
            <w:pPr>
              <w:pStyle w:val="AGRTableNumbers"/>
            </w:pPr>
          </w:p>
        </w:tc>
      </w:tr>
      <w:tr w:rsidR="00417532" w:rsidRPr="00CD3A14" w:rsidTr="00857207">
        <w:tc>
          <w:tcPr>
            <w:tcW w:w="4728" w:type="dxa"/>
          </w:tcPr>
          <w:p w:rsidR="00417532" w:rsidRPr="00CD3A14" w:rsidRDefault="00417532" w:rsidP="00857207">
            <w:pPr>
              <w:pStyle w:val="AGRTableText"/>
            </w:pPr>
            <w:r w:rsidRPr="00CD3A14">
              <w:t>Reserves</w:t>
            </w:r>
          </w:p>
        </w:tc>
        <w:tc>
          <w:tcPr>
            <w:tcW w:w="1322" w:type="dxa"/>
          </w:tcPr>
          <w:p w:rsidR="00417532" w:rsidRPr="00CD3A14" w:rsidRDefault="00FC4331" w:rsidP="00857207">
            <w:pPr>
              <w:pStyle w:val="AGRTableNumbers"/>
            </w:pPr>
            <w:r w:rsidRPr="00CD3A14">
              <w:t>6,815</w:t>
            </w:r>
          </w:p>
        </w:tc>
        <w:tc>
          <w:tcPr>
            <w:tcW w:w="1321" w:type="dxa"/>
          </w:tcPr>
          <w:p w:rsidR="00417532" w:rsidRPr="00CD3A14" w:rsidRDefault="00417532" w:rsidP="008D0827">
            <w:pPr>
              <w:pStyle w:val="AGRTableNumbers"/>
            </w:pPr>
            <w:r w:rsidRPr="00CD3A14">
              <w:t>9,992</w:t>
            </w:r>
          </w:p>
        </w:tc>
      </w:tr>
      <w:tr w:rsidR="00417532" w:rsidRPr="00CD3A14" w:rsidTr="00B74230">
        <w:tc>
          <w:tcPr>
            <w:tcW w:w="4728" w:type="dxa"/>
          </w:tcPr>
          <w:p w:rsidR="00417532" w:rsidRPr="00CD3A14" w:rsidRDefault="00417532" w:rsidP="00B74230">
            <w:pPr>
              <w:pStyle w:val="AGRTableText"/>
            </w:pPr>
            <w:r w:rsidRPr="00CD3A14">
              <w:t>Retained earnings</w:t>
            </w:r>
          </w:p>
        </w:tc>
        <w:tc>
          <w:tcPr>
            <w:tcW w:w="1322" w:type="dxa"/>
          </w:tcPr>
          <w:p w:rsidR="00417532" w:rsidRPr="00CD3A14" w:rsidRDefault="00FC4331" w:rsidP="00B74230">
            <w:pPr>
              <w:pStyle w:val="AGRTableNumbers"/>
            </w:pPr>
            <w:r w:rsidRPr="00CD3A14">
              <w:t>44,930</w:t>
            </w:r>
          </w:p>
        </w:tc>
        <w:tc>
          <w:tcPr>
            <w:tcW w:w="1321" w:type="dxa"/>
          </w:tcPr>
          <w:p w:rsidR="00417532" w:rsidRPr="00CD3A14" w:rsidRDefault="00417532" w:rsidP="008D0827">
            <w:pPr>
              <w:pStyle w:val="AGRTableNumbers"/>
            </w:pPr>
            <w:r w:rsidRPr="00CD3A14">
              <w:t>56,074</w:t>
            </w:r>
          </w:p>
        </w:tc>
      </w:tr>
      <w:tr w:rsidR="00417532" w:rsidRPr="00CD3A14" w:rsidTr="00B74230">
        <w:tc>
          <w:tcPr>
            <w:tcW w:w="4728" w:type="dxa"/>
            <w:tcBorders>
              <w:bottom w:val="single" w:sz="4" w:space="0" w:color="auto"/>
            </w:tcBorders>
          </w:tcPr>
          <w:p w:rsidR="00417532" w:rsidRPr="00CD3A14" w:rsidRDefault="00417532" w:rsidP="00B74230">
            <w:pPr>
              <w:pStyle w:val="AGRTableTextBold"/>
            </w:pPr>
            <w:r w:rsidRPr="00CD3A14">
              <w:t>Equity</w:t>
            </w:r>
          </w:p>
        </w:tc>
        <w:tc>
          <w:tcPr>
            <w:tcW w:w="1322" w:type="dxa"/>
            <w:tcBorders>
              <w:bottom w:val="single" w:sz="4" w:space="0" w:color="auto"/>
            </w:tcBorders>
          </w:tcPr>
          <w:p w:rsidR="00417532" w:rsidRPr="00CD3A14" w:rsidRDefault="00FC4331" w:rsidP="00B74230">
            <w:pPr>
              <w:pStyle w:val="AGRTableNumbersBold"/>
            </w:pPr>
            <w:r w:rsidRPr="00CD3A14">
              <w:t>51,745</w:t>
            </w:r>
          </w:p>
        </w:tc>
        <w:tc>
          <w:tcPr>
            <w:tcW w:w="1321" w:type="dxa"/>
            <w:tcBorders>
              <w:bottom w:val="single" w:sz="4" w:space="0" w:color="auto"/>
            </w:tcBorders>
          </w:tcPr>
          <w:p w:rsidR="00417532" w:rsidRPr="00CD3A14" w:rsidRDefault="00417532" w:rsidP="008D0827">
            <w:pPr>
              <w:pStyle w:val="AGRTableNumbersBold"/>
            </w:pPr>
            <w:r w:rsidRPr="00CD3A14">
              <w:t>66,066</w:t>
            </w:r>
          </w:p>
        </w:tc>
      </w:tr>
    </w:tbl>
    <w:p w:rsidR="00673CF5" w:rsidRPr="00CD3A14" w:rsidRDefault="00673CF5" w:rsidP="0013400B">
      <w:pPr>
        <w:pStyle w:val="AGRBodyText"/>
        <w:rPr>
          <w:noProof w:val="0"/>
          <w:lang w:val="en-AU"/>
        </w:rPr>
      </w:pPr>
      <w:r w:rsidRPr="00CD3A14">
        <w:rPr>
          <w:noProof w:val="0"/>
          <w:lang w:val="en-AU"/>
        </w:rPr>
        <w:t>Reserves decreased by $3.2 million due to:</w:t>
      </w:r>
    </w:p>
    <w:p w:rsidR="00673CF5" w:rsidRPr="00CD3A14" w:rsidRDefault="00673CF5" w:rsidP="0013400B">
      <w:pPr>
        <w:pStyle w:val="AGRBulletText"/>
        <w:rPr>
          <w:noProof w:val="0"/>
          <w:lang w:val="en-AU"/>
        </w:rPr>
      </w:pPr>
      <w:r w:rsidRPr="00CD3A14">
        <w:rPr>
          <w:noProof w:val="0"/>
          <w:lang w:val="en-AU"/>
        </w:rPr>
        <w:t>The transfer of the building at the Royal Darwin Hospital to the Department of Health, at no cost r</w:t>
      </w:r>
      <w:r w:rsidR="00B64970">
        <w:rPr>
          <w:noProof w:val="0"/>
          <w:lang w:val="en-AU"/>
        </w:rPr>
        <w:t>esulting in the transfer of $3.8</w:t>
      </w:r>
      <w:r w:rsidRPr="00CD3A14">
        <w:rPr>
          <w:noProof w:val="0"/>
          <w:lang w:val="en-AU"/>
        </w:rPr>
        <w:t xml:space="preserve"> million between the retained earnings and the building reserve.</w:t>
      </w:r>
    </w:p>
    <w:p w:rsidR="00673CF5" w:rsidRPr="00CD3A14" w:rsidRDefault="00673CF5" w:rsidP="0013400B">
      <w:pPr>
        <w:pStyle w:val="AGRBulletText"/>
        <w:rPr>
          <w:noProof w:val="0"/>
          <w:lang w:val="en-AU"/>
        </w:rPr>
      </w:pPr>
      <w:r w:rsidRPr="00CD3A14">
        <w:rPr>
          <w:noProof w:val="0"/>
          <w:lang w:val="en-AU"/>
        </w:rPr>
        <w:t xml:space="preserve"> A $1.6 million decrease in the investment revaluation reserve.</w:t>
      </w:r>
    </w:p>
    <w:p w:rsidR="00673CF5" w:rsidRDefault="00673CF5" w:rsidP="0013400B">
      <w:pPr>
        <w:pStyle w:val="AGRBulletText"/>
        <w:rPr>
          <w:noProof w:val="0"/>
          <w:lang w:val="en-AU"/>
        </w:rPr>
      </w:pPr>
      <w:r w:rsidRPr="00CD3A14">
        <w:rPr>
          <w:noProof w:val="0"/>
          <w:lang w:val="en-AU"/>
        </w:rPr>
        <w:t>The $</w:t>
      </w:r>
      <w:r w:rsidR="004B1F76">
        <w:rPr>
          <w:noProof w:val="0"/>
          <w:lang w:val="en-AU"/>
        </w:rPr>
        <w:t>0.</w:t>
      </w:r>
      <w:r w:rsidRPr="00CD3A14">
        <w:rPr>
          <w:noProof w:val="0"/>
          <w:lang w:val="en-AU"/>
        </w:rPr>
        <w:t>5 million increase as a result of an annual contribution to the capital assets reserve transferred from retained earnings.</w:t>
      </w:r>
    </w:p>
    <w:p w:rsidR="008F3751" w:rsidRPr="00CD3A14" w:rsidRDefault="008F3751" w:rsidP="008F3751">
      <w:pPr>
        <w:pStyle w:val="AGRBodyText"/>
        <w:rPr>
          <w:noProof w:val="0"/>
          <w:lang w:val="en-AU"/>
        </w:rPr>
      </w:pPr>
    </w:p>
    <w:p w:rsidR="00B74230" w:rsidRPr="00CD3A14" w:rsidRDefault="00673CF5" w:rsidP="00C67DA8">
      <w:pPr>
        <w:pStyle w:val="AGRHeading1"/>
      </w:pPr>
      <w:r w:rsidRPr="00CD3A14">
        <w:t>Selected Agencies</w:t>
      </w:r>
    </w:p>
    <w:p w:rsidR="00B74230" w:rsidRPr="00CD3A14" w:rsidRDefault="00B74230" w:rsidP="00B74230">
      <w:pPr>
        <w:pStyle w:val="AGRHeading2"/>
      </w:pPr>
      <w:bookmarkStart w:id="29" w:name="ACA"/>
      <w:r w:rsidRPr="00CD3A14">
        <w:t>Agency Compliance Aud</w:t>
      </w:r>
      <w:r w:rsidR="00E207A1" w:rsidRPr="00CD3A14">
        <w:t>it</w:t>
      </w:r>
      <w:bookmarkEnd w:id="29"/>
      <w:r w:rsidR="00A26FC3" w:rsidRPr="00CD3A14">
        <w:t>s</w:t>
      </w:r>
    </w:p>
    <w:p w:rsidR="00B74230" w:rsidRPr="00CD3A14" w:rsidRDefault="00B74230" w:rsidP="00C708C3">
      <w:pPr>
        <w:pStyle w:val="AGRHeading3"/>
      </w:pPr>
      <w:r w:rsidRPr="00CD3A14">
        <w:t>Audit Objectives and Scope</w:t>
      </w:r>
    </w:p>
    <w:p w:rsidR="00B74230" w:rsidRPr="00CD3A14" w:rsidRDefault="00B74230" w:rsidP="0013400B">
      <w:pPr>
        <w:pStyle w:val="AGRBodyText"/>
        <w:rPr>
          <w:noProof w:val="0"/>
          <w:lang w:val="en-AU"/>
        </w:rPr>
      </w:pPr>
      <w:r w:rsidRPr="00CD3A14">
        <w:rPr>
          <w:noProof w:val="0"/>
          <w:lang w:val="en-AU"/>
        </w:rPr>
        <w:t>Agency compliance audits are intended to ascertain the extent to which Agencies’ Accountable Officers have implemented and maintained procedures that assist in ensuring that the requirements set out in Acts of Parliament, and subordinate and delegated legislation</w:t>
      </w:r>
      <w:r w:rsidR="00B154CC" w:rsidRPr="00CD3A14">
        <w:rPr>
          <w:noProof w:val="0"/>
          <w:lang w:val="en-AU"/>
        </w:rPr>
        <w:t>,</w:t>
      </w:r>
      <w:r w:rsidRPr="00CD3A14">
        <w:rPr>
          <w:noProof w:val="0"/>
          <w:lang w:val="en-AU"/>
        </w:rPr>
        <w:t xml:space="preserve"> are adhered to.</w:t>
      </w:r>
    </w:p>
    <w:p w:rsidR="00B74230" w:rsidRPr="00CD3A14" w:rsidRDefault="00B74230" w:rsidP="00C708C3">
      <w:pPr>
        <w:pStyle w:val="AGRHeading3"/>
      </w:pPr>
      <w:r w:rsidRPr="00CD3A14">
        <w:t>Background</w:t>
      </w:r>
    </w:p>
    <w:p w:rsidR="00B74230" w:rsidRPr="00CD3A14" w:rsidRDefault="00B74230" w:rsidP="0013400B">
      <w:pPr>
        <w:pStyle w:val="AGRBodyText"/>
        <w:rPr>
          <w:noProof w:val="0"/>
          <w:lang w:val="en-AU"/>
        </w:rPr>
      </w:pPr>
      <w:r w:rsidRPr="00CD3A14">
        <w:rPr>
          <w:noProof w:val="0"/>
          <w:lang w:val="en-AU"/>
        </w:rPr>
        <w:t>The use of delegated legislation, for example Treasurer’s Directions and Procurement Directions, devolve responsibility to Accountable Officers of line Agencies.  That devolution has an accompanying requirement for accountability by Accountable Officers to their Ministers.  Compliance audits are intended to assess how well that accountability is being discharged.  The audits for this period concentrated on the extent to which Agencies had complied with promulgated requirements with respect to:</w:t>
      </w:r>
    </w:p>
    <w:p w:rsidR="00A93B97" w:rsidRPr="00CD3A14" w:rsidRDefault="00B74230" w:rsidP="0013400B">
      <w:pPr>
        <w:pStyle w:val="AGRBulletText"/>
        <w:rPr>
          <w:noProof w:val="0"/>
          <w:lang w:val="en-AU"/>
        </w:rPr>
      </w:pPr>
      <w:r w:rsidRPr="00CD3A14">
        <w:rPr>
          <w:noProof w:val="0"/>
          <w:lang w:val="en-AU"/>
        </w:rPr>
        <w:t>the maintenance of registers of financial interests, contingencies, guarantees and indemnities;</w:t>
      </w:r>
    </w:p>
    <w:p w:rsidR="00A93B97" w:rsidRPr="00CD3A14" w:rsidRDefault="00B74230" w:rsidP="0013400B">
      <w:pPr>
        <w:pStyle w:val="AGRBulletText"/>
        <w:rPr>
          <w:noProof w:val="0"/>
          <w:lang w:val="en-AU"/>
        </w:rPr>
      </w:pPr>
      <w:r w:rsidRPr="00CD3A14">
        <w:rPr>
          <w:noProof w:val="0"/>
          <w:lang w:val="en-AU"/>
        </w:rPr>
        <w:t>validation of accounts payable and claims for payment, including funds availability;</w:t>
      </w:r>
    </w:p>
    <w:p w:rsidR="00A93B97" w:rsidRPr="00CD3A14" w:rsidRDefault="00B74230" w:rsidP="0013400B">
      <w:pPr>
        <w:pStyle w:val="AGRBulletText"/>
        <w:rPr>
          <w:noProof w:val="0"/>
          <w:lang w:val="en-AU"/>
        </w:rPr>
      </w:pPr>
      <w:r w:rsidRPr="00CD3A14">
        <w:rPr>
          <w:noProof w:val="0"/>
          <w:lang w:val="en-AU"/>
        </w:rPr>
        <w:t xml:space="preserve">compliance with the </w:t>
      </w:r>
      <w:r w:rsidRPr="00CD3A14">
        <w:rPr>
          <w:i/>
          <w:noProof w:val="0"/>
          <w:lang w:val="en-AU"/>
        </w:rPr>
        <w:t>Procurement Act</w:t>
      </w:r>
      <w:r w:rsidRPr="00CD3A14">
        <w:rPr>
          <w:noProof w:val="0"/>
          <w:lang w:val="en-AU"/>
        </w:rPr>
        <w:t>, Regulations made under that Act and Procurement Directions;</w:t>
      </w:r>
    </w:p>
    <w:p w:rsidR="00A93B97" w:rsidRPr="00CD3A14" w:rsidRDefault="00B74230" w:rsidP="0013400B">
      <w:pPr>
        <w:pStyle w:val="AGRBulletText"/>
        <w:rPr>
          <w:noProof w:val="0"/>
          <w:lang w:val="en-AU"/>
        </w:rPr>
      </w:pPr>
      <w:r w:rsidRPr="00CD3A14">
        <w:rPr>
          <w:noProof w:val="0"/>
          <w:lang w:val="en-AU"/>
        </w:rPr>
        <w:t>the maintenance of registers of losses, and whether investigation</w:t>
      </w:r>
      <w:r w:rsidR="00B154CC" w:rsidRPr="00CD3A14">
        <w:rPr>
          <w:noProof w:val="0"/>
          <w:lang w:val="en-AU"/>
        </w:rPr>
        <w:t>,</w:t>
      </w:r>
      <w:r w:rsidRPr="00CD3A14">
        <w:rPr>
          <w:noProof w:val="0"/>
          <w:lang w:val="en-AU"/>
        </w:rPr>
        <w:t xml:space="preserve"> and reporting and recovery of losses accorded with the requirements of Treasurer’s Directions;</w:t>
      </w:r>
    </w:p>
    <w:p w:rsidR="00A93B97" w:rsidRPr="00CD3A14" w:rsidRDefault="00B74230" w:rsidP="0013400B">
      <w:pPr>
        <w:pStyle w:val="AGRBulletText"/>
        <w:rPr>
          <w:noProof w:val="0"/>
          <w:lang w:val="en-AU"/>
        </w:rPr>
      </w:pPr>
      <w:r w:rsidRPr="00CD3A14">
        <w:rPr>
          <w:noProof w:val="0"/>
          <w:lang w:val="en-AU"/>
        </w:rPr>
        <w:t>ensuring that expenditure on official travel, telephones and hospitality was properly authorised, recorded and acquitted;</w:t>
      </w:r>
    </w:p>
    <w:p w:rsidR="00A93B97" w:rsidRPr="00CD3A14" w:rsidRDefault="00B74230" w:rsidP="0013400B">
      <w:pPr>
        <w:pStyle w:val="AGRBulletText"/>
        <w:rPr>
          <w:noProof w:val="0"/>
          <w:lang w:val="en-AU"/>
        </w:rPr>
      </w:pPr>
      <w:r w:rsidRPr="00CD3A14">
        <w:rPr>
          <w:noProof w:val="0"/>
          <w:lang w:val="en-AU"/>
        </w:rPr>
        <w:t>the recording and accounting for trust monies;</w:t>
      </w:r>
    </w:p>
    <w:p w:rsidR="00A93B97" w:rsidRPr="00CD3A14" w:rsidRDefault="00B74230" w:rsidP="0013400B">
      <w:pPr>
        <w:pStyle w:val="AGRBulletText"/>
        <w:rPr>
          <w:noProof w:val="0"/>
          <w:lang w:val="en-AU"/>
        </w:rPr>
      </w:pPr>
      <w:r w:rsidRPr="00CD3A14">
        <w:rPr>
          <w:noProof w:val="0"/>
          <w:lang w:val="en-AU"/>
        </w:rPr>
        <w:t xml:space="preserve">the legal and statutory arrangements governing the recovery of certain debts, the retention of financial management records, the granting of ex-gratia payments, </w:t>
      </w:r>
      <w:r w:rsidR="00B154CC" w:rsidRPr="00CD3A14">
        <w:rPr>
          <w:noProof w:val="0"/>
          <w:lang w:val="en-AU"/>
        </w:rPr>
        <w:t xml:space="preserve">and </w:t>
      </w:r>
      <w:r w:rsidRPr="00CD3A14">
        <w:rPr>
          <w:noProof w:val="0"/>
          <w:lang w:val="en-AU"/>
        </w:rPr>
        <w:t>the maintenance of Registers of Fees and Charges;</w:t>
      </w:r>
    </w:p>
    <w:p w:rsidR="00A93B97" w:rsidRPr="00CD3A14" w:rsidRDefault="00B74230" w:rsidP="0013400B">
      <w:pPr>
        <w:pStyle w:val="AGRBulletText"/>
        <w:rPr>
          <w:noProof w:val="0"/>
          <w:lang w:val="en-AU"/>
        </w:rPr>
      </w:pPr>
      <w:r w:rsidRPr="00CD3A14">
        <w:rPr>
          <w:noProof w:val="0"/>
          <w:lang w:val="en-AU"/>
        </w:rPr>
        <w:t>the control of physical assets; and</w:t>
      </w:r>
    </w:p>
    <w:p w:rsidR="00A93B97" w:rsidRPr="00CD3A14" w:rsidRDefault="00B74230" w:rsidP="0013400B">
      <w:pPr>
        <w:pStyle w:val="AGRBulletText"/>
        <w:rPr>
          <w:noProof w:val="0"/>
          <w:lang w:val="en-AU"/>
        </w:rPr>
      </w:pPr>
      <w:proofErr w:type="gramStart"/>
      <w:r w:rsidRPr="00CD3A14">
        <w:rPr>
          <w:noProof w:val="0"/>
          <w:lang w:val="en-AU"/>
        </w:rPr>
        <w:t>budget</w:t>
      </w:r>
      <w:proofErr w:type="gramEnd"/>
      <w:r w:rsidRPr="00CD3A14">
        <w:rPr>
          <w:noProof w:val="0"/>
          <w:lang w:val="en-AU"/>
        </w:rPr>
        <w:t xml:space="preserve"> management, including financial and performance reporting.</w:t>
      </w:r>
    </w:p>
    <w:p w:rsidR="00B74230" w:rsidRPr="00CD3A14" w:rsidRDefault="00B74230" w:rsidP="00C67DA8">
      <w:pPr>
        <w:pStyle w:val="AGRHeading1"/>
      </w:pPr>
      <w:r w:rsidRPr="00CD3A14">
        <w:t xml:space="preserve">Selected Agencies </w:t>
      </w:r>
      <w:proofErr w:type="spellStart"/>
      <w:r w:rsidRPr="00CD3A14">
        <w:t>cont</w:t>
      </w:r>
      <w:proofErr w:type="spellEnd"/>
      <w:r w:rsidRPr="00CD3A14">
        <w:t>…</w:t>
      </w:r>
    </w:p>
    <w:p w:rsidR="00B74230" w:rsidRPr="00CD3A14" w:rsidRDefault="00FB6D4C" w:rsidP="0013400B">
      <w:pPr>
        <w:pStyle w:val="AGRBodyText"/>
        <w:rPr>
          <w:noProof w:val="0"/>
          <w:lang w:val="en-AU"/>
        </w:rPr>
      </w:pPr>
      <w:r w:rsidRPr="00CD3A14">
        <w:rPr>
          <w:noProof w:val="0"/>
          <w:lang w:val="en-AU"/>
        </w:rPr>
        <w:t>A</w:t>
      </w:r>
      <w:r w:rsidR="00B74230" w:rsidRPr="00CD3A14">
        <w:rPr>
          <w:noProof w:val="0"/>
          <w:lang w:val="en-AU"/>
        </w:rPr>
        <w:t>udits were performed in each of the following Agencies during the six months covered by this report:</w:t>
      </w:r>
    </w:p>
    <w:p w:rsidR="00417532" w:rsidRPr="00CD3A14" w:rsidRDefault="00417532" w:rsidP="0013400B">
      <w:pPr>
        <w:pStyle w:val="AGRBulletText"/>
        <w:rPr>
          <w:noProof w:val="0"/>
          <w:lang w:val="en-AU"/>
        </w:rPr>
      </w:pPr>
      <w:r w:rsidRPr="00CD3A14">
        <w:rPr>
          <w:noProof w:val="0"/>
          <w:lang w:val="en-AU"/>
        </w:rPr>
        <w:t>Aboriginal Areas Protection Authority;</w:t>
      </w:r>
    </w:p>
    <w:p w:rsidR="00417532" w:rsidRPr="00CD3A14" w:rsidRDefault="00417532" w:rsidP="0013400B">
      <w:pPr>
        <w:pStyle w:val="AGRBulletText"/>
        <w:rPr>
          <w:noProof w:val="0"/>
          <w:lang w:val="en-AU"/>
        </w:rPr>
      </w:pPr>
      <w:r w:rsidRPr="00CD3A14">
        <w:rPr>
          <w:noProof w:val="0"/>
          <w:lang w:val="en-AU"/>
        </w:rPr>
        <w:t>Department of Business;</w:t>
      </w:r>
    </w:p>
    <w:p w:rsidR="00F12AFC" w:rsidRPr="00CD3A14" w:rsidRDefault="00F12AFC" w:rsidP="0013400B">
      <w:pPr>
        <w:pStyle w:val="AGRBulletText"/>
        <w:rPr>
          <w:noProof w:val="0"/>
          <w:lang w:val="en-AU"/>
        </w:rPr>
      </w:pPr>
      <w:r w:rsidRPr="00CD3A14">
        <w:rPr>
          <w:noProof w:val="0"/>
          <w:lang w:val="en-AU"/>
        </w:rPr>
        <w:t>Department of Children and Families;</w:t>
      </w:r>
    </w:p>
    <w:p w:rsidR="00417532" w:rsidRPr="00CD3A14" w:rsidRDefault="00417532" w:rsidP="0013400B">
      <w:pPr>
        <w:pStyle w:val="AGRBulletText"/>
        <w:rPr>
          <w:noProof w:val="0"/>
          <w:lang w:val="en-AU"/>
        </w:rPr>
      </w:pPr>
      <w:r w:rsidRPr="00CD3A14">
        <w:rPr>
          <w:noProof w:val="0"/>
          <w:lang w:val="en-AU"/>
        </w:rPr>
        <w:t>Department of Community Serv</w:t>
      </w:r>
      <w:r w:rsidR="00C54984" w:rsidRPr="00CD3A14">
        <w:rPr>
          <w:noProof w:val="0"/>
          <w:lang w:val="en-AU"/>
        </w:rPr>
        <w:t>i</w:t>
      </w:r>
      <w:r w:rsidR="006B79B6" w:rsidRPr="00CD3A14">
        <w:rPr>
          <w:noProof w:val="0"/>
          <w:lang w:val="en-AU"/>
        </w:rPr>
        <w:t>ces;</w:t>
      </w:r>
    </w:p>
    <w:p w:rsidR="00417532" w:rsidRPr="00CD3A14" w:rsidRDefault="00417532" w:rsidP="0013400B">
      <w:pPr>
        <w:pStyle w:val="AGRBulletText"/>
        <w:rPr>
          <w:noProof w:val="0"/>
          <w:lang w:val="en-AU"/>
        </w:rPr>
      </w:pPr>
      <w:r w:rsidRPr="00CD3A14">
        <w:rPr>
          <w:noProof w:val="0"/>
          <w:lang w:val="en-AU"/>
        </w:rPr>
        <w:t>Department of Corporate and Information Services;</w:t>
      </w:r>
    </w:p>
    <w:p w:rsidR="00F12AFC" w:rsidRPr="00CD3A14" w:rsidRDefault="00F12AFC" w:rsidP="0013400B">
      <w:pPr>
        <w:pStyle w:val="AGRBulletText"/>
        <w:rPr>
          <w:noProof w:val="0"/>
          <w:lang w:val="en-AU"/>
        </w:rPr>
      </w:pPr>
      <w:r w:rsidRPr="00CD3A14">
        <w:rPr>
          <w:noProof w:val="0"/>
          <w:lang w:val="en-AU"/>
        </w:rPr>
        <w:t>Department of Correction</w:t>
      </w:r>
      <w:r w:rsidR="00C54984" w:rsidRPr="00CD3A14">
        <w:rPr>
          <w:noProof w:val="0"/>
          <w:lang w:val="en-AU"/>
        </w:rPr>
        <w:t>al Service</w:t>
      </w:r>
      <w:r w:rsidRPr="00CD3A14">
        <w:rPr>
          <w:noProof w:val="0"/>
          <w:lang w:val="en-AU"/>
        </w:rPr>
        <w:t>s;</w:t>
      </w:r>
    </w:p>
    <w:p w:rsidR="00F12AFC" w:rsidRPr="00CD3A14" w:rsidRDefault="00F12AFC" w:rsidP="0013400B">
      <w:pPr>
        <w:pStyle w:val="AGRBulletText"/>
        <w:rPr>
          <w:noProof w:val="0"/>
          <w:lang w:val="en-AU"/>
        </w:rPr>
      </w:pPr>
      <w:r w:rsidRPr="00CD3A14">
        <w:rPr>
          <w:noProof w:val="0"/>
          <w:lang w:val="en-AU"/>
        </w:rPr>
        <w:t>Department of Education;</w:t>
      </w:r>
    </w:p>
    <w:p w:rsidR="00F12AFC" w:rsidRPr="00CD3A14" w:rsidRDefault="00F12AFC" w:rsidP="0013400B">
      <w:pPr>
        <w:pStyle w:val="AGRBulletText"/>
        <w:rPr>
          <w:noProof w:val="0"/>
          <w:lang w:val="en-AU"/>
        </w:rPr>
      </w:pPr>
      <w:r w:rsidRPr="00CD3A14">
        <w:rPr>
          <w:noProof w:val="0"/>
          <w:lang w:val="en-AU"/>
        </w:rPr>
        <w:t>Department of Health;</w:t>
      </w:r>
    </w:p>
    <w:p w:rsidR="00F12AFC" w:rsidRPr="00CD3A14" w:rsidRDefault="00F12AFC" w:rsidP="0013400B">
      <w:pPr>
        <w:pStyle w:val="AGRBulletText"/>
        <w:rPr>
          <w:noProof w:val="0"/>
          <w:lang w:val="en-AU"/>
        </w:rPr>
      </w:pPr>
      <w:r w:rsidRPr="00CD3A14">
        <w:rPr>
          <w:noProof w:val="0"/>
          <w:lang w:val="en-AU"/>
        </w:rPr>
        <w:t>Department of Housing;</w:t>
      </w:r>
    </w:p>
    <w:p w:rsidR="00F12AFC" w:rsidRPr="00CD3A14" w:rsidRDefault="00F12AFC" w:rsidP="0013400B">
      <w:pPr>
        <w:pStyle w:val="AGRBulletText"/>
        <w:rPr>
          <w:noProof w:val="0"/>
          <w:lang w:val="en-AU"/>
        </w:rPr>
      </w:pPr>
      <w:r w:rsidRPr="00CD3A14">
        <w:rPr>
          <w:noProof w:val="0"/>
          <w:lang w:val="en-AU"/>
        </w:rPr>
        <w:t>Department of Infrastructure;</w:t>
      </w:r>
    </w:p>
    <w:p w:rsidR="00417532" w:rsidRPr="00CD3A14" w:rsidRDefault="00417532" w:rsidP="0013400B">
      <w:pPr>
        <w:pStyle w:val="AGRBulletText"/>
        <w:rPr>
          <w:noProof w:val="0"/>
          <w:lang w:val="en-AU"/>
        </w:rPr>
      </w:pPr>
      <w:r w:rsidRPr="00CD3A14">
        <w:rPr>
          <w:noProof w:val="0"/>
          <w:lang w:val="en-AU"/>
        </w:rPr>
        <w:t>Department of Lands Resource Management;</w:t>
      </w:r>
    </w:p>
    <w:p w:rsidR="00F12AFC" w:rsidRPr="00CD3A14" w:rsidRDefault="00F12AFC" w:rsidP="0013400B">
      <w:pPr>
        <w:pStyle w:val="AGRBulletText"/>
        <w:rPr>
          <w:noProof w:val="0"/>
          <w:lang w:val="en-AU"/>
        </w:rPr>
      </w:pPr>
      <w:r w:rsidRPr="00CD3A14">
        <w:rPr>
          <w:noProof w:val="0"/>
          <w:lang w:val="en-AU"/>
        </w:rPr>
        <w:t>Department of Lands, Planning and the Environment;</w:t>
      </w:r>
    </w:p>
    <w:p w:rsidR="00BB726E" w:rsidRPr="00CD3A14" w:rsidRDefault="00BB726E" w:rsidP="0013400B">
      <w:pPr>
        <w:pStyle w:val="AGRBulletText"/>
        <w:rPr>
          <w:noProof w:val="0"/>
          <w:lang w:val="en-AU"/>
        </w:rPr>
      </w:pPr>
      <w:r w:rsidRPr="00CD3A14">
        <w:rPr>
          <w:noProof w:val="0"/>
          <w:lang w:val="en-AU"/>
        </w:rPr>
        <w:t>Department of Local Government and Regions;</w:t>
      </w:r>
    </w:p>
    <w:p w:rsidR="00F12AFC" w:rsidRPr="00CD3A14" w:rsidRDefault="00F12AFC" w:rsidP="0013400B">
      <w:pPr>
        <w:pStyle w:val="AGRBulletText"/>
        <w:rPr>
          <w:noProof w:val="0"/>
          <w:lang w:val="en-AU"/>
        </w:rPr>
      </w:pPr>
      <w:r w:rsidRPr="00CD3A14">
        <w:rPr>
          <w:noProof w:val="0"/>
          <w:lang w:val="en-AU"/>
        </w:rPr>
        <w:t>Department of Mines and Energy;</w:t>
      </w:r>
    </w:p>
    <w:p w:rsidR="00417532" w:rsidRPr="00CD3A14" w:rsidRDefault="00417532" w:rsidP="0013400B">
      <w:pPr>
        <w:pStyle w:val="AGRBulletText"/>
        <w:rPr>
          <w:noProof w:val="0"/>
          <w:lang w:val="en-AU"/>
        </w:rPr>
      </w:pPr>
      <w:r w:rsidRPr="00CD3A14">
        <w:rPr>
          <w:noProof w:val="0"/>
          <w:lang w:val="en-AU"/>
        </w:rPr>
        <w:t>Department of the Attorney-General and Justice</w:t>
      </w:r>
    </w:p>
    <w:p w:rsidR="00F12AFC" w:rsidRPr="00CD3A14" w:rsidRDefault="00F12AFC" w:rsidP="0013400B">
      <w:pPr>
        <w:pStyle w:val="AGRBulletText"/>
        <w:rPr>
          <w:noProof w:val="0"/>
          <w:lang w:val="en-AU"/>
        </w:rPr>
      </w:pPr>
      <w:r w:rsidRPr="00CD3A14">
        <w:rPr>
          <w:noProof w:val="0"/>
          <w:lang w:val="en-AU"/>
        </w:rPr>
        <w:t xml:space="preserve">Department of </w:t>
      </w:r>
      <w:r w:rsidR="00417532" w:rsidRPr="00CD3A14">
        <w:rPr>
          <w:noProof w:val="0"/>
          <w:lang w:val="en-AU"/>
        </w:rPr>
        <w:t>the Chief Minister</w:t>
      </w:r>
      <w:r w:rsidRPr="00CD3A14">
        <w:rPr>
          <w:noProof w:val="0"/>
          <w:lang w:val="en-AU"/>
        </w:rPr>
        <w:t>;</w:t>
      </w:r>
    </w:p>
    <w:p w:rsidR="00F12AFC" w:rsidRPr="00CD3A14" w:rsidRDefault="00F12AFC" w:rsidP="0013400B">
      <w:pPr>
        <w:pStyle w:val="AGRBulletText"/>
        <w:rPr>
          <w:noProof w:val="0"/>
          <w:lang w:val="en-AU"/>
        </w:rPr>
      </w:pPr>
      <w:r w:rsidRPr="00CD3A14">
        <w:rPr>
          <w:noProof w:val="0"/>
          <w:lang w:val="en-AU"/>
        </w:rPr>
        <w:t xml:space="preserve">Department of </w:t>
      </w:r>
      <w:r w:rsidR="00417532" w:rsidRPr="00CD3A14">
        <w:rPr>
          <w:noProof w:val="0"/>
          <w:lang w:val="en-AU"/>
        </w:rPr>
        <w:t>the Legislative Assembly</w:t>
      </w:r>
      <w:r w:rsidRPr="00CD3A14">
        <w:rPr>
          <w:noProof w:val="0"/>
          <w:lang w:val="en-AU"/>
        </w:rPr>
        <w:t>;</w:t>
      </w:r>
    </w:p>
    <w:p w:rsidR="00F12AFC" w:rsidRPr="00CD3A14" w:rsidRDefault="00F12AFC" w:rsidP="0013400B">
      <w:pPr>
        <w:pStyle w:val="AGRBulletText"/>
        <w:rPr>
          <w:noProof w:val="0"/>
          <w:lang w:val="en-AU"/>
        </w:rPr>
      </w:pPr>
      <w:r w:rsidRPr="00CD3A14">
        <w:rPr>
          <w:noProof w:val="0"/>
          <w:lang w:val="en-AU"/>
        </w:rPr>
        <w:t>Department of Transport;</w:t>
      </w:r>
    </w:p>
    <w:p w:rsidR="00417532" w:rsidRPr="00CD3A14" w:rsidRDefault="00417532" w:rsidP="0013400B">
      <w:pPr>
        <w:pStyle w:val="AGRBulletText"/>
        <w:rPr>
          <w:noProof w:val="0"/>
          <w:lang w:val="en-AU"/>
        </w:rPr>
      </w:pPr>
      <w:r w:rsidRPr="00CD3A14">
        <w:rPr>
          <w:noProof w:val="0"/>
          <w:lang w:val="en-AU"/>
        </w:rPr>
        <w:t>Northern Territory Electoral Commission;</w:t>
      </w:r>
    </w:p>
    <w:p w:rsidR="00F12AFC" w:rsidRPr="00CD3A14" w:rsidRDefault="00F12AFC" w:rsidP="0013400B">
      <w:pPr>
        <w:pStyle w:val="AGRBulletText"/>
        <w:rPr>
          <w:noProof w:val="0"/>
          <w:lang w:val="en-AU"/>
        </w:rPr>
      </w:pPr>
      <w:r w:rsidRPr="00CD3A14">
        <w:rPr>
          <w:noProof w:val="0"/>
          <w:lang w:val="en-AU"/>
        </w:rPr>
        <w:t>Northern Territory Police, Fire and Emergency Services;</w:t>
      </w:r>
      <w:r w:rsidR="00AB7ECF" w:rsidRPr="00CD3A14">
        <w:rPr>
          <w:noProof w:val="0"/>
          <w:lang w:val="en-AU"/>
        </w:rPr>
        <w:t xml:space="preserve"> and</w:t>
      </w:r>
    </w:p>
    <w:p w:rsidR="00A93B97" w:rsidRPr="00CD3A14" w:rsidRDefault="00417532" w:rsidP="0013400B">
      <w:pPr>
        <w:pStyle w:val="AGRBulletText"/>
        <w:rPr>
          <w:noProof w:val="0"/>
          <w:lang w:val="en-AU"/>
        </w:rPr>
      </w:pPr>
      <w:r w:rsidRPr="00CD3A14">
        <w:rPr>
          <w:noProof w:val="0"/>
          <w:lang w:val="en-AU"/>
        </w:rPr>
        <w:t>Office of the Commissioner for Public Employment</w:t>
      </w:r>
      <w:r w:rsidR="00F12AFC" w:rsidRPr="00CD3A14">
        <w:rPr>
          <w:noProof w:val="0"/>
          <w:lang w:val="en-AU"/>
        </w:rPr>
        <w:t>.</w:t>
      </w:r>
    </w:p>
    <w:p w:rsidR="006B79B6" w:rsidRPr="00CD3A14" w:rsidRDefault="006B79B6" w:rsidP="0013400B">
      <w:pPr>
        <w:pStyle w:val="AGRBodyText"/>
        <w:rPr>
          <w:noProof w:val="0"/>
          <w:lang w:val="en-AU"/>
        </w:rPr>
      </w:pPr>
      <w:r w:rsidRPr="00CD3A14">
        <w:rPr>
          <w:noProof w:val="0"/>
          <w:lang w:val="en-AU"/>
        </w:rPr>
        <w:t xml:space="preserve">The Department of Community Services and Department of Local Government and Regions merged during the year to become the Department of Local Government and Community Services. </w:t>
      </w:r>
    </w:p>
    <w:p w:rsidR="00417532" w:rsidRPr="00CD3A14" w:rsidRDefault="00417532" w:rsidP="00417532">
      <w:pPr>
        <w:pStyle w:val="AGRHeading1"/>
      </w:pPr>
      <w:r w:rsidRPr="00CD3A14">
        <w:t xml:space="preserve">Selected Agencies </w:t>
      </w:r>
      <w:proofErr w:type="spellStart"/>
      <w:r w:rsidRPr="00CD3A14">
        <w:t>cont</w:t>
      </w:r>
      <w:proofErr w:type="spellEnd"/>
      <w:r w:rsidRPr="00CD3A14">
        <w:t>…</w:t>
      </w:r>
    </w:p>
    <w:p w:rsidR="00B74230" w:rsidRPr="00CD3A14" w:rsidRDefault="00B74230" w:rsidP="00C708C3">
      <w:pPr>
        <w:pStyle w:val="AGRHeading3"/>
      </w:pPr>
      <w:r w:rsidRPr="00CD3A14">
        <w:t>Key Findings</w:t>
      </w:r>
    </w:p>
    <w:p w:rsidR="00B74230" w:rsidRPr="00CD3A14" w:rsidRDefault="00B74230" w:rsidP="0013400B">
      <w:pPr>
        <w:pStyle w:val="AGRBodyText"/>
        <w:rPr>
          <w:noProof w:val="0"/>
          <w:lang w:val="en-AU"/>
        </w:rPr>
      </w:pPr>
      <w:r w:rsidRPr="00CD3A14">
        <w:rPr>
          <w:noProof w:val="0"/>
          <w:lang w:val="en-AU"/>
        </w:rPr>
        <w:t xml:space="preserve">A </w:t>
      </w:r>
      <w:r w:rsidR="00FB6D4C" w:rsidRPr="00CD3A14">
        <w:rPr>
          <w:noProof w:val="0"/>
          <w:lang w:val="en-AU"/>
        </w:rPr>
        <w:t>number</w:t>
      </w:r>
      <w:r w:rsidR="005E3B3E" w:rsidRPr="00CD3A14">
        <w:rPr>
          <w:noProof w:val="0"/>
          <w:lang w:val="en-AU"/>
        </w:rPr>
        <w:t xml:space="preserve"> </w:t>
      </w:r>
      <w:r w:rsidRPr="00CD3A14">
        <w:rPr>
          <w:noProof w:val="0"/>
          <w:lang w:val="en-AU"/>
        </w:rPr>
        <w:t>of issues were raised as a result of the audits including:</w:t>
      </w:r>
    </w:p>
    <w:p w:rsidR="00A93B97" w:rsidRPr="00CD3A14" w:rsidRDefault="00B74230" w:rsidP="0013400B">
      <w:pPr>
        <w:pStyle w:val="AGRBulletText"/>
        <w:rPr>
          <w:noProof w:val="0"/>
          <w:lang w:val="en-AU"/>
        </w:rPr>
      </w:pPr>
      <w:r w:rsidRPr="00CD3A14">
        <w:rPr>
          <w:noProof w:val="0"/>
          <w:lang w:val="en-AU"/>
        </w:rPr>
        <w:t>lack of compliance with Procurement Directions, and procurement policies;</w:t>
      </w:r>
    </w:p>
    <w:p w:rsidR="00A93B97" w:rsidRPr="00CD3A14" w:rsidRDefault="00B74230" w:rsidP="0013400B">
      <w:pPr>
        <w:pStyle w:val="AGRBulletText"/>
        <w:rPr>
          <w:noProof w:val="0"/>
          <w:lang w:val="en-AU"/>
        </w:rPr>
      </w:pPr>
      <w:r w:rsidRPr="00CD3A14">
        <w:rPr>
          <w:noProof w:val="0"/>
          <w:lang w:val="en-AU"/>
        </w:rPr>
        <w:t>weaknesses in the reconciliation of Accountable Officers’ Trust Accounts</w:t>
      </w:r>
      <w:r w:rsidR="00AF65DB" w:rsidRPr="00CD3A14">
        <w:rPr>
          <w:noProof w:val="0"/>
          <w:lang w:val="en-AU"/>
        </w:rPr>
        <w:t>;</w:t>
      </w:r>
      <w:r w:rsidRPr="00CD3A14">
        <w:rPr>
          <w:noProof w:val="0"/>
          <w:lang w:val="en-AU"/>
        </w:rPr>
        <w:t xml:space="preserve"> </w:t>
      </w:r>
    </w:p>
    <w:p w:rsidR="00A93B97" w:rsidRPr="00CD3A14" w:rsidRDefault="00B74230" w:rsidP="0013400B">
      <w:pPr>
        <w:pStyle w:val="AGRBulletText"/>
        <w:rPr>
          <w:noProof w:val="0"/>
          <w:lang w:val="en-AU"/>
        </w:rPr>
      </w:pPr>
      <w:r w:rsidRPr="00CD3A14">
        <w:rPr>
          <w:noProof w:val="0"/>
          <w:lang w:val="en-AU"/>
        </w:rPr>
        <w:t>lack of compliance with Treasurers’ Directions</w:t>
      </w:r>
      <w:r w:rsidR="00FB6D4C" w:rsidRPr="00CD3A14">
        <w:rPr>
          <w:noProof w:val="0"/>
          <w:lang w:val="en-AU"/>
        </w:rPr>
        <w:t>, particularly</w:t>
      </w:r>
      <w:r w:rsidRPr="00CD3A14">
        <w:rPr>
          <w:noProof w:val="0"/>
          <w:lang w:val="en-AU"/>
        </w:rPr>
        <w:t xml:space="preserve"> in relation to </w:t>
      </w:r>
      <w:r w:rsidR="00FB6D4C" w:rsidRPr="00CD3A14">
        <w:rPr>
          <w:noProof w:val="0"/>
          <w:lang w:val="en-AU"/>
        </w:rPr>
        <w:t xml:space="preserve">controls over </w:t>
      </w:r>
      <w:r w:rsidR="007F1C73" w:rsidRPr="00CD3A14">
        <w:rPr>
          <w:noProof w:val="0"/>
          <w:lang w:val="en-AU"/>
        </w:rPr>
        <w:t xml:space="preserve">telephones, </w:t>
      </w:r>
      <w:r w:rsidRPr="00CD3A14">
        <w:rPr>
          <w:noProof w:val="0"/>
          <w:lang w:val="en-AU"/>
        </w:rPr>
        <w:t>hospitality and travel expenditure;</w:t>
      </w:r>
    </w:p>
    <w:p w:rsidR="00A93B97" w:rsidRPr="00CD3A14" w:rsidRDefault="00B74230" w:rsidP="0013400B">
      <w:pPr>
        <w:pStyle w:val="AGRBulletText"/>
        <w:rPr>
          <w:noProof w:val="0"/>
          <w:lang w:val="en-AU"/>
        </w:rPr>
      </w:pPr>
      <w:r w:rsidRPr="00CD3A14">
        <w:rPr>
          <w:noProof w:val="0"/>
          <w:lang w:val="en-AU"/>
        </w:rPr>
        <w:t>deficiencies in controls over fixed assets;</w:t>
      </w:r>
      <w:r w:rsidR="005E3B3E" w:rsidRPr="00CD3A14">
        <w:rPr>
          <w:noProof w:val="0"/>
          <w:lang w:val="en-AU"/>
        </w:rPr>
        <w:t xml:space="preserve"> </w:t>
      </w:r>
    </w:p>
    <w:p w:rsidR="00B2285E" w:rsidRPr="00CD3A14" w:rsidRDefault="00B2285E" w:rsidP="0013400B">
      <w:pPr>
        <w:pStyle w:val="AGRBulletText"/>
        <w:rPr>
          <w:noProof w:val="0"/>
          <w:lang w:val="en-AU"/>
        </w:rPr>
      </w:pPr>
      <w:r w:rsidRPr="00CD3A14">
        <w:rPr>
          <w:noProof w:val="0"/>
          <w:lang w:val="en-AU"/>
        </w:rPr>
        <w:t>incomplete registers of financial interests, contingencies, guarantees and indemnities;</w:t>
      </w:r>
    </w:p>
    <w:p w:rsidR="007C69E8" w:rsidRPr="00CD3A14" w:rsidRDefault="0062614E" w:rsidP="0013400B">
      <w:pPr>
        <w:pStyle w:val="AGRBulletText"/>
        <w:rPr>
          <w:noProof w:val="0"/>
          <w:lang w:val="en-AU"/>
        </w:rPr>
      </w:pPr>
      <w:r w:rsidRPr="00CD3A14">
        <w:rPr>
          <w:noProof w:val="0"/>
          <w:lang w:val="en-AU"/>
        </w:rPr>
        <w:t xml:space="preserve">lack of internal audit capacity accompanied by </w:t>
      </w:r>
      <w:r w:rsidR="00B74230" w:rsidRPr="00CD3A14">
        <w:rPr>
          <w:noProof w:val="0"/>
          <w:lang w:val="en-AU"/>
        </w:rPr>
        <w:t>weakness</w:t>
      </w:r>
      <w:r w:rsidRPr="00CD3A14">
        <w:rPr>
          <w:noProof w:val="0"/>
          <w:lang w:val="en-AU"/>
        </w:rPr>
        <w:t>es</w:t>
      </w:r>
      <w:r w:rsidR="00B74230" w:rsidRPr="00CD3A14">
        <w:rPr>
          <w:noProof w:val="0"/>
          <w:lang w:val="en-AU"/>
        </w:rPr>
        <w:t xml:space="preserve"> in internal audit procedures</w:t>
      </w:r>
      <w:r w:rsidR="007C69E8" w:rsidRPr="00CD3A14">
        <w:rPr>
          <w:noProof w:val="0"/>
          <w:lang w:val="en-AU"/>
        </w:rPr>
        <w:t>;</w:t>
      </w:r>
      <w:r w:rsidR="00B2285E" w:rsidRPr="00CD3A14">
        <w:rPr>
          <w:noProof w:val="0"/>
          <w:lang w:val="en-AU"/>
        </w:rPr>
        <w:t xml:space="preserve"> and</w:t>
      </w:r>
    </w:p>
    <w:p w:rsidR="007C69E8" w:rsidRPr="00CD3A14" w:rsidRDefault="007C69E8" w:rsidP="0013400B">
      <w:pPr>
        <w:pStyle w:val="AGRBulletText"/>
        <w:rPr>
          <w:noProof w:val="0"/>
          <w:lang w:val="en-AU"/>
        </w:rPr>
      </w:pPr>
      <w:proofErr w:type="gramStart"/>
      <w:r w:rsidRPr="00CD3A14">
        <w:rPr>
          <w:noProof w:val="0"/>
          <w:lang w:val="en-AU"/>
        </w:rPr>
        <w:t>incomplete</w:t>
      </w:r>
      <w:proofErr w:type="gramEnd"/>
      <w:r w:rsidRPr="00CD3A14">
        <w:rPr>
          <w:noProof w:val="0"/>
          <w:lang w:val="en-AU"/>
        </w:rPr>
        <w:t xml:space="preserve"> Agency Accounting and Property Manuals that did not fully com</w:t>
      </w:r>
      <w:r w:rsidR="00B2285E" w:rsidRPr="00CD3A14">
        <w:rPr>
          <w:noProof w:val="0"/>
          <w:lang w:val="en-AU"/>
        </w:rPr>
        <w:t>ply with Treasurer’s Directions.</w:t>
      </w:r>
    </w:p>
    <w:p w:rsidR="00460357" w:rsidRPr="00CD3A14" w:rsidRDefault="00A364A9" w:rsidP="0013400B">
      <w:pPr>
        <w:pStyle w:val="AGRBodyText"/>
        <w:rPr>
          <w:noProof w:val="0"/>
          <w:lang w:val="en-AU"/>
        </w:rPr>
      </w:pPr>
      <w:r w:rsidRPr="00CD3A14">
        <w:rPr>
          <w:noProof w:val="0"/>
          <w:lang w:val="en-AU"/>
        </w:rPr>
        <w:t xml:space="preserve">During the </w:t>
      </w:r>
      <w:r w:rsidR="00460357" w:rsidRPr="00CD3A14">
        <w:rPr>
          <w:noProof w:val="0"/>
          <w:lang w:val="en-AU"/>
        </w:rPr>
        <w:t>conduct</w:t>
      </w:r>
      <w:r w:rsidRPr="00CD3A14">
        <w:rPr>
          <w:noProof w:val="0"/>
          <w:lang w:val="en-AU"/>
        </w:rPr>
        <w:t xml:space="preserve"> o</w:t>
      </w:r>
      <w:r w:rsidR="00460357" w:rsidRPr="00CD3A14">
        <w:rPr>
          <w:noProof w:val="0"/>
          <w:lang w:val="en-AU"/>
        </w:rPr>
        <w:t>f the Agency Compliance Audits it was</w:t>
      </w:r>
      <w:r w:rsidRPr="00CD3A14">
        <w:rPr>
          <w:noProof w:val="0"/>
          <w:lang w:val="en-AU"/>
        </w:rPr>
        <w:t xml:space="preserve"> noted </w:t>
      </w:r>
      <w:r w:rsidR="00460357" w:rsidRPr="00CD3A14">
        <w:rPr>
          <w:noProof w:val="0"/>
          <w:lang w:val="en-AU"/>
        </w:rPr>
        <w:t xml:space="preserve">that </w:t>
      </w:r>
      <w:r w:rsidRPr="00CD3A14">
        <w:rPr>
          <w:noProof w:val="0"/>
          <w:lang w:val="en-AU"/>
        </w:rPr>
        <w:t xml:space="preserve">the Treasurer’s Directions </w:t>
      </w:r>
      <w:r w:rsidR="00B44839" w:rsidRPr="00CD3A14">
        <w:rPr>
          <w:noProof w:val="0"/>
          <w:lang w:val="en-AU"/>
        </w:rPr>
        <w:t xml:space="preserve">(TD’s) </w:t>
      </w:r>
      <w:r w:rsidRPr="00CD3A14">
        <w:rPr>
          <w:noProof w:val="0"/>
          <w:lang w:val="en-AU"/>
        </w:rPr>
        <w:t>g</w:t>
      </w:r>
      <w:r w:rsidR="00B44839" w:rsidRPr="00CD3A14">
        <w:rPr>
          <w:noProof w:val="0"/>
          <w:lang w:val="en-AU"/>
        </w:rPr>
        <w:t>a</w:t>
      </w:r>
      <w:r w:rsidRPr="00CD3A14">
        <w:rPr>
          <w:noProof w:val="0"/>
          <w:lang w:val="en-AU"/>
        </w:rPr>
        <w:t>ve little guidance with regard to the definition of hospitality expenditure</w:t>
      </w:r>
      <w:r w:rsidR="00460357" w:rsidRPr="00CD3A14">
        <w:rPr>
          <w:noProof w:val="0"/>
          <w:lang w:val="en-AU"/>
        </w:rPr>
        <w:t xml:space="preserve">.  This resulted in </w:t>
      </w:r>
      <w:r w:rsidRPr="00CD3A14">
        <w:rPr>
          <w:noProof w:val="0"/>
          <w:lang w:val="en-AU"/>
        </w:rPr>
        <w:t xml:space="preserve">each agency </w:t>
      </w:r>
      <w:r w:rsidR="00B44839" w:rsidRPr="00CD3A14">
        <w:rPr>
          <w:noProof w:val="0"/>
          <w:lang w:val="en-AU"/>
        </w:rPr>
        <w:t>creating</w:t>
      </w:r>
      <w:r w:rsidRPr="00CD3A14">
        <w:rPr>
          <w:noProof w:val="0"/>
          <w:lang w:val="en-AU"/>
        </w:rPr>
        <w:t xml:space="preserve"> </w:t>
      </w:r>
      <w:proofErr w:type="gramStart"/>
      <w:r w:rsidRPr="00CD3A14">
        <w:rPr>
          <w:noProof w:val="0"/>
          <w:lang w:val="en-AU"/>
        </w:rPr>
        <w:t>their own</w:t>
      </w:r>
      <w:proofErr w:type="gramEnd"/>
      <w:r w:rsidRPr="00CD3A14">
        <w:rPr>
          <w:noProof w:val="0"/>
          <w:lang w:val="en-AU"/>
        </w:rPr>
        <w:t xml:space="preserve"> </w:t>
      </w:r>
      <w:r w:rsidR="00460357" w:rsidRPr="00CD3A14">
        <w:rPr>
          <w:noProof w:val="0"/>
          <w:lang w:val="en-AU"/>
        </w:rPr>
        <w:t>definition as to what is, and what is not, hospitality expenditure</w:t>
      </w:r>
      <w:r w:rsidRPr="00CD3A14">
        <w:rPr>
          <w:noProof w:val="0"/>
          <w:lang w:val="en-AU"/>
        </w:rPr>
        <w:t xml:space="preserve">. </w:t>
      </w:r>
      <w:r w:rsidR="00460357" w:rsidRPr="00CD3A14">
        <w:rPr>
          <w:noProof w:val="0"/>
          <w:lang w:val="en-AU"/>
        </w:rPr>
        <w:t xml:space="preserve">For example </w:t>
      </w:r>
      <w:r w:rsidRPr="00CD3A14">
        <w:rPr>
          <w:noProof w:val="0"/>
          <w:lang w:val="en-AU"/>
        </w:rPr>
        <w:t xml:space="preserve">one Agency included everything except coffee room biscuits </w:t>
      </w:r>
      <w:r w:rsidR="00460357" w:rsidRPr="00CD3A14">
        <w:rPr>
          <w:noProof w:val="0"/>
          <w:lang w:val="en-AU"/>
        </w:rPr>
        <w:t xml:space="preserve">as hospitality expenditure </w:t>
      </w:r>
      <w:r w:rsidRPr="00CD3A14">
        <w:rPr>
          <w:noProof w:val="0"/>
          <w:lang w:val="en-AU"/>
        </w:rPr>
        <w:t>whilst another excluded morning and afternoon teas, light working lunches, and food consumed for training courses.</w:t>
      </w:r>
      <w:r w:rsidR="006A1B3E" w:rsidRPr="00CD3A14">
        <w:rPr>
          <w:noProof w:val="0"/>
          <w:lang w:val="en-AU"/>
        </w:rPr>
        <w:t xml:space="preserve">  </w:t>
      </w:r>
    </w:p>
    <w:p w:rsidR="00A364A9" w:rsidRPr="00CD3A14" w:rsidRDefault="00460357" w:rsidP="0013400B">
      <w:pPr>
        <w:pStyle w:val="AGRBodyText"/>
        <w:rPr>
          <w:noProof w:val="0"/>
          <w:lang w:val="en-AU"/>
        </w:rPr>
      </w:pPr>
      <w:r w:rsidRPr="00CD3A14">
        <w:rPr>
          <w:noProof w:val="0"/>
          <w:lang w:val="en-AU"/>
        </w:rPr>
        <w:t>It was</w:t>
      </w:r>
      <w:r w:rsidR="006A1B3E" w:rsidRPr="00CD3A14">
        <w:rPr>
          <w:noProof w:val="0"/>
          <w:lang w:val="en-AU"/>
        </w:rPr>
        <w:t xml:space="preserve"> also noted that s</w:t>
      </w:r>
      <w:r w:rsidR="00A364A9" w:rsidRPr="00CD3A14">
        <w:rPr>
          <w:noProof w:val="0"/>
          <w:lang w:val="en-AU"/>
        </w:rPr>
        <w:t>ome T</w:t>
      </w:r>
      <w:r w:rsidR="00B44839" w:rsidRPr="00CD3A14">
        <w:rPr>
          <w:noProof w:val="0"/>
          <w:lang w:val="en-AU"/>
        </w:rPr>
        <w:t>D’s we</w:t>
      </w:r>
      <w:r w:rsidR="00A364A9" w:rsidRPr="00CD3A14">
        <w:rPr>
          <w:noProof w:val="0"/>
          <w:lang w:val="en-AU"/>
        </w:rPr>
        <w:t xml:space="preserve">re outdated </w:t>
      </w:r>
      <w:r w:rsidRPr="00CD3A14">
        <w:rPr>
          <w:noProof w:val="0"/>
          <w:lang w:val="en-AU"/>
        </w:rPr>
        <w:t xml:space="preserve">(with some of them last being updated in May 1995) </w:t>
      </w:r>
      <w:r w:rsidR="00A364A9" w:rsidRPr="00CD3A14">
        <w:rPr>
          <w:noProof w:val="0"/>
          <w:lang w:val="en-AU"/>
        </w:rPr>
        <w:t>or contain</w:t>
      </w:r>
      <w:r w:rsidR="00B44839" w:rsidRPr="00CD3A14">
        <w:rPr>
          <w:noProof w:val="0"/>
          <w:lang w:val="en-AU"/>
        </w:rPr>
        <w:t>ed</w:t>
      </w:r>
      <w:r w:rsidR="00A364A9" w:rsidRPr="00CD3A14">
        <w:rPr>
          <w:noProof w:val="0"/>
          <w:lang w:val="en-AU"/>
        </w:rPr>
        <w:t xml:space="preserve"> incorrect references.  </w:t>
      </w:r>
    </w:p>
    <w:p w:rsidR="00A364A9" w:rsidRPr="00CD3A14" w:rsidRDefault="00A364A9" w:rsidP="0013400B">
      <w:pPr>
        <w:pStyle w:val="AGRBodyText"/>
        <w:rPr>
          <w:noProof w:val="0"/>
          <w:lang w:val="en-AU"/>
        </w:rPr>
      </w:pPr>
      <w:r w:rsidRPr="00CD3A14">
        <w:rPr>
          <w:noProof w:val="0"/>
          <w:lang w:val="en-AU"/>
        </w:rPr>
        <w:t>Examples of incorrect referencing within the TD’s include:</w:t>
      </w:r>
    </w:p>
    <w:p w:rsidR="00A364A9" w:rsidRPr="00CD3A14" w:rsidRDefault="00A364A9" w:rsidP="0013400B">
      <w:pPr>
        <w:pStyle w:val="AGRBulletText"/>
        <w:rPr>
          <w:noProof w:val="0"/>
          <w:lang w:val="en-AU"/>
        </w:rPr>
      </w:pPr>
      <w:r w:rsidRPr="00CD3A14">
        <w:rPr>
          <w:noProof w:val="0"/>
          <w:lang w:val="en-AU"/>
        </w:rPr>
        <w:t xml:space="preserve">TD A2.6 refers to TD </w:t>
      </w:r>
      <w:proofErr w:type="gramStart"/>
      <w:r w:rsidRPr="00CD3A14">
        <w:rPr>
          <w:noProof w:val="0"/>
          <w:lang w:val="en-AU"/>
        </w:rPr>
        <w:t>G2.6,</w:t>
      </w:r>
      <w:proofErr w:type="gramEnd"/>
      <w:r w:rsidRPr="00CD3A14">
        <w:rPr>
          <w:noProof w:val="0"/>
          <w:lang w:val="en-AU"/>
        </w:rPr>
        <w:t xml:space="preserve"> however TD G2.6 no longer exits.</w:t>
      </w:r>
    </w:p>
    <w:p w:rsidR="00A364A9" w:rsidRPr="00CD3A14" w:rsidRDefault="00A364A9" w:rsidP="0013400B">
      <w:pPr>
        <w:pStyle w:val="AGRBulletText"/>
        <w:rPr>
          <w:noProof w:val="0"/>
          <w:lang w:val="en-AU"/>
        </w:rPr>
      </w:pPr>
      <w:r w:rsidRPr="00CD3A14">
        <w:rPr>
          <w:noProof w:val="0"/>
          <w:lang w:val="en-AU"/>
        </w:rPr>
        <w:t xml:space="preserve">Part 4 Section 1 Budget Management refers to sections 22 and 23 of the </w:t>
      </w:r>
      <w:r w:rsidRPr="00CD3A14">
        <w:rPr>
          <w:i/>
          <w:noProof w:val="0"/>
          <w:lang w:val="en-AU"/>
        </w:rPr>
        <w:t>Financial Management Act</w:t>
      </w:r>
      <w:r w:rsidRPr="00CD3A14">
        <w:rPr>
          <w:noProof w:val="0"/>
          <w:lang w:val="en-AU"/>
        </w:rPr>
        <w:t xml:space="preserve">, however those section were repealed in 2009 and 2002 respectively. </w:t>
      </w:r>
    </w:p>
    <w:p w:rsidR="00A364A9" w:rsidRPr="00CD3A14" w:rsidRDefault="00A364A9" w:rsidP="0013400B">
      <w:pPr>
        <w:pStyle w:val="AGRBulletText"/>
        <w:rPr>
          <w:noProof w:val="0"/>
          <w:lang w:val="en-AU"/>
        </w:rPr>
      </w:pPr>
      <w:r w:rsidRPr="00CD3A14">
        <w:rPr>
          <w:noProof w:val="0"/>
          <w:lang w:val="en-AU"/>
        </w:rPr>
        <w:t>Part 4 Section 2 refers to Part 2 Section 5 which no longer exists.</w:t>
      </w:r>
    </w:p>
    <w:p w:rsidR="00460357" w:rsidRPr="00CD3A14" w:rsidRDefault="00460357" w:rsidP="0013400B">
      <w:pPr>
        <w:pStyle w:val="AGRBodyText"/>
        <w:rPr>
          <w:noProof w:val="0"/>
          <w:lang w:val="en-AU"/>
        </w:rPr>
      </w:pPr>
      <w:r w:rsidRPr="00CD3A14">
        <w:rPr>
          <w:noProof w:val="0"/>
          <w:lang w:val="en-AU"/>
        </w:rPr>
        <w:t>The lack of clarity over the definition of hospitality expenditure, and the outdated/incorrectly referenced TD’s, makes it difficult for Agency staff to apply the TD’s appropriately.</w:t>
      </w:r>
    </w:p>
    <w:p w:rsidR="00A364A9" w:rsidRPr="00CD3A14" w:rsidRDefault="00A364A9" w:rsidP="0013400B">
      <w:pPr>
        <w:pStyle w:val="AGRBodyText"/>
        <w:rPr>
          <w:noProof w:val="0"/>
          <w:lang w:val="en-AU"/>
        </w:rPr>
      </w:pPr>
    </w:p>
    <w:p w:rsidR="008F3751" w:rsidRPr="00214554" w:rsidRDefault="00C54984" w:rsidP="00214554">
      <w:pPr>
        <w:pStyle w:val="AGRHeading1"/>
      </w:pPr>
      <w:r w:rsidRPr="00CD3A14">
        <w:t xml:space="preserve">Selected Agencies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 xml:space="preserve">The Department </w:t>
            </w:r>
            <w:r w:rsidR="001E5E5C" w:rsidRPr="00516156">
              <w:rPr>
                <w:rFonts w:ascii="Arial" w:hAnsi="Arial" w:cs="Arial"/>
                <w:sz w:val="22"/>
                <w:szCs w:val="22"/>
                <w:lang w:val="en-AU"/>
              </w:rPr>
              <w:t>of Children and Families</w:t>
            </w:r>
            <w:r w:rsidRPr="00516156">
              <w:rPr>
                <w:rFonts w:ascii="Arial" w:hAnsi="Arial" w:cs="Arial"/>
                <w:sz w:val="22"/>
                <w:szCs w:val="22"/>
                <w:lang w:val="en-AU"/>
              </w:rPr>
              <w:t xml:space="preserve"> has commented:</w:t>
            </w:r>
          </w:p>
        </w:tc>
      </w:tr>
      <w:tr w:rsidR="008F3751" w:rsidRPr="0018172D" w:rsidTr="008F3751">
        <w:tc>
          <w:tcPr>
            <w:tcW w:w="8151" w:type="dxa"/>
            <w:shd w:val="clear" w:color="auto" w:fill="F2F2F2" w:themeFill="background1" w:themeFillShade="F2"/>
          </w:tcPr>
          <w:p w:rsidR="008F3751" w:rsidRPr="0018172D" w:rsidRDefault="00132172" w:rsidP="008F3751">
            <w:pPr>
              <w:pStyle w:val="StyleAGRBodyCommentJustifiedLeft0cmPatternClearBa"/>
              <w:rPr>
                <w:sz w:val="21"/>
                <w:szCs w:val="21"/>
              </w:rPr>
            </w:pPr>
            <w:r w:rsidRPr="0018172D">
              <w:rPr>
                <w:sz w:val="21"/>
                <w:szCs w:val="21"/>
              </w:rPr>
              <w:t>A number of key findings identified in the Auditor-General’s Report apply to the Department of Children and Families, particularly procurement.  The Department has implemented a range of measures to facilitate compliance with requirements.  The Department of Children and Families would welcome more explicit Treasurer’s Directions regarding the definition of ‘hospitality’</w:t>
            </w:r>
            <w:r w:rsidR="008F3751" w:rsidRPr="0018172D">
              <w:rPr>
                <w:sz w:val="21"/>
                <w:szCs w:val="21"/>
              </w:rPr>
              <w:t>.</w:t>
            </w:r>
          </w:p>
        </w:tc>
      </w:tr>
    </w:tbl>
    <w:p w:rsidR="008F3751" w:rsidRDefault="008F3751">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 xml:space="preserve">The Department </w:t>
            </w:r>
            <w:r w:rsidR="001E5E5C" w:rsidRPr="00516156">
              <w:rPr>
                <w:rFonts w:ascii="Arial" w:hAnsi="Arial" w:cs="Arial"/>
                <w:sz w:val="22"/>
                <w:szCs w:val="22"/>
                <w:lang w:val="en-AU"/>
              </w:rPr>
              <w:t>of Corporate and Information Services</w:t>
            </w:r>
            <w:r w:rsidRPr="00516156">
              <w:rPr>
                <w:rFonts w:ascii="Arial" w:hAnsi="Arial" w:cs="Arial"/>
                <w:sz w:val="22"/>
                <w:szCs w:val="22"/>
                <w:lang w:val="en-AU"/>
              </w:rPr>
              <w:t xml:space="preserve"> has commented:</w:t>
            </w:r>
          </w:p>
        </w:tc>
      </w:tr>
      <w:tr w:rsidR="008F3751" w:rsidRPr="0018172D" w:rsidTr="008F3751">
        <w:tc>
          <w:tcPr>
            <w:tcW w:w="8151" w:type="dxa"/>
            <w:shd w:val="clear" w:color="auto" w:fill="F2F2F2" w:themeFill="background1" w:themeFillShade="F2"/>
          </w:tcPr>
          <w:p w:rsidR="008F3751" w:rsidRPr="0018172D" w:rsidRDefault="002E1CB5" w:rsidP="002E1CB5">
            <w:pPr>
              <w:pStyle w:val="StyleAGRBodyCommentJustifiedLeft0cmPatternClearBa"/>
              <w:rPr>
                <w:sz w:val="21"/>
                <w:szCs w:val="21"/>
              </w:rPr>
            </w:pPr>
            <w:r>
              <w:rPr>
                <w:sz w:val="21"/>
                <w:szCs w:val="21"/>
              </w:rPr>
              <w:t>DCI</w:t>
            </w:r>
            <w:r w:rsidRPr="002E1CB5">
              <w:rPr>
                <w:sz w:val="21"/>
                <w:szCs w:val="21"/>
              </w:rPr>
              <w:t>S confirms that appropriate internal controls are in place with no material</w:t>
            </w:r>
            <w:r>
              <w:rPr>
                <w:sz w:val="21"/>
                <w:szCs w:val="21"/>
              </w:rPr>
              <w:t xml:space="preserve"> </w:t>
            </w:r>
            <w:r w:rsidRPr="002E1CB5">
              <w:rPr>
                <w:sz w:val="21"/>
                <w:szCs w:val="21"/>
              </w:rPr>
              <w:t>control weaknesses identified in the agency compliance audit of</w:t>
            </w:r>
            <w:r>
              <w:rPr>
                <w:sz w:val="21"/>
                <w:szCs w:val="21"/>
              </w:rPr>
              <w:t xml:space="preserve"> </w:t>
            </w:r>
            <w:r w:rsidRPr="002E1CB5">
              <w:rPr>
                <w:sz w:val="21"/>
                <w:szCs w:val="21"/>
              </w:rPr>
              <w:t>DCIS.</w:t>
            </w:r>
          </w:p>
        </w:tc>
      </w:tr>
    </w:tbl>
    <w:p w:rsidR="008F3751" w:rsidRDefault="008F3751" w:rsidP="000B351C">
      <w:pPr>
        <w:ind w:left="0"/>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 xml:space="preserve">The Department </w:t>
            </w:r>
            <w:r w:rsidR="001E5E5C" w:rsidRPr="00516156">
              <w:rPr>
                <w:rFonts w:ascii="Arial" w:hAnsi="Arial" w:cs="Arial"/>
                <w:sz w:val="22"/>
                <w:szCs w:val="22"/>
                <w:lang w:val="en-AU"/>
              </w:rPr>
              <w:t xml:space="preserve">of </w:t>
            </w:r>
            <w:r w:rsidRPr="00516156">
              <w:rPr>
                <w:rFonts w:ascii="Arial" w:hAnsi="Arial" w:cs="Arial"/>
                <w:sz w:val="22"/>
                <w:szCs w:val="22"/>
                <w:lang w:val="en-AU"/>
              </w:rPr>
              <w:t>Education has commented:</w:t>
            </w:r>
          </w:p>
        </w:tc>
      </w:tr>
      <w:tr w:rsidR="008F3751" w:rsidRPr="0018172D" w:rsidTr="008F3751">
        <w:tc>
          <w:tcPr>
            <w:tcW w:w="8151" w:type="dxa"/>
            <w:shd w:val="clear" w:color="auto" w:fill="F2F2F2" w:themeFill="background1" w:themeFillShade="F2"/>
          </w:tcPr>
          <w:p w:rsidR="008F3751" w:rsidRPr="0018172D" w:rsidRDefault="00791FF8" w:rsidP="00791FF8">
            <w:pPr>
              <w:pStyle w:val="StyleAGRBodyCommentJustifiedLeft0cmPatternClearBa"/>
              <w:rPr>
                <w:sz w:val="21"/>
                <w:szCs w:val="21"/>
              </w:rPr>
            </w:pPr>
            <w:r w:rsidRPr="00791FF8">
              <w:rPr>
                <w:sz w:val="21"/>
                <w:szCs w:val="21"/>
              </w:rPr>
              <w:t>The Department of Education continues to implement improvements in its systems, including</w:t>
            </w:r>
            <w:r>
              <w:rPr>
                <w:sz w:val="21"/>
                <w:szCs w:val="21"/>
              </w:rPr>
              <w:t xml:space="preserve"> </w:t>
            </w:r>
            <w:r w:rsidRPr="00791FF8">
              <w:rPr>
                <w:sz w:val="21"/>
                <w:szCs w:val="21"/>
              </w:rPr>
              <w:t>key areas identified in the compliance audit.</w:t>
            </w:r>
          </w:p>
        </w:tc>
      </w:tr>
    </w:tbl>
    <w:p w:rsidR="008F3751" w:rsidRDefault="008F3751" w:rsidP="008F3751">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 xml:space="preserve">The Department </w:t>
            </w:r>
            <w:r w:rsidR="001E5E5C" w:rsidRPr="00516156">
              <w:rPr>
                <w:rFonts w:ascii="Arial" w:hAnsi="Arial" w:cs="Arial"/>
                <w:sz w:val="22"/>
                <w:szCs w:val="22"/>
                <w:lang w:val="en-AU"/>
              </w:rPr>
              <w:t>of Housing</w:t>
            </w:r>
            <w:r w:rsidRPr="00516156">
              <w:rPr>
                <w:rFonts w:ascii="Arial" w:hAnsi="Arial" w:cs="Arial"/>
                <w:sz w:val="22"/>
                <w:szCs w:val="22"/>
                <w:lang w:val="en-AU"/>
              </w:rPr>
              <w:t xml:space="preserve"> has commented:</w:t>
            </w:r>
          </w:p>
        </w:tc>
      </w:tr>
      <w:tr w:rsidR="008F3751" w:rsidRPr="0018172D" w:rsidTr="008F3751">
        <w:tc>
          <w:tcPr>
            <w:tcW w:w="8151" w:type="dxa"/>
            <w:shd w:val="clear" w:color="auto" w:fill="F2F2F2" w:themeFill="background1" w:themeFillShade="F2"/>
          </w:tcPr>
          <w:p w:rsidR="008F3751" w:rsidRPr="0018172D" w:rsidRDefault="008B1816" w:rsidP="008F3751">
            <w:pPr>
              <w:pStyle w:val="StyleAGRBodyCommentJustifiedLeft0cmPatternClearBa"/>
              <w:rPr>
                <w:sz w:val="21"/>
                <w:szCs w:val="21"/>
              </w:rPr>
            </w:pPr>
            <w:r>
              <w:rPr>
                <w:sz w:val="21"/>
                <w:szCs w:val="21"/>
              </w:rPr>
              <w:t>The Department of Housing acknowledges the findings of the Agency Compliance Audits and is addressing the identified issues where they are applicable to this Department</w:t>
            </w:r>
            <w:r w:rsidR="008F3751" w:rsidRPr="0018172D">
              <w:rPr>
                <w:sz w:val="21"/>
                <w:szCs w:val="21"/>
              </w:rPr>
              <w:t>.</w:t>
            </w:r>
          </w:p>
        </w:tc>
      </w:tr>
    </w:tbl>
    <w:p w:rsidR="0018172D" w:rsidRPr="0018172D" w:rsidRDefault="0018172D" w:rsidP="0018172D">
      <w:pPr>
        <w:pStyle w:val="AGRBodyText"/>
        <w:rPr>
          <w:lang w:val="en-AU" w:eastAsia="en-U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 xml:space="preserve">The Department </w:t>
            </w:r>
            <w:r w:rsidR="001E5E5C" w:rsidRPr="00516156">
              <w:rPr>
                <w:rFonts w:ascii="Arial" w:hAnsi="Arial" w:cs="Arial"/>
                <w:sz w:val="22"/>
                <w:szCs w:val="22"/>
                <w:lang w:val="en-AU"/>
              </w:rPr>
              <w:t>of Land Resource Management</w:t>
            </w:r>
            <w:r w:rsidRPr="00516156">
              <w:rPr>
                <w:rFonts w:ascii="Arial" w:hAnsi="Arial" w:cs="Arial"/>
                <w:sz w:val="22"/>
                <w:szCs w:val="22"/>
                <w:lang w:val="en-AU"/>
              </w:rPr>
              <w:t xml:space="preserve"> has commented:</w:t>
            </w:r>
          </w:p>
        </w:tc>
      </w:tr>
      <w:tr w:rsidR="008F3751" w:rsidRPr="0018172D" w:rsidTr="008F3751">
        <w:tc>
          <w:tcPr>
            <w:tcW w:w="8151" w:type="dxa"/>
            <w:shd w:val="clear" w:color="auto" w:fill="F2F2F2" w:themeFill="background1" w:themeFillShade="F2"/>
          </w:tcPr>
          <w:p w:rsidR="008F3751" w:rsidRPr="0018172D" w:rsidRDefault="006645AF" w:rsidP="008F3751">
            <w:pPr>
              <w:pStyle w:val="StyleAGRBodyCommentJustifiedLeft0cmPatternClearBa"/>
              <w:rPr>
                <w:sz w:val="21"/>
                <w:szCs w:val="21"/>
              </w:rPr>
            </w:pPr>
            <w:r w:rsidRPr="006645AF">
              <w:rPr>
                <w:sz w:val="21"/>
                <w:szCs w:val="21"/>
              </w:rPr>
              <w:t>The Department was delighted to receive a clean audit management report, with no matters arising, as it demonstrated that internal controls were working effectively</w:t>
            </w:r>
            <w:r w:rsidR="008F3751" w:rsidRPr="0018172D">
              <w:rPr>
                <w:sz w:val="21"/>
                <w:szCs w:val="21"/>
              </w:rPr>
              <w:t>.</w:t>
            </w:r>
          </w:p>
        </w:tc>
      </w:tr>
    </w:tbl>
    <w:p w:rsidR="00214554" w:rsidRPr="00214554" w:rsidRDefault="00214554" w:rsidP="00214554">
      <w:pPr>
        <w:pStyle w:val="AGRHeading1"/>
      </w:pPr>
      <w:r w:rsidRPr="00CD3A14">
        <w:t xml:space="preserve">Selected Agencies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8F3751" w:rsidRPr="0018172D" w:rsidTr="008F3751">
        <w:trPr>
          <w:tblHeader/>
        </w:trPr>
        <w:tc>
          <w:tcPr>
            <w:tcW w:w="8151" w:type="dxa"/>
            <w:shd w:val="clear" w:color="auto" w:fill="F2F2F2" w:themeFill="background1" w:themeFillShade="F2"/>
          </w:tcPr>
          <w:p w:rsidR="008F3751" w:rsidRPr="00516156" w:rsidRDefault="008F3751"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 xml:space="preserve">The Department </w:t>
            </w:r>
            <w:r w:rsidR="001E5E5C" w:rsidRPr="00516156">
              <w:rPr>
                <w:rFonts w:ascii="Arial" w:hAnsi="Arial" w:cs="Arial"/>
                <w:sz w:val="22"/>
                <w:szCs w:val="22"/>
                <w:lang w:val="en-AU"/>
              </w:rPr>
              <w:t>of Lands, Planning and the Environment</w:t>
            </w:r>
            <w:r w:rsidRPr="00516156">
              <w:rPr>
                <w:rFonts w:ascii="Arial" w:hAnsi="Arial" w:cs="Arial"/>
                <w:sz w:val="22"/>
                <w:szCs w:val="22"/>
                <w:lang w:val="en-AU"/>
              </w:rPr>
              <w:t xml:space="preserve"> has commented:</w:t>
            </w:r>
          </w:p>
        </w:tc>
      </w:tr>
      <w:tr w:rsidR="008F3751" w:rsidRPr="0018172D" w:rsidTr="008F3751">
        <w:tc>
          <w:tcPr>
            <w:tcW w:w="8151" w:type="dxa"/>
            <w:shd w:val="clear" w:color="auto" w:fill="F2F2F2" w:themeFill="background1" w:themeFillShade="F2"/>
          </w:tcPr>
          <w:p w:rsidR="008F3751" w:rsidRPr="0018172D" w:rsidRDefault="00164ABE" w:rsidP="00164ABE">
            <w:pPr>
              <w:pStyle w:val="StyleAGRBodyCommentJustifiedLeft0cmPatternClearBa"/>
              <w:rPr>
                <w:sz w:val="21"/>
                <w:szCs w:val="21"/>
              </w:rPr>
            </w:pPr>
            <w:r w:rsidRPr="00164ABE">
              <w:rPr>
                <w:sz w:val="21"/>
                <w:szCs w:val="21"/>
              </w:rPr>
              <w:t>We continue to implement improvements in our systems and note</w:t>
            </w:r>
            <w:r>
              <w:rPr>
                <w:sz w:val="21"/>
                <w:szCs w:val="21"/>
              </w:rPr>
              <w:t xml:space="preserve"> </w:t>
            </w:r>
            <w:r w:rsidRPr="00164ABE">
              <w:rPr>
                <w:sz w:val="21"/>
                <w:szCs w:val="21"/>
              </w:rPr>
              <w:t>key areas you have identified in your compliance audit across a</w:t>
            </w:r>
            <w:r>
              <w:rPr>
                <w:sz w:val="21"/>
                <w:szCs w:val="21"/>
              </w:rPr>
              <w:t xml:space="preserve"> </w:t>
            </w:r>
            <w:r w:rsidRPr="00164ABE">
              <w:rPr>
                <w:sz w:val="21"/>
                <w:szCs w:val="21"/>
              </w:rPr>
              <w:t>number of agencies including the Department of Lands, Planning and</w:t>
            </w:r>
            <w:r>
              <w:rPr>
                <w:sz w:val="21"/>
                <w:szCs w:val="21"/>
              </w:rPr>
              <w:t xml:space="preserve"> the Environment</w:t>
            </w:r>
            <w:r w:rsidR="008F3751" w:rsidRPr="0018172D">
              <w:rPr>
                <w:sz w:val="21"/>
                <w:szCs w:val="21"/>
              </w:rPr>
              <w:t>.</w:t>
            </w:r>
          </w:p>
        </w:tc>
      </w:tr>
    </w:tbl>
    <w:p w:rsidR="001E5E5C" w:rsidRDefault="001E5E5C" w:rsidP="00290FA3">
      <w:pPr>
        <w:ind w:left="0"/>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Mines and Energy has commented:</w:t>
            </w:r>
          </w:p>
        </w:tc>
      </w:tr>
      <w:tr w:rsidR="001E5E5C" w:rsidRPr="0018172D" w:rsidTr="005E1FE4">
        <w:tc>
          <w:tcPr>
            <w:tcW w:w="8151" w:type="dxa"/>
            <w:shd w:val="clear" w:color="auto" w:fill="F2F2F2" w:themeFill="background1" w:themeFillShade="F2"/>
          </w:tcPr>
          <w:p w:rsidR="00BB0EBC" w:rsidRPr="0018172D" w:rsidRDefault="00BB0EBC" w:rsidP="00BB0EBC">
            <w:pPr>
              <w:pStyle w:val="StyleAGRBodyCommentJustifiedLeft0cmPatternClearBa"/>
              <w:rPr>
                <w:sz w:val="21"/>
                <w:szCs w:val="21"/>
              </w:rPr>
            </w:pPr>
            <w:r w:rsidRPr="0018172D">
              <w:rPr>
                <w:sz w:val="21"/>
                <w:szCs w:val="21"/>
              </w:rPr>
              <w:t>The Department of Mines and Energy (DME) notes the Audit Opinion of the Auditor General in relation to DME’s Compliance Audit ‘that in general the accounting and control procedures examined provide reasonable assurance that the responsibilities of the Accountable Officer, as set out in the Treasurer’s Directions and Procurement Regulations and Guidelines, will be met if those systems continue to operate in the manner identified in the audit’.</w:t>
            </w:r>
          </w:p>
          <w:p w:rsidR="001E5E5C" w:rsidRPr="0018172D" w:rsidRDefault="00BB0EBC" w:rsidP="00BB0EBC">
            <w:pPr>
              <w:pStyle w:val="StyleAGRBodyCommentJustifiedLeft0cmPatternClearBa"/>
              <w:rPr>
                <w:sz w:val="21"/>
                <w:szCs w:val="21"/>
              </w:rPr>
            </w:pPr>
            <w:r w:rsidRPr="0018172D">
              <w:rPr>
                <w:sz w:val="21"/>
                <w:szCs w:val="21"/>
              </w:rPr>
              <w:t>The Agency continues to reinforce the requirements under the Accounting and Property Manual through written notifications, reminders and in house training</w:t>
            </w:r>
            <w:r w:rsidR="001E5E5C" w:rsidRPr="0018172D">
              <w:rPr>
                <w:sz w:val="21"/>
                <w:szCs w:val="21"/>
              </w:rPr>
              <w:t>.</w:t>
            </w:r>
          </w:p>
        </w:tc>
      </w:tr>
    </w:tbl>
    <w:p w:rsidR="001E5E5C" w:rsidRDefault="001E5E5C" w:rsidP="001E5E5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5E1FE4">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Chief Minister has commented:</w:t>
            </w:r>
          </w:p>
        </w:tc>
      </w:tr>
      <w:tr w:rsidR="001E5E5C" w:rsidRPr="0018172D" w:rsidTr="005E1FE4">
        <w:tc>
          <w:tcPr>
            <w:tcW w:w="8151" w:type="dxa"/>
            <w:shd w:val="clear" w:color="auto" w:fill="F2F2F2" w:themeFill="background1" w:themeFillShade="F2"/>
          </w:tcPr>
          <w:p w:rsidR="001E5E5C" w:rsidRPr="0018172D" w:rsidRDefault="00B61EDF" w:rsidP="005E1FE4">
            <w:pPr>
              <w:pStyle w:val="StyleAGRBodyCommentJustifiedLeft0cmPatternClearBa"/>
              <w:rPr>
                <w:sz w:val="21"/>
                <w:szCs w:val="21"/>
              </w:rPr>
            </w:pPr>
            <w:r w:rsidRPr="0018172D">
              <w:rPr>
                <w:sz w:val="21"/>
                <w:szCs w:val="21"/>
              </w:rPr>
              <w:t>Findings from the Agency Compliance audit of the department have been noted and acted upon where necessary</w:t>
            </w:r>
            <w:r w:rsidR="001E5E5C" w:rsidRPr="0018172D">
              <w:rPr>
                <w:sz w:val="21"/>
                <w:szCs w:val="21"/>
              </w:rPr>
              <w:t>.</w:t>
            </w:r>
          </w:p>
        </w:tc>
      </w:tr>
    </w:tbl>
    <w:p w:rsidR="001E5E5C" w:rsidRPr="000B351C" w:rsidRDefault="001E5E5C" w:rsidP="000B351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Legislative Assembly has commented:</w:t>
            </w:r>
          </w:p>
        </w:tc>
      </w:tr>
      <w:tr w:rsidR="001E5E5C" w:rsidRPr="0018172D" w:rsidTr="005E1FE4">
        <w:tc>
          <w:tcPr>
            <w:tcW w:w="8151" w:type="dxa"/>
            <w:shd w:val="clear" w:color="auto" w:fill="F2F2F2" w:themeFill="background1" w:themeFillShade="F2"/>
          </w:tcPr>
          <w:p w:rsidR="001E5E5C" w:rsidRPr="0018172D" w:rsidRDefault="00164ABE" w:rsidP="005E1FE4">
            <w:pPr>
              <w:pStyle w:val="StyleAGRBodyCommentJustifiedLeft0cmPatternClearBa"/>
              <w:rPr>
                <w:sz w:val="21"/>
                <w:szCs w:val="21"/>
              </w:rPr>
            </w:pPr>
            <w:r w:rsidRPr="00164ABE">
              <w:rPr>
                <w:sz w:val="21"/>
                <w:szCs w:val="21"/>
              </w:rPr>
              <w:t>The compliance audit found that the Department of Legislative Assembly’s accounting and control procedures provide reasonable assurance to the Clerk and identified four matters requiring attention. Three of those matters have been addressed and the outstanding matter of reviewing the Accounting and Property Manual has commenced and implementation is being monitored by the Audit Committee</w:t>
            </w:r>
            <w:r w:rsidR="001E5E5C" w:rsidRPr="0018172D">
              <w:rPr>
                <w:sz w:val="21"/>
                <w:szCs w:val="21"/>
              </w:rPr>
              <w:t>.</w:t>
            </w:r>
          </w:p>
        </w:tc>
      </w:tr>
    </w:tbl>
    <w:p w:rsidR="001E5E5C" w:rsidRDefault="001E5E5C" w:rsidP="001E5E5C">
      <w:pPr>
        <w:rPr>
          <w:i/>
          <w:iCs/>
        </w:rPr>
      </w:pPr>
    </w:p>
    <w:p w:rsidR="000B351C" w:rsidRPr="000B351C" w:rsidRDefault="000B351C" w:rsidP="000B351C">
      <w:pPr>
        <w:pStyle w:val="AGRHeading1"/>
      </w:pPr>
      <w:r w:rsidRPr="000B351C">
        <w:t xml:space="preserve">Selected Agencies </w:t>
      </w:r>
      <w:proofErr w:type="spellStart"/>
      <w:r w:rsidRPr="000B351C">
        <w:t>cont</w:t>
      </w:r>
      <w:proofErr w:type="spellEnd"/>
      <w:r w:rsidRPr="000B351C">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Transport has commented:</w:t>
            </w:r>
          </w:p>
        </w:tc>
      </w:tr>
      <w:tr w:rsidR="001E5E5C" w:rsidRPr="0018172D" w:rsidTr="005E1FE4">
        <w:tc>
          <w:tcPr>
            <w:tcW w:w="8151" w:type="dxa"/>
            <w:shd w:val="clear" w:color="auto" w:fill="F2F2F2" w:themeFill="background1" w:themeFillShade="F2"/>
          </w:tcPr>
          <w:p w:rsidR="001E5E5C" w:rsidRPr="0018172D" w:rsidRDefault="000F45F7" w:rsidP="005E1FE4">
            <w:pPr>
              <w:pStyle w:val="StyleAGRBodyCommentJustifiedLeft0cmPatternClearBa"/>
              <w:rPr>
                <w:sz w:val="21"/>
                <w:szCs w:val="21"/>
              </w:rPr>
            </w:pPr>
            <w:r>
              <w:rPr>
                <w:sz w:val="21"/>
                <w:szCs w:val="21"/>
              </w:rPr>
              <w:t>We continue to implement improvements in our systems and note key areas you have identified in your compliance audit across a number of agencies including the Department of Transport</w:t>
            </w:r>
            <w:r w:rsidR="001E5E5C" w:rsidRPr="0018172D">
              <w:rPr>
                <w:sz w:val="21"/>
                <w:szCs w:val="21"/>
              </w:rPr>
              <w:t>.</w:t>
            </w:r>
          </w:p>
        </w:tc>
      </w:tr>
    </w:tbl>
    <w:p w:rsidR="001E5E5C" w:rsidRDefault="001E5E5C" w:rsidP="001E5E5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5E1FE4">
            <w:pPr>
              <w:pStyle w:val="StyleAGRHeadingCommentJustifiedLeft0cm"/>
              <w:jc w:val="left"/>
              <w:rPr>
                <w:rFonts w:ascii="Arial" w:hAnsi="Arial" w:cs="Arial"/>
                <w:sz w:val="22"/>
                <w:szCs w:val="22"/>
                <w:lang w:val="en-AU"/>
              </w:rPr>
            </w:pPr>
            <w:r w:rsidRPr="00516156">
              <w:rPr>
                <w:rFonts w:ascii="Arial" w:hAnsi="Arial" w:cs="Arial"/>
                <w:sz w:val="22"/>
                <w:szCs w:val="22"/>
                <w:lang w:val="en-AU"/>
              </w:rPr>
              <w:t>Northern Territory Police, Fire and Emergency Services has commented:</w:t>
            </w:r>
          </w:p>
        </w:tc>
      </w:tr>
      <w:tr w:rsidR="001E5E5C" w:rsidRPr="0018172D" w:rsidTr="005E1FE4">
        <w:tc>
          <w:tcPr>
            <w:tcW w:w="8151" w:type="dxa"/>
            <w:shd w:val="clear" w:color="auto" w:fill="F2F2F2" w:themeFill="background1" w:themeFillShade="F2"/>
          </w:tcPr>
          <w:p w:rsidR="001E5E5C" w:rsidRPr="0018172D" w:rsidRDefault="00013427" w:rsidP="005E1FE4">
            <w:pPr>
              <w:pStyle w:val="StyleAGRBodyCommentJustifiedLeft0cmPatternClearBa"/>
              <w:rPr>
                <w:sz w:val="21"/>
                <w:szCs w:val="21"/>
              </w:rPr>
            </w:pPr>
            <w:r w:rsidRPr="00013427">
              <w:rPr>
                <w:sz w:val="21"/>
                <w:szCs w:val="21"/>
              </w:rPr>
              <w:t>The NTPFES acknowledge the key findings of the Agency Compliance Audit, and have implemented the audit’s key recommendations</w:t>
            </w:r>
            <w:r w:rsidR="001E5E5C" w:rsidRPr="0018172D">
              <w:rPr>
                <w:sz w:val="21"/>
                <w:szCs w:val="21"/>
              </w:rPr>
              <w:t>.</w:t>
            </w:r>
          </w:p>
        </w:tc>
      </w:tr>
    </w:tbl>
    <w:p w:rsidR="001E5E5C" w:rsidRDefault="001E5E5C" w:rsidP="001E5E5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Office of the Commissioner for Public Employment has commented:</w:t>
            </w:r>
          </w:p>
        </w:tc>
      </w:tr>
      <w:tr w:rsidR="001E5E5C" w:rsidRPr="00CD3A14" w:rsidTr="005E1FE4">
        <w:tc>
          <w:tcPr>
            <w:tcW w:w="8151" w:type="dxa"/>
            <w:shd w:val="clear" w:color="auto" w:fill="F2F2F2" w:themeFill="background1" w:themeFillShade="F2"/>
          </w:tcPr>
          <w:p w:rsidR="001E5E5C" w:rsidRPr="0018172D" w:rsidRDefault="00524CA3" w:rsidP="005E1FE4">
            <w:pPr>
              <w:pStyle w:val="StyleAGRBodyCommentJustifiedLeft0cmPatternClearBa"/>
              <w:rPr>
                <w:sz w:val="21"/>
                <w:szCs w:val="21"/>
              </w:rPr>
            </w:pPr>
            <w:r w:rsidRPr="0018172D">
              <w:rPr>
                <w:sz w:val="21"/>
                <w:szCs w:val="21"/>
              </w:rPr>
              <w:t>Findings from the Agency Compliance audit of the department have been noted</w:t>
            </w:r>
            <w:r w:rsidR="001E5E5C" w:rsidRPr="0018172D">
              <w:rPr>
                <w:sz w:val="21"/>
                <w:szCs w:val="21"/>
              </w:rPr>
              <w:t>.</w:t>
            </w:r>
          </w:p>
        </w:tc>
      </w:tr>
    </w:tbl>
    <w:p w:rsidR="001E5E5C" w:rsidRDefault="001E5E5C" w:rsidP="001E5E5C">
      <w:pPr>
        <w:rPr>
          <w:i/>
          <w:iCs/>
        </w:rPr>
      </w:pPr>
    </w:p>
    <w:p w:rsidR="0004358D" w:rsidRPr="00CD3A14" w:rsidRDefault="0004358D">
      <w:r w:rsidRPr="00CD3A14">
        <w:rPr>
          <w:i/>
          <w:iCs/>
        </w:rPr>
        <w:br w:type="page"/>
      </w:r>
    </w:p>
    <w:p w:rsidR="004430E4" w:rsidRPr="00CD3A14" w:rsidRDefault="004430E4" w:rsidP="004430E4">
      <w:pPr>
        <w:pStyle w:val="AGRHeading1"/>
      </w:pPr>
      <w:r w:rsidRPr="00CD3A14">
        <w:t>Selected Agencies</w:t>
      </w:r>
    </w:p>
    <w:p w:rsidR="004430E4" w:rsidRPr="00CD3A14" w:rsidRDefault="004430E4" w:rsidP="004430E4">
      <w:pPr>
        <w:pStyle w:val="AGRHeading2"/>
      </w:pPr>
      <w:bookmarkStart w:id="30" w:name="PMS"/>
      <w:r w:rsidRPr="00CD3A14">
        <w:t>Evaluation of Selected Aspects of the Agency’s Performance Management System Audit</w:t>
      </w:r>
      <w:bookmarkEnd w:id="30"/>
      <w:r w:rsidRPr="00CD3A14">
        <w:t>s</w:t>
      </w:r>
    </w:p>
    <w:p w:rsidR="004430E4" w:rsidRPr="00CD3A14" w:rsidRDefault="004430E4" w:rsidP="004430E4">
      <w:pPr>
        <w:pStyle w:val="AGRHeading3"/>
      </w:pPr>
      <w:r w:rsidRPr="00CD3A14">
        <w:t>Audit Objectives and Scope</w:t>
      </w:r>
    </w:p>
    <w:p w:rsidR="004430E4" w:rsidRPr="00CD3A14" w:rsidRDefault="004430E4" w:rsidP="0013400B">
      <w:pPr>
        <w:pStyle w:val="AGRBodyText"/>
        <w:rPr>
          <w:noProof w:val="0"/>
          <w:lang w:val="en-AU"/>
        </w:rPr>
      </w:pPr>
      <w:r w:rsidRPr="00CD3A14">
        <w:rPr>
          <w:noProof w:val="0"/>
          <w:lang w:val="en-AU"/>
        </w:rPr>
        <w:t xml:space="preserve">Section 15 of the Audit Act provides that </w:t>
      </w:r>
      <w:r w:rsidRPr="004B1F76">
        <w:rPr>
          <w:i/>
          <w:noProof w:val="0"/>
          <w:lang w:val="en-AU"/>
        </w:rPr>
        <w:t>“the Auditor-General may conduct an audit of performance management systems of any Agency or other organisation in respect of the accounts of which the Auditor-General is required or permitted by a law of the Territory to conduct an audit.</w:t>
      </w:r>
      <w:r w:rsidRPr="00CD3A14">
        <w:rPr>
          <w:noProof w:val="0"/>
          <w:lang w:val="en-AU"/>
        </w:rPr>
        <w:t>”</w:t>
      </w:r>
    </w:p>
    <w:p w:rsidR="004430E4" w:rsidRPr="00CD3A14" w:rsidRDefault="004430E4" w:rsidP="0013400B">
      <w:pPr>
        <w:pStyle w:val="AGRBodyText"/>
        <w:rPr>
          <w:noProof w:val="0"/>
          <w:lang w:val="en-AU"/>
        </w:rPr>
      </w:pPr>
      <w:r w:rsidRPr="00CD3A14">
        <w:rPr>
          <w:noProof w:val="0"/>
          <w:lang w:val="en-AU"/>
        </w:rPr>
        <w:t>The objective of an audit conducted under Section 15 includes “</w:t>
      </w:r>
      <w:r w:rsidRPr="004B1F76">
        <w:rPr>
          <w:i/>
          <w:noProof w:val="0"/>
          <w:lang w:val="en-AU"/>
        </w:rPr>
        <w:t>determining whether the performance management systems of the Agency or organisation in respect of which the audit is being conducted enable the Agency or organisation to assess whether its objectives are being achieved economically, efficiently and effectively.</w:t>
      </w:r>
      <w:r w:rsidRPr="00CD3A14">
        <w:rPr>
          <w:noProof w:val="0"/>
          <w:lang w:val="en-AU"/>
        </w:rPr>
        <w:t>”</w:t>
      </w:r>
    </w:p>
    <w:p w:rsidR="004430E4" w:rsidRPr="00CD3A14" w:rsidRDefault="004430E4" w:rsidP="004430E4">
      <w:pPr>
        <w:pStyle w:val="AGRHeading3"/>
      </w:pPr>
      <w:r w:rsidRPr="00CD3A14">
        <w:t>Background</w:t>
      </w:r>
    </w:p>
    <w:p w:rsidR="004430E4" w:rsidRPr="00CD3A14" w:rsidRDefault="004430E4" w:rsidP="0013400B">
      <w:pPr>
        <w:pStyle w:val="AGRBodyText"/>
        <w:rPr>
          <w:noProof w:val="0"/>
          <w:lang w:val="en-AU"/>
        </w:rPr>
      </w:pPr>
      <w:r w:rsidRPr="00CD3A14">
        <w:rPr>
          <w:noProof w:val="0"/>
          <w:lang w:val="en-AU"/>
        </w:rPr>
        <w:t>In order for the Agency to effectively communicate progress against its objectives, there should be a clear linkage between the Agency’s publicly stated strategic goals (as reported in Budget Paper 3) and the Agency’s performance against those strategic goals (as reported in the Agency’s Annual Report).</w:t>
      </w:r>
    </w:p>
    <w:p w:rsidR="004430E4" w:rsidRPr="00CD3A14" w:rsidRDefault="004430E4" w:rsidP="0013400B">
      <w:pPr>
        <w:pStyle w:val="AGRBodyText"/>
        <w:rPr>
          <w:noProof w:val="0"/>
          <w:lang w:val="en-AU"/>
        </w:rPr>
      </w:pPr>
      <w:r w:rsidRPr="00CD3A14">
        <w:rPr>
          <w:noProof w:val="0"/>
          <w:lang w:val="en-AU"/>
        </w:rPr>
        <w:t>To this end, I have assessed whether the following components of a performance management system are implemented and operating effectively within the Agency in relation to a selected Agency’s stated strategic goal as reported in Budget Paper 3 released in May 2013:</w:t>
      </w:r>
    </w:p>
    <w:p w:rsidR="004430E4" w:rsidRPr="00CD3A14" w:rsidRDefault="004430E4" w:rsidP="0013400B">
      <w:pPr>
        <w:pStyle w:val="AGRBulletText"/>
        <w:rPr>
          <w:noProof w:val="0"/>
          <w:lang w:val="en-AU"/>
        </w:rPr>
      </w:pPr>
      <w:r w:rsidRPr="00CD3A14">
        <w:rPr>
          <w:noProof w:val="0"/>
          <w:lang w:val="en-AU"/>
        </w:rPr>
        <w:t>A strategic plan exists for the Agency;</w:t>
      </w:r>
    </w:p>
    <w:p w:rsidR="004430E4" w:rsidRPr="00CD3A14" w:rsidRDefault="004430E4" w:rsidP="0013400B">
      <w:pPr>
        <w:pStyle w:val="AGRBulletText"/>
        <w:rPr>
          <w:noProof w:val="0"/>
          <w:lang w:val="en-AU"/>
        </w:rPr>
      </w:pPr>
      <w:r w:rsidRPr="00CD3A14">
        <w:rPr>
          <w:noProof w:val="0"/>
          <w:lang w:val="en-AU"/>
        </w:rPr>
        <w:t>The strategic plan reflects the Agency’s strategic goals as stated in Budget Paper 3;</w:t>
      </w:r>
    </w:p>
    <w:p w:rsidR="004430E4" w:rsidRPr="00CD3A14" w:rsidRDefault="004430E4" w:rsidP="0013400B">
      <w:pPr>
        <w:pStyle w:val="AGRBulletText"/>
        <w:rPr>
          <w:noProof w:val="0"/>
          <w:lang w:val="en-AU"/>
        </w:rPr>
      </w:pPr>
      <w:r w:rsidRPr="00CD3A14">
        <w:rPr>
          <w:noProof w:val="0"/>
          <w:lang w:val="en-AU"/>
        </w:rPr>
        <w:t>Business plans exist for each Output Group within the Agency;</w:t>
      </w:r>
    </w:p>
    <w:p w:rsidR="004430E4" w:rsidRPr="00CD3A14" w:rsidRDefault="004430E4" w:rsidP="0013400B">
      <w:pPr>
        <w:pStyle w:val="AGRBulletText"/>
        <w:rPr>
          <w:noProof w:val="0"/>
          <w:lang w:val="en-AU"/>
        </w:rPr>
      </w:pPr>
      <w:r w:rsidRPr="00CD3A14">
        <w:rPr>
          <w:noProof w:val="0"/>
          <w:lang w:val="en-AU"/>
        </w:rPr>
        <w:t>The relevant business plan provides actions and performance targets aligned with the Agency’s strategic plan;</w:t>
      </w:r>
    </w:p>
    <w:p w:rsidR="004430E4" w:rsidRPr="00CD3A14" w:rsidRDefault="004430E4" w:rsidP="0013400B">
      <w:pPr>
        <w:pStyle w:val="AGRBulletText"/>
        <w:rPr>
          <w:noProof w:val="0"/>
          <w:lang w:val="en-AU"/>
        </w:rPr>
      </w:pPr>
      <w:r w:rsidRPr="00CD3A14">
        <w:rPr>
          <w:noProof w:val="0"/>
          <w:lang w:val="en-AU"/>
        </w:rPr>
        <w:t>There is a process for determining the performance measure appropriate to each strategic objective;</w:t>
      </w:r>
    </w:p>
    <w:p w:rsidR="004430E4" w:rsidRPr="00CD3A14" w:rsidRDefault="004430E4" w:rsidP="0013400B">
      <w:pPr>
        <w:pStyle w:val="AGRBulletText"/>
        <w:rPr>
          <w:noProof w:val="0"/>
          <w:lang w:val="en-AU"/>
        </w:rPr>
      </w:pPr>
      <w:r w:rsidRPr="00CD3A14">
        <w:rPr>
          <w:noProof w:val="0"/>
          <w:lang w:val="en-AU"/>
        </w:rPr>
        <w:t>Performance is actively monitored during the course of the year within the Agency;</w:t>
      </w:r>
    </w:p>
    <w:p w:rsidR="004430E4" w:rsidRPr="00CD3A14" w:rsidRDefault="004430E4" w:rsidP="0013400B">
      <w:pPr>
        <w:pStyle w:val="AGRBulletText"/>
        <w:rPr>
          <w:noProof w:val="0"/>
          <w:lang w:val="en-AU"/>
        </w:rPr>
      </w:pPr>
      <w:r w:rsidRPr="00CD3A14">
        <w:rPr>
          <w:noProof w:val="0"/>
          <w:lang w:val="en-AU"/>
        </w:rPr>
        <w:t>Performance results are reported to those accountable within the Agency; and</w:t>
      </w:r>
    </w:p>
    <w:p w:rsidR="004430E4" w:rsidRPr="00CD3A14" w:rsidRDefault="004430E4" w:rsidP="0013400B">
      <w:pPr>
        <w:pStyle w:val="AGRBulletText"/>
        <w:rPr>
          <w:noProof w:val="0"/>
          <w:lang w:val="en-AU"/>
        </w:rPr>
      </w:pPr>
      <w:proofErr w:type="gramStart"/>
      <w:r w:rsidRPr="00CD3A14">
        <w:rPr>
          <w:noProof w:val="0"/>
          <w:lang w:val="en-AU"/>
        </w:rPr>
        <w:t>Performance</w:t>
      </w:r>
      <w:proofErr w:type="gramEnd"/>
      <w:r w:rsidRPr="00CD3A14">
        <w:rPr>
          <w:noProof w:val="0"/>
          <w:lang w:val="en-AU"/>
        </w:rPr>
        <w:t xml:space="preserve"> results are reported in the Agency’s Annual Report and are accompanied by sufficient explanatory information that enables a reader to independently form a conclusion on the Agency’s performance.</w:t>
      </w:r>
    </w:p>
    <w:p w:rsidR="00C90B4E" w:rsidRPr="00CD3A14" w:rsidRDefault="00C90B4E" w:rsidP="00C90B4E">
      <w:pPr>
        <w:pStyle w:val="AGRHeading1"/>
      </w:pPr>
      <w:r w:rsidRPr="00CD3A14">
        <w:t xml:space="preserve">Selected Agencies </w:t>
      </w:r>
      <w:proofErr w:type="spellStart"/>
      <w:r w:rsidRPr="00CD3A14">
        <w:t>cont</w:t>
      </w:r>
      <w:proofErr w:type="spellEnd"/>
      <w:r w:rsidRPr="00CD3A14">
        <w:t>…</w:t>
      </w:r>
    </w:p>
    <w:p w:rsidR="004430E4" w:rsidRPr="00CD3A14" w:rsidRDefault="004430E4" w:rsidP="0013400B">
      <w:pPr>
        <w:pStyle w:val="AGRBodyText"/>
        <w:rPr>
          <w:noProof w:val="0"/>
          <w:lang w:val="en-AU"/>
        </w:rPr>
      </w:pPr>
      <w:r w:rsidRPr="00CD3A14">
        <w:rPr>
          <w:noProof w:val="0"/>
          <w:lang w:val="en-AU"/>
        </w:rPr>
        <w:t>A process flow diagram demonstrating the performance reporting process is included on the next page.  These are the questions that I asked when forming the assessment.  When these agencies are revisited in future performance management systems audits, I will be looking to expand work performed in the area shown in the grey shaded box.</w:t>
      </w:r>
    </w:p>
    <w:p w:rsidR="004430E4" w:rsidRPr="00CD3A14" w:rsidRDefault="004430E4" w:rsidP="0013400B">
      <w:pPr>
        <w:pStyle w:val="AGRBodyText"/>
        <w:rPr>
          <w:noProof w:val="0"/>
          <w:lang w:val="en-AU"/>
        </w:rPr>
      </w:pPr>
      <w:r w:rsidRPr="00CD3A14">
        <w:rPr>
          <w:noProof w:val="0"/>
          <w:lang w:val="en-AU"/>
        </w:rPr>
        <w:t>Audits were performed in each of the following Agencies during the six months covered by this report:</w:t>
      </w:r>
    </w:p>
    <w:p w:rsidR="004430E4" w:rsidRPr="00CD3A14" w:rsidRDefault="004430E4" w:rsidP="0013400B">
      <w:pPr>
        <w:pStyle w:val="AGRBulletText"/>
        <w:rPr>
          <w:noProof w:val="0"/>
          <w:lang w:val="en-AU"/>
        </w:rPr>
      </w:pPr>
      <w:r w:rsidRPr="00CD3A14">
        <w:rPr>
          <w:noProof w:val="0"/>
          <w:lang w:val="en-AU"/>
        </w:rPr>
        <w:t>Department of the Attorney-General and Justice; and</w:t>
      </w:r>
    </w:p>
    <w:p w:rsidR="004430E4" w:rsidRPr="00CD3A14" w:rsidRDefault="004430E4" w:rsidP="0013400B">
      <w:pPr>
        <w:pStyle w:val="AGRBulletText"/>
        <w:rPr>
          <w:noProof w:val="0"/>
          <w:lang w:val="en-AU"/>
        </w:rPr>
      </w:pPr>
      <w:r w:rsidRPr="00CD3A14">
        <w:rPr>
          <w:noProof w:val="0"/>
          <w:lang w:val="en-AU"/>
        </w:rPr>
        <w:t>Northern Territory Police, Fire and Emergency Services.</w:t>
      </w:r>
    </w:p>
    <w:p w:rsidR="004430E4" w:rsidRPr="00CD3A14" w:rsidRDefault="004430E4" w:rsidP="00297342">
      <w:pPr>
        <w:pStyle w:val="AGRBulletText"/>
        <w:numPr>
          <w:ilvl w:val="0"/>
          <w:numId w:val="0"/>
        </w:numPr>
        <w:ind w:left="851"/>
        <w:rPr>
          <w:noProof w:val="0"/>
          <w:lang w:val="en-AU"/>
        </w:rPr>
      </w:pPr>
      <w:r w:rsidRPr="00CD3A14">
        <w:rPr>
          <w:noProof w:val="0"/>
          <w:lang w:val="en-AU"/>
        </w:rPr>
        <w:t>These Agencies were found to have developed and implemented a performance management system that enables public reporting against established performance outcomes in relation to the strategic goal selected from Budget Paper 3 as the basis for the audit.</w:t>
      </w:r>
    </w:p>
    <w:p w:rsidR="004430E4" w:rsidRPr="00CD3A14" w:rsidRDefault="004430E4" w:rsidP="004430E4">
      <w:pPr>
        <w:pStyle w:val="AGRHeading3"/>
      </w:pPr>
      <w:r w:rsidRPr="00CD3A14">
        <w:t>Key Findings</w:t>
      </w:r>
    </w:p>
    <w:p w:rsidR="004430E4" w:rsidRPr="00CD3A14" w:rsidRDefault="004430E4" w:rsidP="0013400B">
      <w:pPr>
        <w:pStyle w:val="AGRBodyText"/>
        <w:rPr>
          <w:noProof w:val="0"/>
          <w:lang w:val="en-AU"/>
        </w:rPr>
      </w:pPr>
      <w:r w:rsidRPr="00CD3A14">
        <w:rPr>
          <w:noProof w:val="0"/>
          <w:lang w:val="en-AU"/>
        </w:rPr>
        <w:t>A number of recommendations to enhance the effectiveness of the Agencies performance management systems were raised as a result of these audits including:</w:t>
      </w:r>
    </w:p>
    <w:p w:rsidR="004430E4" w:rsidRPr="00CD3A14" w:rsidRDefault="004430E4" w:rsidP="0013400B">
      <w:pPr>
        <w:pStyle w:val="AGRBulletText"/>
        <w:rPr>
          <w:noProof w:val="0"/>
          <w:lang w:val="en-AU"/>
        </w:rPr>
      </w:pPr>
      <w:r w:rsidRPr="00CD3A14">
        <w:rPr>
          <w:noProof w:val="0"/>
          <w:lang w:val="en-AU"/>
        </w:rPr>
        <w:t>improving performance targets to ensure they can be reliably measured;</w:t>
      </w:r>
    </w:p>
    <w:p w:rsidR="004430E4" w:rsidRPr="00CD3A14" w:rsidRDefault="004430E4" w:rsidP="0013400B">
      <w:pPr>
        <w:pStyle w:val="AGRBulletText"/>
        <w:rPr>
          <w:noProof w:val="0"/>
          <w:lang w:val="en-AU"/>
        </w:rPr>
      </w:pPr>
      <w:r w:rsidRPr="00CD3A14">
        <w:rPr>
          <w:noProof w:val="0"/>
          <w:lang w:val="en-AU"/>
        </w:rPr>
        <w:t>improving descriptions to avoid confusion when interpreting performance results;</w:t>
      </w:r>
    </w:p>
    <w:p w:rsidR="004430E4" w:rsidRPr="00CD3A14" w:rsidRDefault="004430E4" w:rsidP="0013400B">
      <w:pPr>
        <w:pStyle w:val="AGRBulletText"/>
        <w:rPr>
          <w:noProof w:val="0"/>
          <w:lang w:val="en-AU"/>
        </w:rPr>
      </w:pPr>
      <w:r w:rsidRPr="00CD3A14">
        <w:rPr>
          <w:noProof w:val="0"/>
          <w:lang w:val="en-AU"/>
        </w:rPr>
        <w:t>improving quality review processes to minimise errors in management and/or annual reporting; and</w:t>
      </w:r>
    </w:p>
    <w:p w:rsidR="004430E4" w:rsidRPr="00CD3A14" w:rsidRDefault="004430E4" w:rsidP="0013400B">
      <w:pPr>
        <w:pStyle w:val="AGRBulletText"/>
        <w:rPr>
          <w:noProof w:val="0"/>
          <w:lang w:val="en-AU"/>
        </w:rPr>
      </w:pPr>
      <w:proofErr w:type="gramStart"/>
      <w:r w:rsidRPr="00CD3A14">
        <w:rPr>
          <w:noProof w:val="0"/>
          <w:lang w:val="en-AU"/>
        </w:rPr>
        <w:t>improving</w:t>
      </w:r>
      <w:proofErr w:type="gramEnd"/>
      <w:r w:rsidRPr="00CD3A14">
        <w:rPr>
          <w:noProof w:val="0"/>
          <w:lang w:val="en-AU"/>
        </w:rPr>
        <w:t xml:space="preserve"> the consistency of trend data reported.</w:t>
      </w:r>
    </w:p>
    <w:p w:rsidR="004430E4" w:rsidRPr="00CD3A14" w:rsidRDefault="00D86E0A" w:rsidP="004430E4">
      <w:pPr>
        <w:pStyle w:val="AGRHeading1"/>
      </w:pPr>
      <w:r w:rsidRPr="00CD3A14">
        <w:rPr>
          <w:noProof/>
          <w:lang w:eastAsia="en-AU"/>
        </w:rPr>
        <mc:AlternateContent>
          <mc:Choice Requires="wpg">
            <w:drawing>
              <wp:anchor distT="0" distB="0" distL="114300" distR="114300" simplePos="0" relativeHeight="251708416" behindDoc="0" locked="0" layoutInCell="1" allowOverlap="1" wp14:anchorId="68D26425" wp14:editId="6A58DE98">
                <wp:simplePos x="0" y="0"/>
                <wp:positionH relativeFrom="column">
                  <wp:posOffset>77470</wp:posOffset>
                </wp:positionH>
                <wp:positionV relativeFrom="paragraph">
                  <wp:posOffset>459105</wp:posOffset>
                </wp:positionV>
                <wp:extent cx="5433060" cy="7268845"/>
                <wp:effectExtent l="57150" t="0" r="53340" b="46355"/>
                <wp:wrapNone/>
                <wp:docPr id="97" name="Group 97" descr="Does the Strategic Plan reflect the Agency’s strategic goals as stated in Budget Paper 3?&#10;Are there Business Plans for each Output Group selected for review within the Agency?&#10;Does the relevant business plan provide actions and performance targets aligned with the Agency's strategic plan?&#10;Does the Agency have a process for determining the performance measure appropriate to the strategic objective?&#10;Are the performance measures reported in the Original Budget (Budget) the same as those reported in the Revised Budget (Estimate) for the same financial year for the Output Group?&#10;Does the Agency have a system for actively monitoring actual performance during the course of the year within the Agency that includes management reporting on the KPIs?&#10;Does the Agency have a system in place to ensure actual performance results are correct, accurate, supported, reviewed and reported to those accountable within the Agency?&#10;Does the Agency have a process for examining the actual results &amp; assessing if the outcome has been reached &amp; if not how to implement change to deliver the outcome?&#10;Does the Agency have a system in place to report performance results in their Annual Report?&#10;Does the Annual Report contain performance results reported against Original Budget by Output Group?&#10;Does the Annual Report show trends in performance results by Output Group?&#10;Does the Agency have a system in place to ensure performance results reported in the Annual Report is correct, accurate, supported, reviewed and reported to those accountable within the Agency?&#10;Does the Agency have a system in place to ensure the narrative about performance results reported in the Annual Report matches the results reported?&#10;CONCLUSION:&#10;Does the Agency have systems in place?:&#10;- Budgeting system&#10;- Actual performance system&#10;- Public reporting system&#10;" title="Does the Agency have a Stategic Plan?"/>
                <wp:cNvGraphicFramePr/>
                <a:graphic xmlns:a="http://schemas.openxmlformats.org/drawingml/2006/main">
                  <a:graphicData uri="http://schemas.microsoft.com/office/word/2010/wordprocessingGroup">
                    <wpg:wgp>
                      <wpg:cNvGrpSpPr/>
                      <wpg:grpSpPr>
                        <a:xfrm>
                          <a:off x="0" y="0"/>
                          <a:ext cx="5433060" cy="7268845"/>
                          <a:chOff x="213360" y="0"/>
                          <a:chExt cx="5040000" cy="7268845"/>
                        </a:xfrm>
                      </wpg:grpSpPr>
                      <wps:wsp>
                        <wps:cNvPr id="98" name="Down Arrow 98"/>
                        <wps:cNvSpPr/>
                        <wps:spPr>
                          <a:xfrm>
                            <a:off x="1139363" y="0"/>
                            <a:ext cx="3180927" cy="7268845"/>
                          </a:xfrm>
                          <a:prstGeom prst="downArrow">
                            <a:avLst>
                              <a:gd name="adj1" fmla="val 50000"/>
                              <a:gd name="adj2" fmla="val 35504"/>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ext Box 101"/>
                        <wps:cNvSpPr txBox="1"/>
                        <wps:spPr>
                          <a:xfrm>
                            <a:off x="213360" y="4762500"/>
                            <a:ext cx="5040000" cy="24384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65D5E" w:rsidRDefault="002A3C5B" w:rsidP="00D86E0A">
                              <w:pPr>
                                <w:spacing w:after="0" w:line="240" w:lineRule="auto"/>
                                <w:ind w:left="0"/>
                                <w:jc w:val="center"/>
                                <w:rPr>
                                  <w:sz w:val="18"/>
                                  <w:szCs w:val="18"/>
                                </w:rPr>
                              </w:pPr>
                              <w:r w:rsidRPr="00B65D5E">
                                <w:rPr>
                                  <w:sz w:val="18"/>
                                  <w:szCs w:val="18"/>
                                </w:rPr>
                                <w:t>Does the Annual Report show trends in performance results by Output Group?</w:t>
                              </w:r>
                            </w:p>
                            <w:p w:rsidR="002A3C5B" w:rsidRPr="00B718AA" w:rsidRDefault="002A3C5B" w:rsidP="00D86E0A">
                              <w:pPr>
                                <w:spacing w:after="0" w:line="240" w:lineRule="auto"/>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213360" y="5554980"/>
                            <a:ext cx="5040000" cy="35052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ensure the narrative about performance results reported in the Annual Report matches the results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213360" y="5105400"/>
                            <a:ext cx="5040000" cy="381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ensure performance results reported in the Annual Report is correct, accurate, supported, reviewed and reported to those accountable within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569720" y="6118860"/>
                            <a:ext cx="2369820" cy="86106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65D5E" w:rsidRDefault="002A3C5B" w:rsidP="00D86E0A">
                              <w:pPr>
                                <w:spacing w:after="0" w:line="240" w:lineRule="auto"/>
                                <w:ind w:left="0"/>
                                <w:jc w:val="center"/>
                                <w:rPr>
                                  <w:sz w:val="18"/>
                                  <w:szCs w:val="18"/>
                                </w:rPr>
                              </w:pPr>
                              <w:r w:rsidRPr="00B65D5E">
                                <w:rPr>
                                  <w:b/>
                                  <w:bCs/>
                                  <w:i/>
                                  <w:iCs/>
                                  <w:sz w:val="18"/>
                                  <w:szCs w:val="18"/>
                                </w:rPr>
                                <w:t>CONCLUSION:</w:t>
                              </w:r>
                            </w:p>
                            <w:p w:rsidR="002A3C5B" w:rsidRPr="00B65D5E" w:rsidRDefault="002A3C5B" w:rsidP="00D86E0A">
                              <w:pPr>
                                <w:spacing w:after="0" w:line="240" w:lineRule="auto"/>
                                <w:ind w:left="0"/>
                                <w:jc w:val="center"/>
                                <w:rPr>
                                  <w:sz w:val="18"/>
                                  <w:szCs w:val="18"/>
                                </w:rPr>
                              </w:pPr>
                              <w:r w:rsidRPr="00B65D5E">
                                <w:rPr>
                                  <w:sz w:val="18"/>
                                  <w:szCs w:val="18"/>
                                </w:rPr>
                                <w:t>Does the Agency have systems in place</w:t>
                              </w:r>
                              <w:proofErr w:type="gramStart"/>
                              <w:r w:rsidRPr="00B65D5E">
                                <w:rPr>
                                  <w:sz w:val="18"/>
                                  <w:szCs w:val="18"/>
                                </w:rPr>
                                <w:t>?:</w:t>
                              </w:r>
                              <w:proofErr w:type="gramEnd"/>
                            </w:p>
                            <w:p w:rsidR="002A3C5B" w:rsidRPr="00B65D5E" w:rsidRDefault="002A3C5B" w:rsidP="00D86E0A">
                              <w:pPr>
                                <w:spacing w:after="0" w:line="240" w:lineRule="auto"/>
                                <w:ind w:left="0"/>
                                <w:jc w:val="center"/>
                                <w:rPr>
                                  <w:sz w:val="18"/>
                                  <w:szCs w:val="18"/>
                                </w:rPr>
                              </w:pPr>
                              <w:r w:rsidRPr="00B65D5E">
                                <w:rPr>
                                  <w:i/>
                                  <w:iCs/>
                                  <w:sz w:val="18"/>
                                  <w:szCs w:val="18"/>
                                </w:rPr>
                                <w:t>- Budgeting system</w:t>
                              </w:r>
                            </w:p>
                            <w:p w:rsidR="002A3C5B" w:rsidRPr="00B65D5E" w:rsidRDefault="002A3C5B" w:rsidP="00D86E0A">
                              <w:pPr>
                                <w:spacing w:after="0" w:line="240" w:lineRule="auto"/>
                                <w:ind w:left="0"/>
                                <w:jc w:val="center"/>
                                <w:rPr>
                                  <w:sz w:val="18"/>
                                  <w:szCs w:val="18"/>
                                </w:rPr>
                              </w:pPr>
                              <w:r w:rsidRPr="00B65D5E">
                                <w:rPr>
                                  <w:i/>
                                  <w:iCs/>
                                  <w:sz w:val="18"/>
                                  <w:szCs w:val="18"/>
                                </w:rPr>
                                <w:t>- Actual performance system</w:t>
                              </w:r>
                            </w:p>
                            <w:p w:rsidR="002A3C5B" w:rsidRPr="00B65D5E" w:rsidRDefault="002A3C5B" w:rsidP="00D86E0A">
                              <w:pPr>
                                <w:spacing w:after="0" w:line="240" w:lineRule="auto"/>
                                <w:ind w:left="0"/>
                                <w:jc w:val="center"/>
                                <w:rPr>
                                  <w:sz w:val="18"/>
                                  <w:szCs w:val="18"/>
                                </w:rPr>
                              </w:pPr>
                              <w:r w:rsidRPr="00B65D5E">
                                <w:rPr>
                                  <w:i/>
                                  <w:iCs/>
                                  <w:sz w:val="18"/>
                                  <w:szCs w:val="18"/>
                                </w:rPr>
                                <w:t>- Public reporting system</w:t>
                              </w:r>
                            </w:p>
                            <w:p w:rsidR="002A3C5B" w:rsidRPr="00B718AA" w:rsidRDefault="002A3C5B" w:rsidP="00D86E0A">
                              <w:pPr>
                                <w:spacing w:after="0" w:line="240" w:lineRule="auto"/>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13360" y="4305300"/>
                            <a:ext cx="5040000" cy="351155"/>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Annual Report contain performance results reported against Original Budget by Output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213360" y="3497580"/>
                            <a:ext cx="5040000" cy="344805"/>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Agency have a process for examining the actual results &amp; assessing if the outcome has been reached &amp; if not how to implement change to deliver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213360" y="3962400"/>
                            <a:ext cx="5040000" cy="24384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report performance results in their Annual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13360" y="3048000"/>
                            <a:ext cx="5040000" cy="372745"/>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ensure actual performance results are correct, accurate, supported, reviewed and reported to those accountable within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1" name="Group 121"/>
                        <wpg:cNvGrpSpPr/>
                        <wpg:grpSpPr>
                          <a:xfrm>
                            <a:off x="213360" y="106680"/>
                            <a:ext cx="5040000" cy="2826385"/>
                            <a:chOff x="60960" y="-7620"/>
                            <a:chExt cx="5040000" cy="2826385"/>
                          </a:xfrm>
                        </wpg:grpSpPr>
                        <wpg:grpSp>
                          <wpg:cNvPr id="122" name="Group 122"/>
                          <wpg:cNvGrpSpPr/>
                          <wpg:grpSpPr>
                            <a:xfrm>
                              <a:off x="60960" y="-7620"/>
                              <a:ext cx="5040000" cy="1346200"/>
                              <a:chOff x="60960" y="-7620"/>
                              <a:chExt cx="5040000" cy="1346200"/>
                            </a:xfrm>
                          </wpg:grpSpPr>
                          <wps:wsp>
                            <wps:cNvPr id="123" name="Text Box 123"/>
                            <wps:cNvSpPr txBox="1"/>
                            <wps:spPr>
                              <a:xfrm>
                                <a:off x="60960" y="-7620"/>
                                <a:ext cx="5040000" cy="24384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65D5E" w:rsidRDefault="002A3C5B" w:rsidP="00D86E0A">
                                  <w:pPr>
                                    <w:spacing w:after="0" w:line="240" w:lineRule="auto"/>
                                    <w:ind w:left="0"/>
                                    <w:jc w:val="center"/>
                                    <w:rPr>
                                      <w:sz w:val="18"/>
                                      <w:szCs w:val="18"/>
                                    </w:rPr>
                                  </w:pPr>
                                  <w:r w:rsidRPr="00B65D5E">
                                    <w:rPr>
                                      <w:sz w:val="18"/>
                                      <w:szCs w:val="18"/>
                                    </w:rPr>
                                    <w:t>Does the Agency have a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60960" y="297180"/>
                                <a:ext cx="5040000" cy="26416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65D5E" w:rsidRDefault="002A3C5B" w:rsidP="00D86E0A">
                                  <w:pPr>
                                    <w:spacing w:after="0" w:line="240" w:lineRule="auto"/>
                                    <w:ind w:left="0"/>
                                    <w:jc w:val="center"/>
                                    <w:rPr>
                                      <w:sz w:val="18"/>
                                      <w:szCs w:val="18"/>
                                    </w:rPr>
                                  </w:pPr>
                                  <w:r w:rsidRPr="00B65D5E">
                                    <w:rPr>
                                      <w:sz w:val="18"/>
                                      <w:szCs w:val="18"/>
                                    </w:rPr>
                                    <w:t>Does the Strategic Plan reflect the Agency’s strategic</w:t>
                                  </w:r>
                                  <w:r>
                                    <w:rPr>
                                      <w:sz w:val="18"/>
                                      <w:szCs w:val="18"/>
                                    </w:rPr>
                                    <w:t xml:space="preserve"> goals as stated in Budget Paper</w:t>
                                  </w:r>
                                  <w:r w:rsidRPr="00B65D5E">
                                    <w:rPr>
                                      <w:sz w:val="18"/>
                                      <w:szCs w:val="1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60960" y="640080"/>
                                <a:ext cx="5040000" cy="24384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Are there Business Plans for each Output Group selected for review within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60960" y="982980"/>
                                <a:ext cx="5040000" cy="3556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Does the relevant business plan provide actions and performance targets aligned with the Agency's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7" name="Text Box 127"/>
                          <wps:cNvSpPr txBox="1"/>
                          <wps:spPr>
                            <a:xfrm>
                              <a:off x="60960" y="1440180"/>
                              <a:ext cx="5040000" cy="337185"/>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65D5E" w:rsidRDefault="002A3C5B" w:rsidP="00D86E0A">
                                <w:pPr>
                                  <w:spacing w:after="0" w:line="240" w:lineRule="auto"/>
                                  <w:ind w:left="0"/>
                                  <w:jc w:val="center"/>
                                  <w:rPr>
                                    <w:sz w:val="18"/>
                                    <w:szCs w:val="18"/>
                                  </w:rPr>
                                </w:pPr>
                                <w:r w:rsidRPr="00B65D5E">
                                  <w:rPr>
                                    <w:sz w:val="18"/>
                                    <w:szCs w:val="18"/>
                                  </w:rPr>
                                  <w:t>Does the Agency have a process for determining the performance measure appropriate to the strategic objective?</w:t>
                                </w:r>
                              </w:p>
                              <w:p w:rsidR="002A3C5B" w:rsidRPr="00B718AA" w:rsidRDefault="002A3C5B" w:rsidP="00D86E0A">
                                <w:pPr>
                                  <w:spacing w:after="0" w:line="240" w:lineRule="auto"/>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60960" y="1905000"/>
                              <a:ext cx="5040000" cy="375285"/>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B718AA" w:rsidRDefault="002A3C5B" w:rsidP="00D86E0A">
                                <w:pPr>
                                  <w:spacing w:after="0" w:line="240" w:lineRule="auto"/>
                                  <w:ind w:left="0"/>
                                  <w:jc w:val="center"/>
                                  <w:rPr>
                                    <w:sz w:val="18"/>
                                    <w:szCs w:val="18"/>
                                  </w:rPr>
                                </w:pPr>
                                <w:r w:rsidRPr="00B65D5E">
                                  <w:rPr>
                                    <w:sz w:val="18"/>
                                    <w:szCs w:val="18"/>
                                  </w:rPr>
                                  <w:t>Are the performance measures reported in the Original Budget (Budget) the same as those reported in the Revised Budget (Estimate) for the same financial year for the Output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60960" y="2362200"/>
                              <a:ext cx="5040000" cy="456565"/>
                            </a:xfrm>
                            <a:prstGeom prst="rect">
                              <a:avLst/>
                            </a:prstGeom>
                            <a:solidFill>
                              <a:schemeClr val="tx1">
                                <a:lumMod val="65000"/>
                                <a:lumOff val="35000"/>
                              </a:schemeClr>
                            </a:solidFill>
                            <a:ln>
                              <a:no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2A3C5B" w:rsidRPr="00522168" w:rsidRDefault="002A3C5B" w:rsidP="00D86E0A">
                                <w:pPr>
                                  <w:spacing w:after="0" w:line="240" w:lineRule="auto"/>
                                  <w:ind w:left="0"/>
                                  <w:jc w:val="center"/>
                                  <w:rPr>
                                    <w:color w:val="FFFFFF" w:themeColor="background1"/>
                                    <w:sz w:val="18"/>
                                    <w:szCs w:val="18"/>
                                  </w:rPr>
                                </w:pPr>
                                <w:r w:rsidRPr="00B65D5E">
                                  <w:rPr>
                                    <w:color w:val="FFFFFF" w:themeColor="background1"/>
                                    <w:sz w:val="18"/>
                                    <w:szCs w:val="18"/>
                                  </w:rPr>
                                  <w:t xml:space="preserve">Does the Agency have a system for actively monitoring </w:t>
                                </w:r>
                                <w:r w:rsidRPr="00522168">
                                  <w:rPr>
                                    <w:color w:val="FFFFFF" w:themeColor="background1"/>
                                    <w:sz w:val="18"/>
                                    <w:szCs w:val="18"/>
                                  </w:rPr>
                                  <w:t>actual performance during the course of the year within the Agency that includes management reporting on the KPIs?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7" o:spid="_x0000_s1031" alt="Title: Does the Agency have a Stategic Plan? - Description: Does the Strategic Plan reflect the Agency’s strategic goals as stated in Budget Paper 3?&#10;Are there Business Plans for each Output Group selected for review within the Agency?&#10;Does the relevant business plan provide actions and performance targets aligned with the Agency's strategic plan?&#10;Does the Agency have a process for determining the performance measure appropriate to the strategic objective?&#10;Are the performance measures reported in the Original Budget (Budget) the same as those reported in the Revised Budget (Estimate) for the same financial year for the Output Group?&#10;Does the Agency have a system for actively monitoring actual performance during the course of the year within the Agency that includes management reporting on the KPIs?&#10;Does the Agency have a system in place to ensure actual performance results are correct, accurate, supported, reviewed and reported to those accountable within the Agency?&#10;Does the Agency have a process for examining the actual results &amp; assessing if the outcome has been reached &amp; if not how to implement change to deliver the outcome?&#10;Does the Agency have a system in place to report performance results in their Annual Report?&#10;Does the Annual Report contain performance results reported against Original Budget by Output Group?&#10;Does the Annual Report show trends in performance results by Output Group?&#10;Does the Agency have a system in place to ensure performance results reported in the Annual Report is correct, accurate, supported, reviewed and reported to those accountable within the Agency?&#10;Does the Agency have a system in place to ensure the narrative about performance results reported in the Annual Report matches the results reported?&#10;CONCLUSION:&#10;Does the Agency have systems in place?:&#10;- Budgeting system&#10;- Actual performance system&#10;- Public reporting system&#10;" style="position:absolute;margin-left:6.1pt;margin-top:36.15pt;width:427.8pt;height:572.35pt;z-index:251708416;mso-width-relative:margin" coordorigin="2133" coordsize="50400,7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8" o:spid="_x0000_s1032" type="#_x0000_t67" style="position:absolute;left:11393;width:31809;height:72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qlMAA&#10;AADbAAAADwAAAGRycy9kb3ducmV2LnhtbERPTWuDQBC9B/IflgnkFteEINW6hqZQKT3ZJL0P7lRF&#10;d9a628T+++4hkOPjfeeH2QziSpPrLCvYRjEI4trqjhsFl/Pb5gmE88gaB8uk4I8cHIrlIsdM2xt/&#10;0vXkGxFC2GWooPV+zKR0dUsGXWRH4sB928mgD3BqpJ7wFsLNIHdxnEiDHYeGFkd6banuT79GQfkl&#10;k7H8SGv+GXyV7vsdV8dSqfVqfnkG4Wn2D/Hd/a4VpGFs+BJ+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dqlMAAAADbAAAADwAAAAAAAAAAAAAAAACYAgAAZHJzL2Rvd25y&#10;ZXYueG1sUEsFBgAAAAAEAAQA9QAAAIUDAAAAAA==&#10;" adj="18244" fillcolor="#dbe5f1 [660]" strokecolor="#b8cce4 [1300]" strokeweight="2pt"/>
                <v:shapetype id="_x0000_t202" coordsize="21600,21600" o:spt="202" path="m,l,21600r21600,l21600,xe">
                  <v:stroke joinstyle="miter"/>
                  <v:path gradientshapeok="t" o:connecttype="rect"/>
                </v:shapetype>
                <v:shape id="Text Box 101" o:spid="_x0000_s1033" type="#_x0000_t202" style="position:absolute;left:2133;top:47625;width:5040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788IA&#10;AADcAAAADwAAAGRycy9kb3ducmV2LnhtbERPTWuDQBC9B/oflin0lqzm0EabVURIacmlMQm9Du5E&#10;Je6suJto/323UOhtHu9ztvlsenGn0XWWFcSrCARxbXXHjYLTcbfcgHAeWWNvmRR8k4M8e1hsMdV2&#10;4gPdK9+IEMIuRQWt90MqpatbMuhWdiAO3MWOBn2AYyP1iFMIN71cR9GzNNhxaGhxoLKl+lrdjAIs&#10;m7fyPNnk4+WmE7PfF19y+FTq6XEuXkF4mv2/+M/9rsP8KIb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bvzwgAAANwAAAAPAAAAAAAAAAAAAAAAAJgCAABkcnMvZG93&#10;bnJldi54bWxQSwUGAAAAAAQABAD1AAAAhwMAAAAA&#10;" fillcolor="#dbe5f1 [660]" strokecolor="black [3213]" strokeweight=".25pt">
                  <v:textbox>
                    <w:txbxContent>
                      <w:p w:rsidR="002A3C5B" w:rsidRPr="00B65D5E" w:rsidRDefault="002A3C5B" w:rsidP="00D86E0A">
                        <w:pPr>
                          <w:spacing w:after="0" w:line="240" w:lineRule="auto"/>
                          <w:ind w:left="0"/>
                          <w:jc w:val="center"/>
                          <w:rPr>
                            <w:sz w:val="18"/>
                            <w:szCs w:val="18"/>
                          </w:rPr>
                        </w:pPr>
                        <w:r w:rsidRPr="00B65D5E">
                          <w:rPr>
                            <w:sz w:val="18"/>
                            <w:szCs w:val="18"/>
                          </w:rPr>
                          <w:t>Does the Annual Report show trends in performance results by Output Group?</w:t>
                        </w:r>
                      </w:p>
                      <w:p w:rsidR="002A3C5B" w:rsidRPr="00B718AA" w:rsidRDefault="002A3C5B" w:rsidP="00D86E0A">
                        <w:pPr>
                          <w:spacing w:after="0" w:line="240" w:lineRule="auto"/>
                          <w:ind w:left="0"/>
                          <w:jc w:val="center"/>
                          <w:rPr>
                            <w:sz w:val="18"/>
                            <w:szCs w:val="18"/>
                          </w:rPr>
                        </w:pPr>
                      </w:p>
                    </w:txbxContent>
                  </v:textbox>
                </v:shape>
                <v:shape id="Text Box 102" o:spid="_x0000_s1034" type="#_x0000_t202" style="position:absolute;left:2133;top:55549;width:50400;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lhMIA&#10;AADcAAAADwAAAGRycy9kb3ducmV2LnhtbERPS2vCQBC+F/wPyxR6q5t6qCZ1EyRgafFSo9LrkB2T&#10;YHY2ZDeP/nu3UOhtPr7nbLPZtGKk3jWWFbwsIxDEpdUNVwrOp/3zBoTzyBpby6Tghxxk6eJhi4m2&#10;Ex9pLHwlQgi7BBXU3neJlK6syaBb2o44cFfbG/QB9pXUPU4h3LRyFUWv0mDDoaHGjvKaylsxGAWY&#10;V+/5ZbLx53rQsTkcdt+y+1Lq6XHevYHwNPt/8Z/7Q4f50Qp+nwkX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WEwgAAANwAAAAPAAAAAAAAAAAAAAAAAJgCAABkcnMvZG93&#10;bnJldi54bWxQSwUGAAAAAAQABAD1AAAAhwM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ensure the narrative about performance results reported in the Annual Report matches the results reported?</w:t>
                        </w:r>
                      </w:p>
                    </w:txbxContent>
                  </v:textbox>
                </v:shape>
                <v:shape id="Text Box 115" o:spid="_x0000_s1035" type="#_x0000_t202" style="position:absolute;left:2133;top:51054;width:5040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rLcEA&#10;AADcAAAADwAAAGRycy9kb3ducmV2LnhtbERPS4vCMBC+C/6HMMLeNFVYXatRpKCseHF94HVoxrbY&#10;TEoTbfffG0HwNh/fc+bL1pTiQbUrLCsYDiIQxKnVBWcKTsd1/weE88gaS8uk4J8cLBfdzhxjbRv+&#10;o8fBZyKEsItRQe59FUvp0pwMuoGtiAN3tbVBH2CdSV1jE8JNKUdRNJYGCw4NOVaU5JTeDnejAJNs&#10;k5wbO91O7npqdrvVRVZ7pb567WoGwlPrP+K3+1eH+cNveD0TL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HKy3BAAAA3AAAAA8AAAAAAAAAAAAAAAAAmAIAAGRycy9kb3du&#10;cmV2LnhtbFBLBQYAAAAABAAEAPUAAACGAw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ensure performance results reported in the Annual Report is correct, accurate, supported, reviewed and reported to those accountable within the Agency?</w:t>
                        </w:r>
                      </w:p>
                    </w:txbxContent>
                  </v:textbox>
                </v:shape>
                <v:shape id="Text Box 116" o:spid="_x0000_s1036" type="#_x0000_t202" style="position:absolute;left:15697;top:61188;width:23698;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1WsAA&#10;AADcAAAADwAAAGRycy9kb3ducmV2LnhtbERPy6rCMBDdC/5DGMGdprrwXqtRpKAobrw+cDs0Y1ts&#10;JqWJtv79jSC4m8N5znzZmlI8qXaFZQWjYQSCOLW64EzB+bQe/IJwHlljaZkUvMjBctHtzDHWtuE/&#10;eh59JkIIuxgV5N5XsZQuzcmgG9qKOHA3Wxv0AdaZ1DU2IdyUchxFE2mw4NCQY0VJTun9+DAKMMk2&#10;yaWx093PQ0/Nfr+6yuqgVL/XrmYgPLX+K/64tzrMH03g/Uy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W1WsAAAADcAAAADwAAAAAAAAAAAAAAAACYAgAAZHJzL2Rvd25y&#10;ZXYueG1sUEsFBgAAAAAEAAQA9QAAAIUDAAAAAA==&#10;" fillcolor="#dbe5f1 [660]" strokecolor="black [3213]" strokeweight=".25pt">
                  <v:textbox>
                    <w:txbxContent>
                      <w:p w:rsidR="002A3C5B" w:rsidRPr="00B65D5E" w:rsidRDefault="002A3C5B" w:rsidP="00D86E0A">
                        <w:pPr>
                          <w:spacing w:after="0" w:line="240" w:lineRule="auto"/>
                          <w:ind w:left="0"/>
                          <w:jc w:val="center"/>
                          <w:rPr>
                            <w:sz w:val="18"/>
                            <w:szCs w:val="18"/>
                          </w:rPr>
                        </w:pPr>
                        <w:r w:rsidRPr="00B65D5E">
                          <w:rPr>
                            <w:b/>
                            <w:bCs/>
                            <w:i/>
                            <w:iCs/>
                            <w:sz w:val="18"/>
                            <w:szCs w:val="18"/>
                          </w:rPr>
                          <w:t>CONCLUSION:</w:t>
                        </w:r>
                      </w:p>
                      <w:p w:rsidR="002A3C5B" w:rsidRPr="00B65D5E" w:rsidRDefault="002A3C5B" w:rsidP="00D86E0A">
                        <w:pPr>
                          <w:spacing w:after="0" w:line="240" w:lineRule="auto"/>
                          <w:ind w:left="0"/>
                          <w:jc w:val="center"/>
                          <w:rPr>
                            <w:sz w:val="18"/>
                            <w:szCs w:val="18"/>
                          </w:rPr>
                        </w:pPr>
                        <w:r w:rsidRPr="00B65D5E">
                          <w:rPr>
                            <w:sz w:val="18"/>
                            <w:szCs w:val="18"/>
                          </w:rPr>
                          <w:t>Does the Agency have systems in place</w:t>
                        </w:r>
                        <w:proofErr w:type="gramStart"/>
                        <w:r w:rsidRPr="00B65D5E">
                          <w:rPr>
                            <w:sz w:val="18"/>
                            <w:szCs w:val="18"/>
                          </w:rPr>
                          <w:t>?:</w:t>
                        </w:r>
                        <w:proofErr w:type="gramEnd"/>
                      </w:p>
                      <w:p w:rsidR="002A3C5B" w:rsidRPr="00B65D5E" w:rsidRDefault="002A3C5B" w:rsidP="00D86E0A">
                        <w:pPr>
                          <w:spacing w:after="0" w:line="240" w:lineRule="auto"/>
                          <w:ind w:left="0"/>
                          <w:jc w:val="center"/>
                          <w:rPr>
                            <w:sz w:val="18"/>
                            <w:szCs w:val="18"/>
                          </w:rPr>
                        </w:pPr>
                        <w:r w:rsidRPr="00B65D5E">
                          <w:rPr>
                            <w:i/>
                            <w:iCs/>
                            <w:sz w:val="18"/>
                            <w:szCs w:val="18"/>
                          </w:rPr>
                          <w:t>- Budgeting system</w:t>
                        </w:r>
                      </w:p>
                      <w:p w:rsidR="002A3C5B" w:rsidRPr="00B65D5E" w:rsidRDefault="002A3C5B" w:rsidP="00D86E0A">
                        <w:pPr>
                          <w:spacing w:after="0" w:line="240" w:lineRule="auto"/>
                          <w:ind w:left="0"/>
                          <w:jc w:val="center"/>
                          <w:rPr>
                            <w:sz w:val="18"/>
                            <w:szCs w:val="18"/>
                          </w:rPr>
                        </w:pPr>
                        <w:r w:rsidRPr="00B65D5E">
                          <w:rPr>
                            <w:i/>
                            <w:iCs/>
                            <w:sz w:val="18"/>
                            <w:szCs w:val="18"/>
                          </w:rPr>
                          <w:t>- Actual performance system</w:t>
                        </w:r>
                      </w:p>
                      <w:p w:rsidR="002A3C5B" w:rsidRPr="00B65D5E" w:rsidRDefault="002A3C5B" w:rsidP="00D86E0A">
                        <w:pPr>
                          <w:spacing w:after="0" w:line="240" w:lineRule="auto"/>
                          <w:ind w:left="0"/>
                          <w:jc w:val="center"/>
                          <w:rPr>
                            <w:sz w:val="18"/>
                            <w:szCs w:val="18"/>
                          </w:rPr>
                        </w:pPr>
                        <w:r w:rsidRPr="00B65D5E">
                          <w:rPr>
                            <w:i/>
                            <w:iCs/>
                            <w:sz w:val="18"/>
                            <w:szCs w:val="18"/>
                          </w:rPr>
                          <w:t>- Public reporting system</w:t>
                        </w:r>
                      </w:p>
                      <w:p w:rsidR="002A3C5B" w:rsidRPr="00B718AA" w:rsidRDefault="002A3C5B" w:rsidP="00D86E0A">
                        <w:pPr>
                          <w:spacing w:after="0" w:line="240" w:lineRule="auto"/>
                          <w:ind w:left="0"/>
                          <w:jc w:val="center"/>
                          <w:rPr>
                            <w:sz w:val="18"/>
                            <w:szCs w:val="18"/>
                          </w:rPr>
                        </w:pPr>
                      </w:p>
                    </w:txbxContent>
                  </v:textbox>
                </v:shape>
                <v:shape id="Text Box 117" o:spid="_x0000_s1037" type="#_x0000_t202" style="position:absolute;left:2133;top:43053;width:5040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QwcAA&#10;AADcAAAADwAAAGRycy9kb3ducmV2LnhtbERPy6rCMBDdX/AfwgjurqkufFSjSEFR3Kj3ituhGdti&#10;MylNtPXvjSC4m8N5znzZmlI8qHaFZQWDfgSCOLW64EzB/9/6dwLCeWSNpWVS8CQHy0XnZ46xtg0f&#10;6XHymQgh7GJUkHtfxVK6NCeDrm8r4sBdbW3QB1hnUtfYhHBTymEUjaTBgkNDjhUlOaW3090owCTb&#10;JOfGTnfju56a/X51kdVBqV63Xc1AeGr9V/xxb3WYPxjD+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kQwcAAAADcAAAADwAAAAAAAAAAAAAAAACYAgAAZHJzL2Rvd25y&#10;ZXYueG1sUEsFBgAAAAAEAAQA9QAAAIUDA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Annual Report contain performance results reported against Original Budget by Output Group?</w:t>
                        </w:r>
                      </w:p>
                    </w:txbxContent>
                  </v:textbox>
                </v:shape>
                <v:shape id="Text Box 118" o:spid="_x0000_s1038" type="#_x0000_t202" style="position:absolute;left:2133;top:34975;width:5040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Es8QA&#10;AADcAAAADwAAAGRycy9kb3ducmV2LnhtbESPQWvCQBCF74X+h2WE3upGD7VGV5FApcWLjZZeh+yY&#10;BLOzIbua+O+dg+BthvfmvW+W68E16kpdqD0bmIwTUMSFtzWXBo6Hr/dPUCEiW2w8k4EbBVivXl+W&#10;mFrf8y9d81gqCeGQooEqxjbVOhQVOQxj3xKLdvKdwyhrV2rbYS/hrtHTJPnQDmuWhgpbyioqzvnF&#10;GcCs3GZ/vZ//zC527na7zb9u98a8jYbNAlSkIT7Nj+tvK/gToZV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hLPEAAAA3AAAAA8AAAAAAAAAAAAAAAAAmAIAAGRycy9k&#10;b3ducmV2LnhtbFBLBQYAAAAABAAEAPUAAACJAw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Agency have a process for examining the actual results &amp; assessing if the outcome has been reached &amp; if not how to implement change to deliver the outcome?</w:t>
                        </w:r>
                      </w:p>
                    </w:txbxContent>
                  </v:textbox>
                </v:shape>
                <v:shape id="Text Box 119" o:spid="_x0000_s1039" type="#_x0000_t202" style="position:absolute;left:2133;top:39624;width:5040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hKMEA&#10;AADcAAAADwAAAGRycy9kb3ducmV2LnhtbERPTYvCMBC9C/6HMII3TfWgtmsUKSiKl7Uqex2a2bZs&#10;MylNtPXfm4WFvc3jfc5625taPKl1lWUFs2kEgji3uuJCwe26n6xAOI+ssbZMCl7kYLsZDtaYaNvx&#10;hZ6ZL0QIYZeggtL7JpHS5SUZdFPbEAfu27YGfYBtIXWLXQg3tZxH0UIarDg0lNhQWlL+kz2MAkyL&#10;Q3rvbHxaPnRszufdl2w+lRqP+t0HCE+9/xf/uY86zJ/F8Pt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ISjBAAAA3AAAAA8AAAAAAAAAAAAAAAAAmAIAAGRycy9kb3du&#10;cmV2LnhtbFBLBQYAAAAABAAEAPUAAACGAw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report performance results in their Annual Report?</w:t>
                        </w:r>
                      </w:p>
                    </w:txbxContent>
                  </v:textbox>
                </v:shape>
                <v:shape id="Text Box 120" o:spid="_x0000_s1040" type="#_x0000_t202" style="position:absolute;left:2133;top:30480;width:50400;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CCMQA&#10;AADcAAAADwAAAGRycy9kb3ducmV2LnhtbESPQWvCQBCF7wX/wzKCt7qph1pTV5GAUvFi04rXITtN&#10;QrOzIbua+O+dg+BthvfmvW+W68E16kpdqD0beJsmoIgLb2suDfz+bF8/QIWIbLHxTAZuFGC9Gr0s&#10;MbW+52+65rFUEsIhRQNVjG2qdSgqchimviUW7c93DqOsXalth72Eu0bPkuRdO6xZGipsKauo+M8v&#10;zgBm5S479X6xn1/swh0Om7Nuj8ZMxsPmE1SkIT7Nj+svK/gz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QgjEAAAA3AAAAA8AAAAAAAAAAAAAAAAAmAIAAGRycy9k&#10;b3ducmV2LnhtbFBLBQYAAAAABAAEAPUAAACJAw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Agency have a system in place to ensure actual performance results are correct, accurate, supported, reviewed and reported to those accountable within the Agency?</w:t>
                        </w:r>
                      </w:p>
                    </w:txbxContent>
                  </v:textbox>
                </v:shape>
                <v:group id="Group 121" o:spid="_x0000_s1041" style="position:absolute;left:2133;top:1066;width:50400;height:28264" coordorigin="609,-76" coordsize="50400,28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22" o:spid="_x0000_s1042" style="position:absolute;left:609;top:-76;width:50400;height:13461" coordorigin="609,-76" coordsize="50400,1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23" o:spid="_x0000_s1043" type="#_x0000_t202" style="position:absolute;left:609;top:-76;width:5040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cf8MA&#10;AADcAAAADwAAAGRycy9kb3ducmV2LnhtbERPTWvCQBC9F/wPywi9NRsttCZ1FQkollxqWvE6ZKdJ&#10;MDsbsmsS/323UOhtHu9z1tvJtGKg3jWWFSyiGARxaXXDlYKvz/3TCoTzyBpby6TgTg62m9nDGlNt&#10;Rz7RUPhKhBB2KSqove9SKV1Zk0EX2Y44cN+2N+gD7CupexxDuGnlMo5fpMGGQ0ONHWU1ldfiZhRg&#10;Vh2y82iT99ebTkye7y6y+1DqcT7t3kB4mvy/+M991GH+8hl+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7cf8MAAADcAAAADwAAAAAAAAAAAAAAAACYAgAAZHJzL2Rv&#10;d25yZXYueG1sUEsFBgAAAAAEAAQA9QAAAIgDAAAAAA==&#10;" fillcolor="#dbe5f1 [660]" strokecolor="black [3213]" strokeweight=".25pt">
                      <v:textbox>
                        <w:txbxContent>
                          <w:p w:rsidR="002A3C5B" w:rsidRPr="00B65D5E" w:rsidRDefault="002A3C5B" w:rsidP="00D86E0A">
                            <w:pPr>
                              <w:spacing w:after="0" w:line="240" w:lineRule="auto"/>
                              <w:ind w:left="0"/>
                              <w:jc w:val="center"/>
                              <w:rPr>
                                <w:sz w:val="18"/>
                                <w:szCs w:val="18"/>
                              </w:rPr>
                            </w:pPr>
                            <w:r w:rsidRPr="00B65D5E">
                              <w:rPr>
                                <w:sz w:val="18"/>
                                <w:szCs w:val="18"/>
                              </w:rPr>
                              <w:t>Does the Agency have a Strategic Plan?</w:t>
                            </w:r>
                          </w:p>
                        </w:txbxContent>
                      </v:textbox>
                    </v:shape>
                    <v:shape id="Text Box 124" o:spid="_x0000_s1044" type="#_x0000_t202" style="position:absolute;left:609;top:2971;width:50400;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EC8MA&#10;AADcAAAADwAAAGRycy9kb3ducmV2LnhtbERPTWvCQBC9F/wPywi9NRultCZ1FQkollxqWvE6ZKdJ&#10;MDsbsmsS/323UOhtHu9z1tvJtGKg3jWWFSyiGARxaXXDlYKvz/3TCoTzyBpby6TgTg62m9nDGlNt&#10;Rz7RUPhKhBB2KSqove9SKV1Zk0EX2Y44cN+2N+gD7CupexxDuGnlMo5fpMGGQ0ONHWU1ldfiZhRg&#10;Vh2y82iT99ebTkye7y6y+1DqcT7t3kB4mvy/+M991GH+8hl+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dEC8MAAADcAAAADwAAAAAAAAAAAAAAAACYAgAAZHJzL2Rv&#10;d25yZXYueG1sUEsFBgAAAAAEAAQA9QAAAIgDAAAAAA==&#10;" fillcolor="#dbe5f1 [660]" strokecolor="black [3213]" strokeweight=".25pt">
                      <v:textbox>
                        <w:txbxContent>
                          <w:p w:rsidR="002A3C5B" w:rsidRPr="00B65D5E" w:rsidRDefault="002A3C5B" w:rsidP="00D86E0A">
                            <w:pPr>
                              <w:spacing w:after="0" w:line="240" w:lineRule="auto"/>
                              <w:ind w:left="0"/>
                              <w:jc w:val="center"/>
                              <w:rPr>
                                <w:sz w:val="18"/>
                                <w:szCs w:val="18"/>
                              </w:rPr>
                            </w:pPr>
                            <w:r w:rsidRPr="00B65D5E">
                              <w:rPr>
                                <w:sz w:val="18"/>
                                <w:szCs w:val="18"/>
                              </w:rPr>
                              <w:t>Does the Strategic Plan reflect the Agency’s strategic</w:t>
                            </w:r>
                            <w:r>
                              <w:rPr>
                                <w:sz w:val="18"/>
                                <w:szCs w:val="18"/>
                              </w:rPr>
                              <w:t xml:space="preserve"> goals as stated in Budget Paper</w:t>
                            </w:r>
                            <w:r w:rsidRPr="00B65D5E">
                              <w:rPr>
                                <w:sz w:val="18"/>
                                <w:szCs w:val="18"/>
                              </w:rPr>
                              <w:t xml:space="preserve"> 3?</w:t>
                            </w:r>
                          </w:p>
                        </w:txbxContent>
                      </v:textbox>
                    </v:shape>
                    <v:shape id="Text Box 125" o:spid="_x0000_s1045" type="#_x0000_t202" style="position:absolute;left:609;top:6400;width:5040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kMMA&#10;AADcAAAADwAAAGRycy9kb3ducmV2LnhtbERPTWvCQBC9F/wPywi9NRuFtiZ1FQkollxqWvE6ZKdJ&#10;MDsbsmsS/323UOhtHu9z1tvJtGKg3jWWFSyiGARxaXXDlYKvz/3TCoTzyBpby6TgTg62m9nDGlNt&#10;Rz7RUPhKhBB2KSqove9SKV1Zk0EX2Y44cN+2N+gD7CupexxDuGnlMo5fpMGGQ0ONHWU1ldfiZhRg&#10;Vh2y82iT99ebTkye7y6y+1DqcT7t3kB4mvy/+M991GH+8hl+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hkMMAAADcAAAADwAAAAAAAAAAAAAAAACYAgAAZHJzL2Rv&#10;d25yZXYueG1sUEsFBgAAAAAEAAQA9QAAAIgDA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Are there Business Plans for each Output Group selected for review within the Agency?</w:t>
                            </w:r>
                          </w:p>
                        </w:txbxContent>
                      </v:textbox>
                    </v:shape>
                    <v:shape id="Text Box 126" o:spid="_x0000_s1046" type="#_x0000_t202" style="position:absolute;left:609;top:9829;width:5040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58IA&#10;AADcAAAADwAAAGRycy9kb3ducmV2LnhtbERPTWvCQBC9F/wPywi9NRs9xBqzigSUllxaW/E6ZMck&#10;mJ0N2dWk/94tCN7m8T4n24ymFTfqXWNZwSyKQRCXVjdcKfj92b29g3AeWWNrmRT8kYPNevKSYart&#10;wN90O/hKhBB2KSqove9SKV1Zk0EX2Y44cGfbG/QB9pXUPQ4h3LRyHseJNNhwaKixo7ym8nK4GgWY&#10;V/v8ONjl5+Kql6YotifZfSn1Oh23KxCeRv8UP9wfOsyfJ/D/TLh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X/nwgAAANwAAAAPAAAAAAAAAAAAAAAAAJgCAABkcnMvZG93&#10;bnJldi54bWxQSwUGAAAAAAQABAD1AAAAhwM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Does the relevant business plan provide actions and performance targets aligned with the Agency's strategic plan?</w:t>
                            </w:r>
                          </w:p>
                        </w:txbxContent>
                      </v:textbox>
                    </v:shape>
                  </v:group>
                  <v:shape id="Text Box 127" o:spid="_x0000_s1047" type="#_x0000_t202" style="position:absolute;left:609;top:14401;width:50400;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afMEA&#10;AADcAAAADwAAAGRycy9kb3ducmV2LnhtbERPTYvCMBC9C/6HMII3TdeDrtW0SEFRvLjqstehGduy&#10;zaQ00dZ/b4SFvc3jfc467U0tHtS6yrKCj2kEgji3uuJCwfWynXyCcB5ZY22ZFDzJQZoMB2uMte34&#10;ix5nX4gQwi5GBaX3TSyly0sy6Ka2IQ7czbYGfYBtIXWLXQg3tZxF0VwarDg0lNhQVlL+e74bBZgV&#10;u+y7s8vD4q6X5njc/MjmpNR41G9WIDz1/l/8597rMH+2gPcz4QK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12nzBAAAA3AAAAA8AAAAAAAAAAAAAAAAAmAIAAGRycy9kb3du&#10;cmV2LnhtbFBLBQYAAAAABAAEAPUAAACGAwAAAAA=&#10;" fillcolor="#dbe5f1 [660]" strokecolor="black [3213]" strokeweight=".25pt">
                    <v:textbox>
                      <w:txbxContent>
                        <w:p w:rsidR="002A3C5B" w:rsidRPr="00B65D5E" w:rsidRDefault="002A3C5B" w:rsidP="00D86E0A">
                          <w:pPr>
                            <w:spacing w:after="0" w:line="240" w:lineRule="auto"/>
                            <w:ind w:left="0"/>
                            <w:jc w:val="center"/>
                            <w:rPr>
                              <w:sz w:val="18"/>
                              <w:szCs w:val="18"/>
                            </w:rPr>
                          </w:pPr>
                          <w:r w:rsidRPr="00B65D5E">
                            <w:rPr>
                              <w:sz w:val="18"/>
                              <w:szCs w:val="18"/>
                            </w:rPr>
                            <w:t>Does the Agency have a process for determining the performance measure appropriate to the strategic objective?</w:t>
                          </w:r>
                        </w:p>
                        <w:p w:rsidR="002A3C5B" w:rsidRPr="00B718AA" w:rsidRDefault="002A3C5B" w:rsidP="00D86E0A">
                          <w:pPr>
                            <w:spacing w:after="0" w:line="240" w:lineRule="auto"/>
                            <w:ind w:left="0"/>
                            <w:jc w:val="center"/>
                            <w:rPr>
                              <w:sz w:val="18"/>
                              <w:szCs w:val="18"/>
                            </w:rPr>
                          </w:pPr>
                        </w:p>
                      </w:txbxContent>
                    </v:textbox>
                  </v:shape>
                  <v:shape id="Text Box 128" o:spid="_x0000_s1048" type="#_x0000_t202" style="position:absolute;left:609;top:19050;width:50400;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ODsQA&#10;AADcAAAADwAAAGRycy9kb3ducmV2LnhtbESPQWvCQBCF7wX/wzKCt7qph1pTV5GAUvFi04rXITtN&#10;QrOzIbua+O+dg+BthvfmvW+W68E16kpdqD0beJsmoIgLb2suDfz+bF8/QIWIbLHxTAZuFGC9Gr0s&#10;MbW+52+65rFUEsIhRQNVjG2qdSgqchimviUW7c93DqOsXalth72Eu0bPkuRdO6xZGipsKauo+M8v&#10;zgBm5S479X6xn1/swh0Om7Nuj8ZMxsPmE1SkIT7Nj+svK/gzoZV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qTg7EAAAA3AAAAA8AAAAAAAAAAAAAAAAAmAIAAGRycy9k&#10;b3ducmV2LnhtbFBLBQYAAAAABAAEAPUAAACJAwAAAAA=&#10;" fillcolor="#dbe5f1 [660]" strokecolor="black [3213]" strokeweight=".25pt">
                    <v:textbox>
                      <w:txbxContent>
                        <w:p w:rsidR="002A3C5B" w:rsidRPr="00B718AA" w:rsidRDefault="002A3C5B" w:rsidP="00D86E0A">
                          <w:pPr>
                            <w:spacing w:after="0" w:line="240" w:lineRule="auto"/>
                            <w:ind w:left="0"/>
                            <w:jc w:val="center"/>
                            <w:rPr>
                              <w:sz w:val="18"/>
                              <w:szCs w:val="18"/>
                            </w:rPr>
                          </w:pPr>
                          <w:r w:rsidRPr="00B65D5E">
                            <w:rPr>
                              <w:sz w:val="18"/>
                              <w:szCs w:val="18"/>
                            </w:rPr>
                            <w:t>Are the performance measures reported in the Original Budget (Budget) the same as those reported in the Revised Budget (Estimate) for the same financial year for the Output Group?</w:t>
                          </w:r>
                        </w:p>
                      </w:txbxContent>
                    </v:textbox>
                  </v:shape>
                  <v:shape id="Text Box 129" o:spid="_x0000_s1049" type="#_x0000_t202" style="position:absolute;left:609;top:23622;width:50400;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px8IA&#10;AADcAAAADwAAAGRycy9kb3ducmV2LnhtbERPS2vCQBC+C/0PyxR6040ego2uIoVCb6VqCd7G7ORh&#10;srNpdhujv94VBG/z8T1nuR5MI3rqXGVZwXQSgSDOrK64ULDffY7nIJxH1thYJgUXcrBevYyWmGh7&#10;5h/qt74QIYRdggpK79tESpeVZNBNbEscuNx2Bn2AXSF1h+cQbho5i6JYGqw4NJTY0kdJWb39Nwrq&#10;aZr+6jq+5ulxOJzi/Bv/6l6pt9dhswDhafBP8cP9pcP82Tvcnw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ynHwgAAANwAAAAPAAAAAAAAAAAAAAAAAJgCAABkcnMvZG93&#10;bnJldi54bWxQSwUGAAAAAAQABAD1AAAAhwMAAAAA&#10;" fillcolor="#5a5a5a [2109]" stroked="f" strokeweight="2pt">
                    <v:textbox>
                      <w:txbxContent>
                        <w:p w:rsidR="002A3C5B" w:rsidRPr="00522168" w:rsidRDefault="002A3C5B" w:rsidP="00D86E0A">
                          <w:pPr>
                            <w:spacing w:after="0" w:line="240" w:lineRule="auto"/>
                            <w:ind w:left="0"/>
                            <w:jc w:val="center"/>
                            <w:rPr>
                              <w:color w:val="FFFFFF" w:themeColor="background1"/>
                              <w:sz w:val="18"/>
                              <w:szCs w:val="18"/>
                            </w:rPr>
                          </w:pPr>
                          <w:r w:rsidRPr="00B65D5E">
                            <w:rPr>
                              <w:color w:val="FFFFFF" w:themeColor="background1"/>
                              <w:sz w:val="18"/>
                              <w:szCs w:val="18"/>
                            </w:rPr>
                            <w:t xml:space="preserve">Does the Agency have a system for actively monitoring </w:t>
                          </w:r>
                          <w:r w:rsidRPr="00522168">
                            <w:rPr>
                              <w:color w:val="FFFFFF" w:themeColor="background1"/>
                              <w:sz w:val="18"/>
                              <w:szCs w:val="18"/>
                            </w:rPr>
                            <w:t>actual performance during the course of the year within the Agency that includes management reporting on the KPIs?</w:t>
                          </w:r>
                        </w:p>
                      </w:txbxContent>
                    </v:textbox>
                  </v:shape>
                </v:group>
              </v:group>
            </w:pict>
          </mc:Fallback>
        </mc:AlternateContent>
      </w:r>
      <w:r w:rsidR="004430E4" w:rsidRPr="00CD3A14">
        <w:t xml:space="preserve">Selected Agencies </w:t>
      </w:r>
      <w:proofErr w:type="spellStart"/>
      <w:r w:rsidR="004430E4" w:rsidRPr="00CD3A14">
        <w:t>cont</w:t>
      </w:r>
      <w:proofErr w:type="spellEnd"/>
      <w:r w:rsidR="004430E4" w:rsidRPr="00CD3A14">
        <w:t>…</w:t>
      </w:r>
    </w:p>
    <w:p w:rsidR="004430E4" w:rsidRPr="00CD3A14" w:rsidRDefault="004430E4" w:rsidP="0013400B">
      <w:pPr>
        <w:pStyle w:val="AGRBodyText"/>
        <w:rPr>
          <w:noProof w:val="0"/>
          <w:lang w:val="en-AU"/>
        </w:rPr>
      </w:pPr>
    </w:p>
    <w:p w:rsidR="004430E4" w:rsidRPr="00CD3A14" w:rsidRDefault="004430E4" w:rsidP="004430E4">
      <w:pPr>
        <w:pStyle w:val="AGRHeading1"/>
      </w:pPr>
      <w:r w:rsidRPr="00CD3A14">
        <w:t xml:space="preserve">Selected Agencies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4430E4" w:rsidRPr="0018172D" w:rsidTr="009F3771">
        <w:trPr>
          <w:tblHeader/>
        </w:trPr>
        <w:tc>
          <w:tcPr>
            <w:tcW w:w="8151" w:type="dxa"/>
            <w:shd w:val="clear" w:color="auto" w:fill="F2F2F2" w:themeFill="background1" w:themeFillShade="F2"/>
          </w:tcPr>
          <w:p w:rsidR="004430E4" w:rsidRPr="00516156" w:rsidRDefault="004430E4"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Attorney-General and Justice has commented:</w:t>
            </w:r>
          </w:p>
        </w:tc>
      </w:tr>
      <w:tr w:rsidR="004430E4" w:rsidRPr="0018172D" w:rsidTr="009F3771">
        <w:tc>
          <w:tcPr>
            <w:tcW w:w="8151" w:type="dxa"/>
            <w:shd w:val="clear" w:color="auto" w:fill="F2F2F2" w:themeFill="background1" w:themeFillShade="F2"/>
          </w:tcPr>
          <w:p w:rsidR="004430E4" w:rsidRPr="0018172D" w:rsidRDefault="00AF346F" w:rsidP="009F3771">
            <w:pPr>
              <w:pStyle w:val="StyleAGRBodyCommentJustifiedLeft0cmPatternClearBa"/>
              <w:rPr>
                <w:sz w:val="21"/>
                <w:szCs w:val="21"/>
              </w:rPr>
            </w:pPr>
            <w:r>
              <w:rPr>
                <w:sz w:val="21"/>
                <w:szCs w:val="21"/>
              </w:rPr>
              <w:t>The Department has accepted the findings of the audit and is addressing recommended changes where relevant</w:t>
            </w:r>
            <w:r w:rsidR="004430E4" w:rsidRPr="0018172D">
              <w:rPr>
                <w:sz w:val="21"/>
                <w:szCs w:val="21"/>
              </w:rPr>
              <w:t>.</w:t>
            </w:r>
          </w:p>
        </w:tc>
      </w:tr>
    </w:tbl>
    <w:p w:rsidR="004430E4" w:rsidRPr="00CD3A14" w:rsidRDefault="004430E4" w:rsidP="0013400B">
      <w:pPr>
        <w:pStyle w:val="AGRBodyText"/>
        <w:rPr>
          <w:noProof w:val="0"/>
          <w:lang w:val="en-AU"/>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4430E4" w:rsidRPr="0018172D" w:rsidTr="009F3771">
        <w:trPr>
          <w:tblHeader/>
        </w:trPr>
        <w:tc>
          <w:tcPr>
            <w:tcW w:w="8151" w:type="dxa"/>
            <w:shd w:val="clear" w:color="auto" w:fill="F2F2F2" w:themeFill="background1" w:themeFillShade="F2"/>
          </w:tcPr>
          <w:p w:rsidR="004430E4" w:rsidRPr="00516156" w:rsidRDefault="004430E4" w:rsidP="008F3751">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Northern Territory Police, Fire and Emergency Services has commented:</w:t>
            </w:r>
          </w:p>
        </w:tc>
      </w:tr>
      <w:tr w:rsidR="004430E4" w:rsidRPr="0018172D" w:rsidTr="009F3771">
        <w:tc>
          <w:tcPr>
            <w:tcW w:w="8151" w:type="dxa"/>
            <w:shd w:val="clear" w:color="auto" w:fill="F2F2F2" w:themeFill="background1" w:themeFillShade="F2"/>
          </w:tcPr>
          <w:p w:rsidR="004430E4" w:rsidRPr="0018172D" w:rsidRDefault="00013427" w:rsidP="009F3771">
            <w:pPr>
              <w:pStyle w:val="StyleAGRBodyCommentJustifiedLeft0cmPatternClearBa"/>
              <w:rPr>
                <w:sz w:val="21"/>
                <w:szCs w:val="21"/>
              </w:rPr>
            </w:pPr>
            <w:r w:rsidRPr="00013427">
              <w:rPr>
                <w:sz w:val="21"/>
                <w:szCs w:val="21"/>
              </w:rPr>
              <w:t>The NTPFES has noted the improvement opportunities identified as a result of the Audit and continue to enhance internal performance measures and reporting systems.</w:t>
            </w:r>
          </w:p>
        </w:tc>
      </w:tr>
    </w:tbl>
    <w:p w:rsidR="004430E4" w:rsidRPr="00CD3A14" w:rsidRDefault="004430E4" w:rsidP="0013400B">
      <w:pPr>
        <w:pStyle w:val="AGRBodyText"/>
        <w:rPr>
          <w:noProof w:val="0"/>
          <w:lang w:val="en-AU"/>
        </w:rPr>
      </w:pPr>
    </w:p>
    <w:p w:rsidR="004430E4" w:rsidRPr="00CD3A14" w:rsidRDefault="004430E4">
      <w:pPr>
        <w:keepLines w:val="0"/>
        <w:spacing w:after="0" w:line="240" w:lineRule="auto"/>
        <w:ind w:left="0"/>
        <w:rPr>
          <w:rFonts w:cs="Arial"/>
          <w:b/>
          <w:color w:val="808080"/>
          <w:w w:val="90"/>
          <w:sz w:val="48"/>
          <w:szCs w:val="36"/>
        </w:rPr>
      </w:pPr>
      <w:r w:rsidRPr="00CD3A14">
        <w:br w:type="page"/>
      </w:r>
    </w:p>
    <w:p w:rsidR="00746C17" w:rsidRPr="00CD3A14" w:rsidRDefault="00746C17" w:rsidP="00746C17">
      <w:pPr>
        <w:pStyle w:val="AGRHeading1"/>
      </w:pPr>
      <w:r w:rsidRPr="00CD3A14">
        <w:t>Selected Agencies</w:t>
      </w:r>
    </w:p>
    <w:p w:rsidR="007D487D" w:rsidRPr="00CD3A14" w:rsidRDefault="007D487D" w:rsidP="007D487D">
      <w:pPr>
        <w:pStyle w:val="AGRHeading2"/>
      </w:pPr>
      <w:bookmarkStart w:id="31" w:name="Fuel_cards"/>
      <w:r w:rsidRPr="00CD3A14">
        <w:t>Fuel Cards</w:t>
      </w:r>
      <w:bookmarkEnd w:id="31"/>
    </w:p>
    <w:p w:rsidR="007D487D" w:rsidRPr="00CD3A14" w:rsidRDefault="007D487D" w:rsidP="007D487D">
      <w:pPr>
        <w:pStyle w:val="AGRHeading3"/>
      </w:pPr>
      <w:r w:rsidRPr="00CD3A14">
        <w:t>Background</w:t>
      </w:r>
    </w:p>
    <w:p w:rsidR="007D487D" w:rsidRPr="00CD3A14" w:rsidRDefault="007D487D" w:rsidP="0013400B">
      <w:pPr>
        <w:pStyle w:val="AGRBodyText"/>
        <w:rPr>
          <w:noProof w:val="0"/>
          <w:lang w:val="en-AU"/>
        </w:rPr>
      </w:pPr>
      <w:r w:rsidRPr="00CD3A14">
        <w:rPr>
          <w:noProof w:val="0"/>
          <w:lang w:val="en-AU"/>
        </w:rPr>
        <w:t xml:space="preserve">The objective of this assessment was to examine transactions for the purchase of fuel, using fuel cards, that were undertaken by the Department of </w:t>
      </w:r>
      <w:r w:rsidR="00EC064F" w:rsidRPr="00CD3A14">
        <w:rPr>
          <w:noProof w:val="0"/>
          <w:lang w:val="en-AU"/>
        </w:rPr>
        <w:t>Education, and the Department of Health between 1 August 2014</w:t>
      </w:r>
      <w:r w:rsidRPr="00CD3A14">
        <w:rPr>
          <w:noProof w:val="0"/>
          <w:lang w:val="en-AU"/>
        </w:rPr>
        <w:t xml:space="preserve"> and 31</w:t>
      </w:r>
      <w:r w:rsidR="00BF25C5">
        <w:rPr>
          <w:noProof w:val="0"/>
          <w:lang w:val="en-AU"/>
        </w:rPr>
        <w:t>January 2105</w:t>
      </w:r>
      <w:r w:rsidRPr="00CD3A14">
        <w:rPr>
          <w:noProof w:val="0"/>
          <w:lang w:val="en-AU"/>
        </w:rPr>
        <w:t xml:space="preserve"> in order to identify transactions that displayed unusual characteristics or characteristics that might suggest the existence of fraud, and to provide information about those transactions to the Agencies’ management for review and follow-up.  Fuel cards issued to officers of the Agencies, and pool vehicles were included in the assessment.</w:t>
      </w:r>
    </w:p>
    <w:p w:rsidR="007D487D" w:rsidRPr="00CD3A14" w:rsidRDefault="007D487D" w:rsidP="007D487D">
      <w:pPr>
        <w:pStyle w:val="AGRHeading3"/>
      </w:pPr>
      <w:r w:rsidRPr="00CD3A14">
        <w:t>Overall Assessment</w:t>
      </w:r>
    </w:p>
    <w:p w:rsidR="00EC064F" w:rsidRPr="00CD3A14" w:rsidRDefault="00EC064F" w:rsidP="0013400B">
      <w:pPr>
        <w:pStyle w:val="AGRBodyText"/>
        <w:rPr>
          <w:noProof w:val="0"/>
          <w:lang w:val="en-AU"/>
        </w:rPr>
      </w:pPr>
      <w:r w:rsidRPr="00CD3A14">
        <w:rPr>
          <w:noProof w:val="0"/>
          <w:lang w:val="en-AU"/>
        </w:rPr>
        <w:t>It should be noted that this a</w:t>
      </w:r>
      <w:r w:rsidR="00685E14" w:rsidRPr="00CD3A14">
        <w:rPr>
          <w:noProof w:val="0"/>
          <w:lang w:val="en-AU"/>
        </w:rPr>
        <w:t>ssessment did not constitute an</w:t>
      </w:r>
      <w:r w:rsidRPr="00CD3A14">
        <w:rPr>
          <w:noProof w:val="0"/>
          <w:lang w:val="en-AU"/>
        </w:rPr>
        <w:t xml:space="preserve"> audit.</w:t>
      </w:r>
    </w:p>
    <w:p w:rsidR="00EC064F" w:rsidRPr="00CD3A14" w:rsidRDefault="00EC064F" w:rsidP="0013400B">
      <w:pPr>
        <w:pStyle w:val="AGRBodyText"/>
        <w:rPr>
          <w:noProof w:val="0"/>
          <w:lang w:val="en-AU"/>
        </w:rPr>
      </w:pPr>
      <w:r w:rsidRPr="00CD3A14">
        <w:rPr>
          <w:noProof w:val="0"/>
          <w:lang w:val="en-AU"/>
        </w:rPr>
        <w:t xml:space="preserve">My review of the data related to fuel card purchases highlights the necessity for the Departments to be vigilant at all times. Simply reviewing the data may not necessarily identify fraudulent or incorrect transactions. To highlight this – there are legitimate reasons for a driver to undertake two successive purchases of fuel within a few minutes (filling up a primary and secondary fuel tank on a vehicle for example); however, there are opportunities for inappropriate purchases to be made and charged to the fuel cards. </w:t>
      </w:r>
    </w:p>
    <w:p w:rsidR="007D487D" w:rsidRPr="00CD3A14" w:rsidRDefault="00EC064F" w:rsidP="00EC064F">
      <w:pPr>
        <w:pStyle w:val="AGRHeading3"/>
      </w:pPr>
      <w:r w:rsidRPr="00CD3A14">
        <w:t>Key Findings</w:t>
      </w:r>
    </w:p>
    <w:p w:rsidR="00EC064F" w:rsidRPr="00CD3A14" w:rsidRDefault="00EC064F" w:rsidP="0013400B">
      <w:pPr>
        <w:pStyle w:val="AGRBodyText"/>
        <w:rPr>
          <w:noProof w:val="0"/>
          <w:lang w:val="en-AU"/>
        </w:rPr>
      </w:pPr>
      <w:r w:rsidRPr="00CD3A14">
        <w:rPr>
          <w:noProof w:val="0"/>
          <w:lang w:val="en-AU"/>
        </w:rPr>
        <w:t xml:space="preserve">The following table outlines the vehicles identified as being in use at some time during the period 1 August 2014 to 31 </w:t>
      </w:r>
      <w:r w:rsidR="00BF25C5">
        <w:rPr>
          <w:noProof w:val="0"/>
          <w:lang w:val="en-AU"/>
        </w:rPr>
        <w:t>January 2015</w:t>
      </w:r>
      <w:r w:rsidRPr="00CD3A14">
        <w:rPr>
          <w:noProof w:val="0"/>
          <w:lang w:val="en-AU"/>
        </w:rPr>
        <w:t>.</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Vehicles identified as being in use at some time during the year"/>
        <w:tblDescription w:val="Department Fuel Cards Vehicles&#10;Department of Education 678 395&#10;Department of Health 547 328&#10;"/>
      </w:tblPr>
      <w:tblGrid>
        <w:gridCol w:w="4927"/>
        <w:gridCol w:w="1701"/>
        <w:gridCol w:w="1523"/>
      </w:tblGrid>
      <w:tr w:rsidR="00EC064F" w:rsidRPr="00CD3A14" w:rsidTr="00492BD8">
        <w:trPr>
          <w:tblHeader/>
        </w:trPr>
        <w:tc>
          <w:tcPr>
            <w:tcW w:w="4927" w:type="dxa"/>
            <w:tcBorders>
              <w:top w:val="single" w:sz="4" w:space="0" w:color="auto"/>
              <w:bottom w:val="nil"/>
            </w:tcBorders>
            <w:shd w:val="clear" w:color="auto" w:fill="F2F2F2"/>
          </w:tcPr>
          <w:p w:rsidR="00EC064F" w:rsidRPr="00CD3A14" w:rsidRDefault="00EC064F" w:rsidP="00EC064F">
            <w:pPr>
              <w:pStyle w:val="AGRTableText"/>
              <w:jc w:val="center"/>
              <w:rPr>
                <w:b/>
              </w:rPr>
            </w:pPr>
            <w:r w:rsidRPr="00CD3A14">
              <w:rPr>
                <w:b/>
              </w:rPr>
              <w:t>Department</w:t>
            </w:r>
          </w:p>
        </w:tc>
        <w:tc>
          <w:tcPr>
            <w:tcW w:w="1701" w:type="dxa"/>
            <w:tcBorders>
              <w:top w:val="single" w:sz="4" w:space="0" w:color="auto"/>
              <w:bottom w:val="nil"/>
            </w:tcBorders>
            <w:shd w:val="clear" w:color="auto" w:fill="F2F2F2"/>
          </w:tcPr>
          <w:p w:rsidR="00EC064F" w:rsidRPr="00CD3A14" w:rsidRDefault="00EC064F" w:rsidP="00EC064F">
            <w:pPr>
              <w:pStyle w:val="AGRTableText"/>
              <w:jc w:val="center"/>
              <w:rPr>
                <w:b/>
              </w:rPr>
            </w:pPr>
            <w:r w:rsidRPr="00CD3A14">
              <w:rPr>
                <w:b/>
              </w:rPr>
              <w:t>Fuel Cards</w:t>
            </w:r>
          </w:p>
        </w:tc>
        <w:tc>
          <w:tcPr>
            <w:tcW w:w="1523" w:type="dxa"/>
            <w:tcBorders>
              <w:top w:val="single" w:sz="4" w:space="0" w:color="auto"/>
              <w:bottom w:val="nil"/>
            </w:tcBorders>
            <w:shd w:val="clear" w:color="auto" w:fill="F2F2F2"/>
          </w:tcPr>
          <w:p w:rsidR="00EC064F" w:rsidRPr="00CD3A14" w:rsidRDefault="00EC064F" w:rsidP="00EC064F">
            <w:pPr>
              <w:pStyle w:val="AGRTableText"/>
              <w:jc w:val="center"/>
              <w:rPr>
                <w:b/>
              </w:rPr>
            </w:pPr>
            <w:r w:rsidRPr="00CD3A14">
              <w:rPr>
                <w:b/>
              </w:rPr>
              <w:t>Vehicles</w:t>
            </w:r>
          </w:p>
        </w:tc>
      </w:tr>
      <w:tr w:rsidR="00EC064F" w:rsidRPr="00CD3A14" w:rsidTr="00EC064F">
        <w:tc>
          <w:tcPr>
            <w:tcW w:w="4927" w:type="dxa"/>
            <w:tcBorders>
              <w:top w:val="nil"/>
            </w:tcBorders>
          </w:tcPr>
          <w:p w:rsidR="00EC064F" w:rsidRPr="00CD3A14" w:rsidRDefault="00EC064F" w:rsidP="00B756BE">
            <w:pPr>
              <w:pStyle w:val="AGRTableText"/>
            </w:pPr>
            <w:r w:rsidRPr="00CD3A14">
              <w:t>Department of Education</w:t>
            </w:r>
          </w:p>
        </w:tc>
        <w:tc>
          <w:tcPr>
            <w:tcW w:w="1701" w:type="dxa"/>
            <w:tcBorders>
              <w:top w:val="nil"/>
            </w:tcBorders>
          </w:tcPr>
          <w:p w:rsidR="00EC064F" w:rsidRPr="00CD3A14" w:rsidRDefault="00EC064F" w:rsidP="00EC064F">
            <w:pPr>
              <w:pStyle w:val="AGRTableText"/>
              <w:tabs>
                <w:tab w:val="decimal" w:pos="843"/>
              </w:tabs>
            </w:pPr>
            <w:r w:rsidRPr="00CD3A14">
              <w:t>678</w:t>
            </w:r>
          </w:p>
        </w:tc>
        <w:tc>
          <w:tcPr>
            <w:tcW w:w="1523" w:type="dxa"/>
            <w:tcBorders>
              <w:top w:val="nil"/>
            </w:tcBorders>
          </w:tcPr>
          <w:p w:rsidR="00EC064F" w:rsidRPr="00CD3A14" w:rsidRDefault="00EC064F" w:rsidP="00EC064F">
            <w:pPr>
              <w:pStyle w:val="AGRTableText"/>
              <w:tabs>
                <w:tab w:val="decimal" w:pos="843"/>
              </w:tabs>
            </w:pPr>
            <w:r w:rsidRPr="00CD3A14">
              <w:t>395</w:t>
            </w:r>
          </w:p>
        </w:tc>
      </w:tr>
      <w:tr w:rsidR="00EC064F" w:rsidRPr="00CD3A14" w:rsidTr="00EC064F">
        <w:tc>
          <w:tcPr>
            <w:tcW w:w="4927" w:type="dxa"/>
          </w:tcPr>
          <w:p w:rsidR="00EC064F" w:rsidRPr="00CD3A14" w:rsidRDefault="00EC064F" w:rsidP="00B756BE">
            <w:pPr>
              <w:pStyle w:val="AGRTableText"/>
            </w:pPr>
            <w:r w:rsidRPr="00CD3A14">
              <w:t>Department of Health</w:t>
            </w:r>
          </w:p>
        </w:tc>
        <w:tc>
          <w:tcPr>
            <w:tcW w:w="1701" w:type="dxa"/>
          </w:tcPr>
          <w:p w:rsidR="00EC064F" w:rsidRPr="00CD3A14" w:rsidRDefault="00EC064F" w:rsidP="00EC064F">
            <w:pPr>
              <w:pStyle w:val="AGRTableText"/>
              <w:tabs>
                <w:tab w:val="decimal" w:pos="843"/>
              </w:tabs>
            </w:pPr>
            <w:r w:rsidRPr="00CD3A14">
              <w:t>547</w:t>
            </w:r>
          </w:p>
        </w:tc>
        <w:tc>
          <w:tcPr>
            <w:tcW w:w="1523" w:type="dxa"/>
          </w:tcPr>
          <w:p w:rsidR="00EC064F" w:rsidRPr="00CD3A14" w:rsidRDefault="00EC064F" w:rsidP="00EC064F">
            <w:pPr>
              <w:pStyle w:val="AGRTableText"/>
              <w:tabs>
                <w:tab w:val="decimal" w:pos="843"/>
              </w:tabs>
            </w:pPr>
            <w:r w:rsidRPr="00CD3A14">
              <w:t>328</w:t>
            </w:r>
          </w:p>
        </w:tc>
      </w:tr>
    </w:tbl>
    <w:p w:rsidR="00EC064F" w:rsidRPr="00CD3A14" w:rsidRDefault="00EC064F" w:rsidP="0013400B">
      <w:pPr>
        <w:pStyle w:val="AGRBodyText"/>
        <w:rPr>
          <w:noProof w:val="0"/>
          <w:lang w:val="en-AU"/>
        </w:rPr>
      </w:pPr>
      <w:r w:rsidRPr="00CD3A14">
        <w:rPr>
          <w:noProof w:val="0"/>
          <w:lang w:val="en-AU"/>
        </w:rPr>
        <w:t>There was evidence that the two agencies perused the monthly accounts, and there was evidence of:</w:t>
      </w:r>
    </w:p>
    <w:p w:rsidR="00EC064F" w:rsidRPr="00CD3A14" w:rsidRDefault="00EC064F" w:rsidP="0013400B">
      <w:pPr>
        <w:pStyle w:val="AGRBulletText"/>
        <w:rPr>
          <w:noProof w:val="0"/>
          <w:lang w:val="en-AU"/>
        </w:rPr>
      </w:pPr>
      <w:r w:rsidRPr="00CD3A14">
        <w:rPr>
          <w:noProof w:val="0"/>
          <w:lang w:val="en-AU"/>
        </w:rPr>
        <w:t>investigation of the nature of small purchase</w:t>
      </w:r>
      <w:r w:rsidR="00685E14" w:rsidRPr="00CD3A14">
        <w:rPr>
          <w:noProof w:val="0"/>
          <w:lang w:val="en-AU"/>
        </w:rPr>
        <w:t>s</w:t>
      </w:r>
      <w:r w:rsidRPr="00CD3A14">
        <w:rPr>
          <w:noProof w:val="0"/>
          <w:lang w:val="en-AU"/>
        </w:rPr>
        <w:t>; and</w:t>
      </w:r>
    </w:p>
    <w:p w:rsidR="00EC064F" w:rsidRPr="00CD3A14" w:rsidRDefault="00EC064F" w:rsidP="0013400B">
      <w:pPr>
        <w:pStyle w:val="AGRBulletText"/>
        <w:rPr>
          <w:noProof w:val="0"/>
          <w:lang w:val="en-AU"/>
        </w:rPr>
      </w:pPr>
      <w:proofErr w:type="gramStart"/>
      <w:r w:rsidRPr="00CD3A14">
        <w:rPr>
          <w:noProof w:val="0"/>
          <w:lang w:val="en-AU"/>
        </w:rPr>
        <w:t>investigation</w:t>
      </w:r>
      <w:proofErr w:type="gramEnd"/>
      <w:r w:rsidRPr="00CD3A14">
        <w:rPr>
          <w:noProof w:val="0"/>
          <w:lang w:val="en-AU"/>
        </w:rPr>
        <w:t xml:space="preserve"> of incorrect fuel purchases.</w:t>
      </w:r>
    </w:p>
    <w:p w:rsidR="00EC064F" w:rsidRPr="00CD3A14" w:rsidRDefault="00EC064F" w:rsidP="0013400B">
      <w:pPr>
        <w:pStyle w:val="AGRBodyText"/>
        <w:rPr>
          <w:noProof w:val="0"/>
          <w:lang w:val="en-AU"/>
        </w:rPr>
      </w:pPr>
    </w:p>
    <w:p w:rsidR="00EC064F" w:rsidRPr="00CD3A14" w:rsidRDefault="00EC064F" w:rsidP="00EC064F">
      <w:pPr>
        <w:pStyle w:val="AGRHeading1"/>
      </w:pPr>
      <w:r w:rsidRPr="00CD3A14">
        <w:t xml:space="preserve">Selected Agencies </w:t>
      </w:r>
      <w:proofErr w:type="spellStart"/>
      <w:r w:rsidRPr="00CD3A14">
        <w:t>cont</w:t>
      </w:r>
      <w:proofErr w:type="spellEnd"/>
      <w:r w:rsidRPr="00CD3A14">
        <w:t>…</w:t>
      </w:r>
    </w:p>
    <w:p w:rsidR="00EC064F" w:rsidRPr="00CD3A14" w:rsidRDefault="00EC064F" w:rsidP="00EC064F">
      <w:pPr>
        <w:pStyle w:val="AGRHeading3"/>
      </w:pPr>
      <w:r w:rsidRPr="00CD3A14">
        <w:t xml:space="preserve">Vehicles Unable to be </w:t>
      </w:r>
      <w:proofErr w:type="gramStart"/>
      <w:r w:rsidRPr="00CD3A14">
        <w:t>Analysed</w:t>
      </w:r>
      <w:proofErr w:type="gramEnd"/>
    </w:p>
    <w:p w:rsidR="00EC064F" w:rsidRPr="00CD3A14" w:rsidRDefault="00EC064F" w:rsidP="00EC064F">
      <w:pPr>
        <w:pStyle w:val="AGRHeading4"/>
      </w:pPr>
      <w:r w:rsidRPr="00CD3A14">
        <w:t>Department of Education</w:t>
      </w:r>
    </w:p>
    <w:p w:rsidR="00EC064F" w:rsidRPr="00CD3A14" w:rsidRDefault="00EC064F" w:rsidP="0013400B">
      <w:pPr>
        <w:pStyle w:val="AGRBodyText"/>
        <w:rPr>
          <w:noProof w:val="0"/>
          <w:lang w:val="en-AU"/>
        </w:rPr>
      </w:pPr>
      <w:r w:rsidRPr="00CD3A14">
        <w:rPr>
          <w:noProof w:val="0"/>
          <w:lang w:val="en-AU"/>
        </w:rPr>
        <w:t xml:space="preserve">Of the 395 vehicles, 19 had incurred only one fuel purchase throughout the period under analysis and there were no exceptions identified in relation to the odometer readings related to those purchases, therefore no further analysis was undertaken.  For 25 other vehicles, there was insufficient data to permit a reasonable analysis to be performed because:  </w:t>
      </w:r>
    </w:p>
    <w:p w:rsidR="00EC064F" w:rsidRPr="00CD3A14" w:rsidRDefault="00EC064F" w:rsidP="0013400B">
      <w:pPr>
        <w:pStyle w:val="AGRBulletText"/>
        <w:rPr>
          <w:noProof w:val="0"/>
          <w:lang w:val="en-AU"/>
        </w:rPr>
      </w:pPr>
      <w:r w:rsidRPr="00CD3A14">
        <w:rPr>
          <w:noProof w:val="0"/>
          <w:lang w:val="en-AU"/>
        </w:rPr>
        <w:t>three vehicles had only one transaction recorded however the odometer reading was not provided; and</w:t>
      </w:r>
    </w:p>
    <w:p w:rsidR="00EC064F" w:rsidRPr="00CD3A14" w:rsidRDefault="00EC064F" w:rsidP="0013400B">
      <w:pPr>
        <w:pStyle w:val="AGRBulletText"/>
        <w:rPr>
          <w:noProof w:val="0"/>
          <w:lang w:val="en-AU"/>
        </w:rPr>
      </w:pPr>
      <w:proofErr w:type="gramStart"/>
      <w:r w:rsidRPr="00CD3A14">
        <w:rPr>
          <w:noProof w:val="0"/>
          <w:lang w:val="en-AU"/>
        </w:rPr>
        <w:t>the</w:t>
      </w:r>
      <w:proofErr w:type="gramEnd"/>
      <w:r w:rsidRPr="00CD3A14">
        <w:rPr>
          <w:noProof w:val="0"/>
          <w:lang w:val="en-AU"/>
        </w:rPr>
        <w:t xml:space="preserve"> transactions against the remaining 22 vehicles could not be analysed due to the frequency of errors and/or omissions within the recorded data.</w:t>
      </w:r>
    </w:p>
    <w:p w:rsidR="00EC064F" w:rsidRPr="00CD3A14" w:rsidRDefault="00EC064F" w:rsidP="00EC064F">
      <w:pPr>
        <w:pStyle w:val="AGRHeading4"/>
      </w:pPr>
      <w:r w:rsidRPr="00CD3A14">
        <w:t>Department of Health</w:t>
      </w:r>
    </w:p>
    <w:p w:rsidR="00EC064F" w:rsidRPr="00CD3A14" w:rsidRDefault="00EC064F" w:rsidP="0013400B">
      <w:pPr>
        <w:pStyle w:val="AGRBodyText"/>
        <w:rPr>
          <w:noProof w:val="0"/>
          <w:lang w:val="en-AU"/>
        </w:rPr>
      </w:pPr>
      <w:r w:rsidRPr="00CD3A14">
        <w:rPr>
          <w:noProof w:val="0"/>
          <w:lang w:val="en-AU"/>
        </w:rPr>
        <w:t xml:space="preserve">Of the 328 vehicles, 19 had incurred only one fuel purchase throughout the period under analysis and there were no exceptions identified in relation to the odometer readings related to those purchases, therefore no further analysis was undertaken.  For 39 other vehicles, there was insufficient data to permit a reasonable analysis to be performed because:  </w:t>
      </w:r>
    </w:p>
    <w:p w:rsidR="00EC064F" w:rsidRPr="00CD3A14" w:rsidRDefault="00EC064F" w:rsidP="0013400B">
      <w:pPr>
        <w:pStyle w:val="AGRBulletText"/>
        <w:rPr>
          <w:noProof w:val="0"/>
          <w:lang w:val="en-AU"/>
        </w:rPr>
      </w:pPr>
      <w:r w:rsidRPr="00CD3A14">
        <w:rPr>
          <w:noProof w:val="0"/>
          <w:lang w:val="en-AU"/>
        </w:rPr>
        <w:t>three vehicles had only one transaction recorded however the odometer reading was not provided; and</w:t>
      </w:r>
    </w:p>
    <w:p w:rsidR="0004358D" w:rsidRPr="00CD3A14" w:rsidRDefault="00EC064F" w:rsidP="0013400B">
      <w:pPr>
        <w:pStyle w:val="AGRBulletText"/>
        <w:rPr>
          <w:noProof w:val="0"/>
          <w:lang w:val="en-AU"/>
        </w:rPr>
      </w:pPr>
      <w:proofErr w:type="gramStart"/>
      <w:r w:rsidRPr="00CD3A14">
        <w:rPr>
          <w:noProof w:val="0"/>
          <w:lang w:val="en-AU"/>
        </w:rPr>
        <w:t>the</w:t>
      </w:r>
      <w:proofErr w:type="gramEnd"/>
      <w:r w:rsidRPr="00CD3A14">
        <w:rPr>
          <w:noProof w:val="0"/>
          <w:lang w:val="en-AU"/>
        </w:rPr>
        <w:t xml:space="preserve"> transactions against the remaining 36 vehicles could not be analysed due to the frequency of errors and/or omissions within the recorded data.</w:t>
      </w:r>
    </w:p>
    <w:p w:rsidR="00F34CBF" w:rsidRPr="00CD3A14" w:rsidRDefault="00F34CBF" w:rsidP="00F34CBF">
      <w:pPr>
        <w:pStyle w:val="AGRHeading1"/>
      </w:pPr>
      <w:r w:rsidRPr="00CD3A14">
        <w:t xml:space="preserve">Selected Agencies </w:t>
      </w:r>
      <w:proofErr w:type="spellStart"/>
      <w:r w:rsidRPr="00CD3A14">
        <w:t>cont</w:t>
      </w:r>
      <w:proofErr w:type="spellEnd"/>
      <w:r w:rsidRPr="00CD3A14">
        <w:t>…</w:t>
      </w:r>
    </w:p>
    <w:p w:rsidR="0004358D" w:rsidRPr="00CD3A14" w:rsidRDefault="00931145" w:rsidP="00931145">
      <w:pPr>
        <w:pStyle w:val="AGRHeading3"/>
      </w:pPr>
      <w:r w:rsidRPr="00CD3A14">
        <w:t>Unusual Transactions</w:t>
      </w:r>
    </w:p>
    <w:p w:rsidR="00931145" w:rsidRPr="00CD3A14" w:rsidRDefault="00931145" w:rsidP="00931145">
      <w:pPr>
        <w:pStyle w:val="AGRHeading4"/>
      </w:pPr>
      <w:r w:rsidRPr="00CD3A14">
        <w:t>Department of Education</w:t>
      </w:r>
    </w:p>
    <w:p w:rsidR="00931145" w:rsidRPr="00CD3A14" w:rsidRDefault="00931145" w:rsidP="0013400B">
      <w:pPr>
        <w:pStyle w:val="AGRBodyText"/>
        <w:rPr>
          <w:noProof w:val="0"/>
          <w:lang w:val="en-AU"/>
        </w:rPr>
      </w:pPr>
      <w:r w:rsidRPr="00CD3A14">
        <w:rPr>
          <w:noProof w:val="0"/>
          <w:lang w:val="en-AU"/>
        </w:rPr>
        <w:t>In relation to the 5,124 individual transactions recorded against the fuel cards:</w:t>
      </w:r>
    </w:p>
    <w:p w:rsidR="00931145" w:rsidRPr="00CD3A14" w:rsidRDefault="00931145" w:rsidP="0013400B">
      <w:pPr>
        <w:pStyle w:val="AGRBulletText"/>
        <w:rPr>
          <w:noProof w:val="0"/>
          <w:lang w:val="en-AU"/>
        </w:rPr>
      </w:pPr>
      <w:r w:rsidRPr="00CD3A14">
        <w:rPr>
          <w:noProof w:val="0"/>
          <w:lang w:val="en-AU"/>
        </w:rPr>
        <w:t>There were 23 instances where it appeared that incorrect fuel was purchased.</w:t>
      </w:r>
    </w:p>
    <w:p w:rsidR="00931145" w:rsidRPr="00CD3A14" w:rsidRDefault="002E76A9" w:rsidP="0013400B">
      <w:pPr>
        <w:pStyle w:val="AGRBulletText"/>
        <w:numPr>
          <w:ilvl w:val="1"/>
          <w:numId w:val="8"/>
        </w:numPr>
        <w:rPr>
          <w:noProof w:val="0"/>
          <w:lang w:val="en-AU"/>
        </w:rPr>
      </w:pPr>
      <w:r w:rsidRPr="00CD3A14">
        <w:rPr>
          <w:noProof w:val="0"/>
          <w:lang w:val="en-AU"/>
        </w:rPr>
        <w:t>Education Car 272</w:t>
      </w:r>
      <w:r w:rsidR="00931145" w:rsidRPr="00CD3A14">
        <w:rPr>
          <w:noProof w:val="0"/>
          <w:lang w:val="en-AU"/>
        </w:rPr>
        <w:t xml:space="preserve"> is recorded by NT Fleet as requiring “Diesel” fuel. One “Unleaded” purchase was recorded immediately after a purchase of Diesel.</w:t>
      </w:r>
    </w:p>
    <w:p w:rsidR="00931145" w:rsidRPr="00CD3A14" w:rsidRDefault="002E76A9" w:rsidP="0013400B">
      <w:pPr>
        <w:pStyle w:val="AGRBulletText"/>
        <w:numPr>
          <w:ilvl w:val="1"/>
          <w:numId w:val="8"/>
        </w:numPr>
        <w:rPr>
          <w:noProof w:val="0"/>
          <w:lang w:val="en-AU"/>
        </w:rPr>
      </w:pPr>
      <w:r w:rsidRPr="00CD3A14">
        <w:rPr>
          <w:noProof w:val="0"/>
          <w:lang w:val="en-AU"/>
        </w:rPr>
        <w:t>Education Car 475</w:t>
      </w:r>
      <w:r w:rsidR="00931145" w:rsidRPr="00CD3A14">
        <w:rPr>
          <w:noProof w:val="0"/>
          <w:lang w:val="en-AU"/>
        </w:rPr>
        <w:t xml:space="preserve"> is recorded by NT Fleet as requiring “Diesel” fuel. Of the 41 purchases recorded against this vehicle, two transactions recorded the fuel type as “Unleaded”.  The two unleaded purchases occurred on the same days as diesel purchases. No odometer readings were provided for the unleaded purchases.</w:t>
      </w:r>
    </w:p>
    <w:p w:rsidR="00931145" w:rsidRPr="00CD3A14" w:rsidRDefault="002E76A9" w:rsidP="0013400B">
      <w:pPr>
        <w:pStyle w:val="AGRBulletText"/>
        <w:numPr>
          <w:ilvl w:val="1"/>
          <w:numId w:val="8"/>
        </w:numPr>
        <w:rPr>
          <w:noProof w:val="0"/>
          <w:lang w:val="en-AU"/>
        </w:rPr>
      </w:pPr>
      <w:r w:rsidRPr="00CD3A14">
        <w:rPr>
          <w:noProof w:val="0"/>
          <w:lang w:val="en-AU"/>
        </w:rPr>
        <w:t>Education Car 382</w:t>
      </w:r>
      <w:r w:rsidR="00931145" w:rsidRPr="00CD3A14">
        <w:rPr>
          <w:noProof w:val="0"/>
          <w:lang w:val="en-AU"/>
        </w:rPr>
        <w:t xml:space="preserve"> is recorded by NT Fleet as</w:t>
      </w:r>
      <w:r w:rsidR="00DC48AC" w:rsidRPr="00CD3A14">
        <w:rPr>
          <w:noProof w:val="0"/>
          <w:lang w:val="en-AU"/>
        </w:rPr>
        <w:t xml:space="preserve"> requiring “Diesel” fuel but 20 </w:t>
      </w:r>
      <w:r w:rsidR="00931145" w:rsidRPr="00CD3A14">
        <w:rPr>
          <w:noProof w:val="0"/>
          <w:lang w:val="en-AU"/>
        </w:rPr>
        <w:t>purchases of unleaded fuel were recorded against this vehicle.  Five purchases in November and December 2014 had odometer readings recorded as 5,038 kilometres, recording no change between the purchase dates.  I note that an odometer reading was not provided for the majority of the purchases</w:t>
      </w:r>
      <w:r w:rsidR="009069C7">
        <w:rPr>
          <w:noProof w:val="0"/>
          <w:lang w:val="en-AU"/>
        </w:rPr>
        <w:t>.</w:t>
      </w:r>
    </w:p>
    <w:p w:rsidR="00931145" w:rsidRPr="00CD3A14" w:rsidRDefault="00931145" w:rsidP="0013400B">
      <w:pPr>
        <w:pStyle w:val="AGRBulletText"/>
        <w:rPr>
          <w:noProof w:val="0"/>
          <w:lang w:val="en-AU"/>
        </w:rPr>
      </w:pPr>
      <w:r w:rsidRPr="00CD3A14">
        <w:rPr>
          <w:noProof w:val="0"/>
          <w:lang w:val="en-AU"/>
        </w:rPr>
        <w:t>There were at least 43 instances where less than 15 litres of fuel were recorded as having being purchased (excluding items identified as ‘surcharge’ and ‘lube’).  Purchases of this size appear unusual in the context of motor vehicle usage.</w:t>
      </w:r>
    </w:p>
    <w:p w:rsidR="00931145" w:rsidRPr="00CD3A14" w:rsidRDefault="002E76A9" w:rsidP="0013400B">
      <w:pPr>
        <w:pStyle w:val="AGRBulletText"/>
        <w:rPr>
          <w:noProof w:val="0"/>
          <w:lang w:val="en-AU"/>
        </w:rPr>
      </w:pPr>
      <w:r w:rsidRPr="00CD3A14">
        <w:rPr>
          <w:noProof w:val="0"/>
          <w:lang w:val="en-AU"/>
        </w:rPr>
        <w:t>Education Car 138</w:t>
      </w:r>
      <w:r w:rsidR="00931145" w:rsidRPr="00CD3A14">
        <w:rPr>
          <w:noProof w:val="0"/>
          <w:lang w:val="en-AU"/>
        </w:rPr>
        <w:t xml:space="preserve"> had two purchases of fuel recorded on the same day with the same quantity purchased, however a reversal transaction was not noted.</w:t>
      </w:r>
    </w:p>
    <w:p w:rsidR="00931145" w:rsidRPr="00CD3A14" w:rsidRDefault="002E76A9" w:rsidP="0013400B">
      <w:pPr>
        <w:pStyle w:val="AGRBulletText"/>
        <w:rPr>
          <w:noProof w:val="0"/>
          <w:lang w:val="en-AU"/>
        </w:rPr>
      </w:pPr>
      <w:r w:rsidRPr="00CD3A14">
        <w:rPr>
          <w:noProof w:val="0"/>
          <w:lang w:val="en-AU"/>
        </w:rPr>
        <w:t>Education Car 141</w:t>
      </w:r>
      <w:r w:rsidR="00931145" w:rsidRPr="00CD3A14">
        <w:rPr>
          <w:noProof w:val="0"/>
          <w:lang w:val="en-AU"/>
        </w:rPr>
        <w:t xml:space="preserve"> had two purchases of fuel on the same </w:t>
      </w:r>
      <w:proofErr w:type="gramStart"/>
      <w:r w:rsidR="00931145" w:rsidRPr="00CD3A14">
        <w:rPr>
          <w:noProof w:val="0"/>
          <w:lang w:val="en-AU"/>
        </w:rPr>
        <w:t>day that appear</w:t>
      </w:r>
      <w:proofErr w:type="gramEnd"/>
      <w:r w:rsidR="00931145" w:rsidRPr="00CD3A14">
        <w:rPr>
          <w:noProof w:val="0"/>
          <w:lang w:val="en-AU"/>
        </w:rPr>
        <w:t xml:space="preserve"> to be in rapid succession.</w:t>
      </w:r>
    </w:p>
    <w:p w:rsidR="00F34CBF" w:rsidRPr="00CD3A14" w:rsidRDefault="00F34CBF" w:rsidP="00F34CBF">
      <w:pPr>
        <w:pStyle w:val="AGRHeading1"/>
      </w:pPr>
      <w:r w:rsidRPr="00CD3A14">
        <w:t xml:space="preserve">Selected Agencies </w:t>
      </w:r>
      <w:proofErr w:type="spellStart"/>
      <w:r w:rsidRPr="00CD3A14">
        <w:t>cont</w:t>
      </w:r>
      <w:proofErr w:type="spellEnd"/>
      <w:r w:rsidRPr="00CD3A14">
        <w:t>…</w:t>
      </w:r>
    </w:p>
    <w:p w:rsidR="00931145" w:rsidRPr="00CD3A14" w:rsidRDefault="002E76A9" w:rsidP="0013400B">
      <w:pPr>
        <w:pStyle w:val="AGRBulletText"/>
        <w:rPr>
          <w:noProof w:val="0"/>
          <w:lang w:val="en-AU"/>
        </w:rPr>
      </w:pPr>
      <w:r w:rsidRPr="00CD3A14">
        <w:rPr>
          <w:noProof w:val="0"/>
          <w:lang w:val="en-AU"/>
        </w:rPr>
        <w:t>Education Car 165</w:t>
      </w:r>
      <w:r w:rsidR="00931145" w:rsidRPr="00CD3A14">
        <w:rPr>
          <w:noProof w:val="0"/>
          <w:lang w:val="en-AU"/>
        </w:rPr>
        <w:t xml:space="preserve"> had a number of fuel purchases outside the Northern Territory. Given the dates involved it appears that the driver may have been interstate on private rather than on official business. Specifically:</w:t>
      </w:r>
    </w:p>
    <w:tbl>
      <w:tblPr>
        <w:tblStyle w:val="TableGrid"/>
        <w:tblW w:w="8253" w:type="dxa"/>
        <w:tblInd w:w="12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Education car 165"/>
        <w:tblDescription w:val="Date Location Odometer Quantity&#10;17 December 2014  BP Port Augusta 72,577 km 18.81 litres&#10;18 December 2014  BP Bordertown 73,148 km 57.97 litres&#10;22 December 2014  Caltex Starshop Frankston 73,809 km 64.89 litres&#10;29 December 2014  BP Malvern 34,429 km 59.88 litres&#10;3 January 2015  BP Little River (Geelong Bound) 75,005 km 55.17 litres&#10;7 January 2015  Caltex Woolworths Murrumbeena 75,350 km 36.63 litres&#10;8 January 2015  Caltex Merimbula 75,929 km 55.39 litres&#10;11 January 2015  7 Eleven Turramurra 76,502 km 54.30 litres&#10;12 January 2015  Caltex Coffs Harbour 77,047 km 50.27 litres&#10;18 January 2015  Coles Express Miami 77,555 km 48.31 litres&#10;19 January 2015  Caltex Woolworths Roma 78,080 km 51.30 litres&#10;19 January 2015  Augathella On The Highway 78,357 km 29.19 litres&#10;20 January 2015  Choice Petroleum Barcaldine 68,872 km 32.19 litres&#10;20 January 2015  Coles Express Mount Isa 79,520 km 51.54 litres&#10;20 January 2015  Camooweal Roadhouse 79,650 km 19.76 litres&#10;"/>
      </w:tblPr>
      <w:tblGrid>
        <w:gridCol w:w="2016"/>
        <w:gridCol w:w="3260"/>
        <w:gridCol w:w="1418"/>
        <w:gridCol w:w="1559"/>
      </w:tblGrid>
      <w:tr w:rsidR="00931145" w:rsidRPr="00CD3A14" w:rsidTr="00492BD8">
        <w:trPr>
          <w:tblHeader/>
        </w:trPr>
        <w:tc>
          <w:tcPr>
            <w:tcW w:w="2016" w:type="dxa"/>
            <w:shd w:val="clear" w:color="auto" w:fill="F2F2F2" w:themeFill="background1" w:themeFillShade="F2"/>
          </w:tcPr>
          <w:p w:rsidR="00931145" w:rsidRPr="00CD3A14" w:rsidRDefault="00931145" w:rsidP="00C93D7F">
            <w:pPr>
              <w:pStyle w:val="AGRTableText"/>
              <w:jc w:val="center"/>
              <w:rPr>
                <w:b/>
              </w:rPr>
            </w:pPr>
            <w:r w:rsidRPr="00CD3A14">
              <w:rPr>
                <w:b/>
              </w:rPr>
              <w:t>Date</w:t>
            </w:r>
          </w:p>
        </w:tc>
        <w:tc>
          <w:tcPr>
            <w:tcW w:w="3260" w:type="dxa"/>
            <w:shd w:val="clear" w:color="auto" w:fill="F2F2F2" w:themeFill="background1" w:themeFillShade="F2"/>
          </w:tcPr>
          <w:p w:rsidR="00931145" w:rsidRPr="00CD3A14" w:rsidRDefault="00931145" w:rsidP="00C93D7F">
            <w:pPr>
              <w:pStyle w:val="AGRTableText"/>
              <w:jc w:val="center"/>
              <w:rPr>
                <w:b/>
              </w:rPr>
            </w:pPr>
            <w:r w:rsidRPr="00CD3A14">
              <w:rPr>
                <w:b/>
              </w:rPr>
              <w:t>Location</w:t>
            </w:r>
          </w:p>
        </w:tc>
        <w:tc>
          <w:tcPr>
            <w:tcW w:w="1418" w:type="dxa"/>
            <w:shd w:val="clear" w:color="auto" w:fill="F2F2F2" w:themeFill="background1" w:themeFillShade="F2"/>
          </w:tcPr>
          <w:p w:rsidR="00931145" w:rsidRPr="00CD3A14" w:rsidRDefault="00931145" w:rsidP="00C93D7F">
            <w:pPr>
              <w:pStyle w:val="AGRTableText"/>
              <w:jc w:val="center"/>
              <w:rPr>
                <w:b/>
              </w:rPr>
            </w:pPr>
            <w:r w:rsidRPr="00CD3A14">
              <w:rPr>
                <w:b/>
              </w:rPr>
              <w:t>Odometer</w:t>
            </w:r>
          </w:p>
        </w:tc>
        <w:tc>
          <w:tcPr>
            <w:tcW w:w="1559" w:type="dxa"/>
            <w:shd w:val="clear" w:color="auto" w:fill="F2F2F2" w:themeFill="background1" w:themeFillShade="F2"/>
          </w:tcPr>
          <w:p w:rsidR="00931145" w:rsidRPr="00CD3A14" w:rsidRDefault="00931145" w:rsidP="00C93D7F">
            <w:pPr>
              <w:pStyle w:val="AGRTableText"/>
              <w:jc w:val="center"/>
              <w:rPr>
                <w:b/>
              </w:rPr>
            </w:pPr>
            <w:r w:rsidRPr="00CD3A14">
              <w:rPr>
                <w:b/>
              </w:rPr>
              <w:t>Quantity</w:t>
            </w:r>
          </w:p>
        </w:tc>
      </w:tr>
      <w:tr w:rsidR="00931145" w:rsidRPr="00CD3A14" w:rsidTr="00C93D7F">
        <w:tc>
          <w:tcPr>
            <w:tcW w:w="2016" w:type="dxa"/>
          </w:tcPr>
          <w:p w:rsidR="00931145" w:rsidRPr="00CD3A14" w:rsidRDefault="00931145" w:rsidP="00B756BE">
            <w:pPr>
              <w:pStyle w:val="AGRTableText"/>
            </w:pPr>
            <w:r w:rsidRPr="00CD3A14">
              <w:t xml:space="preserve">17 December 2014 </w:t>
            </w:r>
          </w:p>
        </w:tc>
        <w:tc>
          <w:tcPr>
            <w:tcW w:w="3260" w:type="dxa"/>
          </w:tcPr>
          <w:p w:rsidR="00931145" w:rsidRPr="00CD3A14" w:rsidRDefault="00931145" w:rsidP="00B756BE">
            <w:pPr>
              <w:pStyle w:val="AGRTableText"/>
            </w:pPr>
            <w:r w:rsidRPr="00CD3A14">
              <w:t>BP Port Augusta</w:t>
            </w:r>
          </w:p>
        </w:tc>
        <w:tc>
          <w:tcPr>
            <w:tcW w:w="1418" w:type="dxa"/>
          </w:tcPr>
          <w:p w:rsidR="00931145" w:rsidRPr="00CD3A14" w:rsidRDefault="00931145" w:rsidP="00B756BE">
            <w:pPr>
              <w:pStyle w:val="AGRTableText"/>
            </w:pPr>
            <w:r w:rsidRPr="00CD3A14">
              <w:t>72,577 km</w:t>
            </w:r>
          </w:p>
        </w:tc>
        <w:tc>
          <w:tcPr>
            <w:tcW w:w="1559" w:type="dxa"/>
          </w:tcPr>
          <w:p w:rsidR="00931145" w:rsidRPr="00CD3A14" w:rsidRDefault="00931145" w:rsidP="00B756BE">
            <w:pPr>
              <w:pStyle w:val="AGRTableText"/>
            </w:pPr>
            <w:r w:rsidRPr="00CD3A14">
              <w:t>18.81 litres</w:t>
            </w:r>
          </w:p>
        </w:tc>
      </w:tr>
      <w:tr w:rsidR="00931145" w:rsidRPr="00CD3A14" w:rsidTr="00C93D7F">
        <w:tc>
          <w:tcPr>
            <w:tcW w:w="2016" w:type="dxa"/>
          </w:tcPr>
          <w:p w:rsidR="00931145" w:rsidRPr="00CD3A14" w:rsidRDefault="00931145" w:rsidP="00B756BE">
            <w:pPr>
              <w:pStyle w:val="AGRTableText"/>
            </w:pPr>
            <w:r w:rsidRPr="00CD3A14">
              <w:t xml:space="preserve">18 December 2014 </w:t>
            </w:r>
          </w:p>
        </w:tc>
        <w:tc>
          <w:tcPr>
            <w:tcW w:w="3260" w:type="dxa"/>
          </w:tcPr>
          <w:p w:rsidR="00931145" w:rsidRPr="00CD3A14" w:rsidRDefault="00931145" w:rsidP="00B756BE">
            <w:pPr>
              <w:pStyle w:val="AGRTableText"/>
            </w:pPr>
            <w:r w:rsidRPr="00CD3A14">
              <w:t>BP Bordertown</w:t>
            </w:r>
          </w:p>
        </w:tc>
        <w:tc>
          <w:tcPr>
            <w:tcW w:w="1418" w:type="dxa"/>
          </w:tcPr>
          <w:p w:rsidR="00931145" w:rsidRPr="00CD3A14" w:rsidRDefault="00931145" w:rsidP="00B756BE">
            <w:pPr>
              <w:pStyle w:val="AGRTableText"/>
            </w:pPr>
            <w:r w:rsidRPr="00CD3A14">
              <w:t>73,148 km</w:t>
            </w:r>
          </w:p>
        </w:tc>
        <w:tc>
          <w:tcPr>
            <w:tcW w:w="1559" w:type="dxa"/>
          </w:tcPr>
          <w:p w:rsidR="00931145" w:rsidRPr="00CD3A14" w:rsidRDefault="00931145" w:rsidP="00B756BE">
            <w:pPr>
              <w:pStyle w:val="AGRTableText"/>
            </w:pPr>
            <w:r w:rsidRPr="00CD3A14">
              <w:t>57.97 litres</w:t>
            </w:r>
          </w:p>
        </w:tc>
      </w:tr>
      <w:tr w:rsidR="00931145" w:rsidRPr="00CD3A14" w:rsidTr="00C93D7F">
        <w:tc>
          <w:tcPr>
            <w:tcW w:w="2016" w:type="dxa"/>
          </w:tcPr>
          <w:p w:rsidR="00931145" w:rsidRPr="00CD3A14" w:rsidRDefault="00931145" w:rsidP="00B756BE">
            <w:pPr>
              <w:pStyle w:val="AGRTableText"/>
            </w:pPr>
            <w:r w:rsidRPr="00CD3A14">
              <w:t xml:space="preserve">22 December 2014 </w:t>
            </w:r>
          </w:p>
        </w:tc>
        <w:tc>
          <w:tcPr>
            <w:tcW w:w="3260" w:type="dxa"/>
          </w:tcPr>
          <w:p w:rsidR="00931145" w:rsidRPr="00CD3A14" w:rsidRDefault="00931145" w:rsidP="00B756BE">
            <w:pPr>
              <w:pStyle w:val="AGRTableText"/>
            </w:pPr>
            <w:r w:rsidRPr="00CD3A14">
              <w:t xml:space="preserve">Caltex </w:t>
            </w:r>
            <w:proofErr w:type="spellStart"/>
            <w:r w:rsidRPr="00CD3A14">
              <w:t>Starshop</w:t>
            </w:r>
            <w:proofErr w:type="spellEnd"/>
            <w:r w:rsidRPr="00CD3A14">
              <w:t xml:space="preserve"> Frankston</w:t>
            </w:r>
          </w:p>
        </w:tc>
        <w:tc>
          <w:tcPr>
            <w:tcW w:w="1418" w:type="dxa"/>
          </w:tcPr>
          <w:p w:rsidR="00931145" w:rsidRPr="00CD3A14" w:rsidRDefault="00931145" w:rsidP="00B756BE">
            <w:pPr>
              <w:pStyle w:val="AGRTableText"/>
            </w:pPr>
            <w:r w:rsidRPr="00CD3A14">
              <w:t>73,809 km</w:t>
            </w:r>
          </w:p>
        </w:tc>
        <w:tc>
          <w:tcPr>
            <w:tcW w:w="1559" w:type="dxa"/>
          </w:tcPr>
          <w:p w:rsidR="00931145" w:rsidRPr="00CD3A14" w:rsidRDefault="00931145" w:rsidP="00B756BE">
            <w:pPr>
              <w:pStyle w:val="AGRTableText"/>
            </w:pPr>
            <w:r w:rsidRPr="00CD3A14">
              <w:t>64.89 litres</w:t>
            </w:r>
          </w:p>
        </w:tc>
      </w:tr>
      <w:tr w:rsidR="00931145" w:rsidRPr="00CD3A14" w:rsidTr="00C93D7F">
        <w:tc>
          <w:tcPr>
            <w:tcW w:w="2016" w:type="dxa"/>
          </w:tcPr>
          <w:p w:rsidR="00931145" w:rsidRPr="00CD3A14" w:rsidRDefault="00931145" w:rsidP="00B756BE">
            <w:pPr>
              <w:pStyle w:val="AGRTableText"/>
            </w:pPr>
            <w:r w:rsidRPr="00CD3A14">
              <w:t xml:space="preserve">29 December 2014 </w:t>
            </w:r>
          </w:p>
        </w:tc>
        <w:tc>
          <w:tcPr>
            <w:tcW w:w="3260" w:type="dxa"/>
          </w:tcPr>
          <w:p w:rsidR="00931145" w:rsidRPr="00CD3A14" w:rsidRDefault="00931145" w:rsidP="00B756BE">
            <w:pPr>
              <w:pStyle w:val="AGRTableText"/>
            </w:pPr>
            <w:r w:rsidRPr="00CD3A14">
              <w:t>BP Malvern</w:t>
            </w:r>
          </w:p>
        </w:tc>
        <w:tc>
          <w:tcPr>
            <w:tcW w:w="1418" w:type="dxa"/>
          </w:tcPr>
          <w:p w:rsidR="00931145" w:rsidRPr="00CD3A14" w:rsidRDefault="00931145" w:rsidP="00B756BE">
            <w:pPr>
              <w:pStyle w:val="AGRTableText"/>
            </w:pPr>
            <w:r w:rsidRPr="00CD3A14">
              <w:t>34,429 km</w:t>
            </w:r>
          </w:p>
        </w:tc>
        <w:tc>
          <w:tcPr>
            <w:tcW w:w="1559" w:type="dxa"/>
          </w:tcPr>
          <w:p w:rsidR="00931145" w:rsidRPr="00CD3A14" w:rsidRDefault="00931145" w:rsidP="00B756BE">
            <w:pPr>
              <w:pStyle w:val="AGRTableText"/>
            </w:pPr>
            <w:r w:rsidRPr="00CD3A14">
              <w:t>59.88 litres</w:t>
            </w:r>
          </w:p>
        </w:tc>
      </w:tr>
      <w:tr w:rsidR="00931145" w:rsidRPr="00CD3A14" w:rsidTr="00C93D7F">
        <w:tc>
          <w:tcPr>
            <w:tcW w:w="2016" w:type="dxa"/>
          </w:tcPr>
          <w:p w:rsidR="00931145" w:rsidRPr="00CD3A14" w:rsidRDefault="00931145" w:rsidP="00B756BE">
            <w:pPr>
              <w:pStyle w:val="AGRTableText"/>
            </w:pPr>
            <w:r w:rsidRPr="00CD3A14">
              <w:t xml:space="preserve">3 January 2015 </w:t>
            </w:r>
          </w:p>
        </w:tc>
        <w:tc>
          <w:tcPr>
            <w:tcW w:w="3260" w:type="dxa"/>
          </w:tcPr>
          <w:p w:rsidR="00931145" w:rsidRPr="00CD3A14" w:rsidRDefault="00931145" w:rsidP="00B756BE">
            <w:pPr>
              <w:pStyle w:val="AGRTableText"/>
            </w:pPr>
            <w:r w:rsidRPr="00CD3A14">
              <w:t>BP Little River (Geelong Bound)</w:t>
            </w:r>
          </w:p>
        </w:tc>
        <w:tc>
          <w:tcPr>
            <w:tcW w:w="1418" w:type="dxa"/>
          </w:tcPr>
          <w:p w:rsidR="00931145" w:rsidRPr="00CD3A14" w:rsidRDefault="00931145" w:rsidP="00B756BE">
            <w:pPr>
              <w:pStyle w:val="AGRTableText"/>
            </w:pPr>
            <w:r w:rsidRPr="00CD3A14">
              <w:t>75,005 km</w:t>
            </w:r>
          </w:p>
        </w:tc>
        <w:tc>
          <w:tcPr>
            <w:tcW w:w="1559" w:type="dxa"/>
          </w:tcPr>
          <w:p w:rsidR="00931145" w:rsidRPr="00CD3A14" w:rsidRDefault="00931145" w:rsidP="00B756BE">
            <w:pPr>
              <w:pStyle w:val="AGRTableText"/>
            </w:pPr>
            <w:r w:rsidRPr="00CD3A14">
              <w:t>55.17 litres</w:t>
            </w:r>
          </w:p>
        </w:tc>
      </w:tr>
      <w:tr w:rsidR="00931145" w:rsidRPr="00CD3A14" w:rsidTr="00C93D7F">
        <w:tc>
          <w:tcPr>
            <w:tcW w:w="2016" w:type="dxa"/>
          </w:tcPr>
          <w:p w:rsidR="00931145" w:rsidRPr="00CD3A14" w:rsidRDefault="00931145" w:rsidP="00B756BE">
            <w:pPr>
              <w:pStyle w:val="AGRTableText"/>
            </w:pPr>
            <w:r w:rsidRPr="00CD3A14">
              <w:t xml:space="preserve">7 January 2015 </w:t>
            </w:r>
          </w:p>
        </w:tc>
        <w:tc>
          <w:tcPr>
            <w:tcW w:w="3260" w:type="dxa"/>
          </w:tcPr>
          <w:p w:rsidR="00931145" w:rsidRPr="00CD3A14" w:rsidRDefault="00931145" w:rsidP="00B756BE">
            <w:pPr>
              <w:pStyle w:val="AGRTableText"/>
            </w:pPr>
            <w:r w:rsidRPr="00CD3A14">
              <w:t>Caltex Woolworths Murrumbeena</w:t>
            </w:r>
          </w:p>
        </w:tc>
        <w:tc>
          <w:tcPr>
            <w:tcW w:w="1418" w:type="dxa"/>
          </w:tcPr>
          <w:p w:rsidR="00931145" w:rsidRPr="00CD3A14" w:rsidRDefault="00931145" w:rsidP="00B756BE">
            <w:pPr>
              <w:pStyle w:val="AGRTableText"/>
            </w:pPr>
            <w:r w:rsidRPr="00CD3A14">
              <w:t>75,350 km</w:t>
            </w:r>
          </w:p>
        </w:tc>
        <w:tc>
          <w:tcPr>
            <w:tcW w:w="1559" w:type="dxa"/>
          </w:tcPr>
          <w:p w:rsidR="00931145" w:rsidRPr="00CD3A14" w:rsidRDefault="00931145" w:rsidP="00B756BE">
            <w:pPr>
              <w:pStyle w:val="AGRTableText"/>
            </w:pPr>
            <w:r w:rsidRPr="00CD3A14">
              <w:t>36.63 litres</w:t>
            </w:r>
          </w:p>
        </w:tc>
      </w:tr>
      <w:tr w:rsidR="00931145" w:rsidRPr="00CD3A14" w:rsidTr="00C93D7F">
        <w:tc>
          <w:tcPr>
            <w:tcW w:w="2016" w:type="dxa"/>
          </w:tcPr>
          <w:p w:rsidR="00931145" w:rsidRPr="00CD3A14" w:rsidRDefault="00931145" w:rsidP="00B756BE">
            <w:pPr>
              <w:pStyle w:val="AGRTableText"/>
            </w:pPr>
            <w:r w:rsidRPr="00CD3A14">
              <w:t xml:space="preserve">8 January 2015 </w:t>
            </w:r>
          </w:p>
        </w:tc>
        <w:tc>
          <w:tcPr>
            <w:tcW w:w="3260" w:type="dxa"/>
          </w:tcPr>
          <w:p w:rsidR="00931145" w:rsidRPr="00CD3A14" w:rsidRDefault="00931145" w:rsidP="00B756BE">
            <w:pPr>
              <w:pStyle w:val="AGRTableText"/>
            </w:pPr>
            <w:r w:rsidRPr="00CD3A14">
              <w:t>Caltex Merimbula</w:t>
            </w:r>
          </w:p>
        </w:tc>
        <w:tc>
          <w:tcPr>
            <w:tcW w:w="1418" w:type="dxa"/>
          </w:tcPr>
          <w:p w:rsidR="00931145" w:rsidRPr="00CD3A14" w:rsidRDefault="00931145" w:rsidP="00B756BE">
            <w:pPr>
              <w:pStyle w:val="AGRTableText"/>
            </w:pPr>
            <w:r w:rsidRPr="00CD3A14">
              <w:t>75,929 km</w:t>
            </w:r>
          </w:p>
        </w:tc>
        <w:tc>
          <w:tcPr>
            <w:tcW w:w="1559" w:type="dxa"/>
          </w:tcPr>
          <w:p w:rsidR="00931145" w:rsidRPr="00CD3A14" w:rsidRDefault="00931145" w:rsidP="00B756BE">
            <w:pPr>
              <w:pStyle w:val="AGRTableText"/>
            </w:pPr>
            <w:r w:rsidRPr="00CD3A14">
              <w:t>55.39 litres</w:t>
            </w:r>
          </w:p>
        </w:tc>
      </w:tr>
      <w:tr w:rsidR="00931145" w:rsidRPr="00CD3A14" w:rsidTr="00C93D7F">
        <w:tc>
          <w:tcPr>
            <w:tcW w:w="2016" w:type="dxa"/>
          </w:tcPr>
          <w:p w:rsidR="00931145" w:rsidRPr="00CD3A14" w:rsidRDefault="00931145" w:rsidP="00B756BE">
            <w:pPr>
              <w:pStyle w:val="AGRTableText"/>
            </w:pPr>
            <w:r w:rsidRPr="00CD3A14">
              <w:t xml:space="preserve">11 January 2015 </w:t>
            </w:r>
          </w:p>
        </w:tc>
        <w:tc>
          <w:tcPr>
            <w:tcW w:w="3260" w:type="dxa"/>
          </w:tcPr>
          <w:p w:rsidR="00931145" w:rsidRPr="00CD3A14" w:rsidRDefault="00931145" w:rsidP="00B756BE">
            <w:pPr>
              <w:pStyle w:val="AGRTableText"/>
            </w:pPr>
            <w:r w:rsidRPr="00CD3A14">
              <w:t>7 Eleven Turramurra</w:t>
            </w:r>
          </w:p>
        </w:tc>
        <w:tc>
          <w:tcPr>
            <w:tcW w:w="1418" w:type="dxa"/>
          </w:tcPr>
          <w:p w:rsidR="00931145" w:rsidRPr="00CD3A14" w:rsidRDefault="00931145" w:rsidP="00B756BE">
            <w:pPr>
              <w:pStyle w:val="AGRTableText"/>
            </w:pPr>
            <w:r w:rsidRPr="00CD3A14">
              <w:t>76,502 km</w:t>
            </w:r>
          </w:p>
        </w:tc>
        <w:tc>
          <w:tcPr>
            <w:tcW w:w="1559" w:type="dxa"/>
          </w:tcPr>
          <w:p w:rsidR="00931145" w:rsidRPr="00CD3A14" w:rsidRDefault="00931145" w:rsidP="00B756BE">
            <w:pPr>
              <w:pStyle w:val="AGRTableText"/>
            </w:pPr>
            <w:r w:rsidRPr="00CD3A14">
              <w:t>54.30 litres</w:t>
            </w:r>
          </w:p>
        </w:tc>
      </w:tr>
      <w:tr w:rsidR="00931145" w:rsidRPr="00CD3A14" w:rsidTr="00C93D7F">
        <w:tc>
          <w:tcPr>
            <w:tcW w:w="2016" w:type="dxa"/>
          </w:tcPr>
          <w:p w:rsidR="00931145" w:rsidRPr="00CD3A14" w:rsidRDefault="00931145" w:rsidP="00B756BE">
            <w:pPr>
              <w:pStyle w:val="AGRTableText"/>
            </w:pPr>
            <w:r w:rsidRPr="00CD3A14">
              <w:t xml:space="preserve">12 January 2015 </w:t>
            </w:r>
          </w:p>
        </w:tc>
        <w:tc>
          <w:tcPr>
            <w:tcW w:w="3260" w:type="dxa"/>
          </w:tcPr>
          <w:p w:rsidR="00931145" w:rsidRPr="00CD3A14" w:rsidRDefault="00931145" w:rsidP="00B756BE">
            <w:pPr>
              <w:pStyle w:val="AGRTableText"/>
            </w:pPr>
            <w:r w:rsidRPr="00CD3A14">
              <w:t>Caltex Coffs Harbour</w:t>
            </w:r>
          </w:p>
        </w:tc>
        <w:tc>
          <w:tcPr>
            <w:tcW w:w="1418" w:type="dxa"/>
          </w:tcPr>
          <w:p w:rsidR="00931145" w:rsidRPr="00CD3A14" w:rsidRDefault="00931145" w:rsidP="00B756BE">
            <w:pPr>
              <w:pStyle w:val="AGRTableText"/>
            </w:pPr>
            <w:r w:rsidRPr="00CD3A14">
              <w:t>77,047 km</w:t>
            </w:r>
          </w:p>
        </w:tc>
        <w:tc>
          <w:tcPr>
            <w:tcW w:w="1559" w:type="dxa"/>
          </w:tcPr>
          <w:p w:rsidR="00931145" w:rsidRPr="00CD3A14" w:rsidRDefault="00931145" w:rsidP="00B756BE">
            <w:pPr>
              <w:pStyle w:val="AGRTableText"/>
            </w:pPr>
            <w:r w:rsidRPr="00CD3A14">
              <w:t>50.27 litres</w:t>
            </w:r>
          </w:p>
        </w:tc>
      </w:tr>
      <w:tr w:rsidR="00931145" w:rsidRPr="00CD3A14" w:rsidTr="00C93D7F">
        <w:tc>
          <w:tcPr>
            <w:tcW w:w="2016" w:type="dxa"/>
          </w:tcPr>
          <w:p w:rsidR="00931145" w:rsidRPr="00CD3A14" w:rsidRDefault="00931145" w:rsidP="00B756BE">
            <w:pPr>
              <w:pStyle w:val="AGRTableText"/>
            </w:pPr>
            <w:r w:rsidRPr="00CD3A14">
              <w:t xml:space="preserve">18 January 2015 </w:t>
            </w:r>
          </w:p>
        </w:tc>
        <w:tc>
          <w:tcPr>
            <w:tcW w:w="3260" w:type="dxa"/>
          </w:tcPr>
          <w:p w:rsidR="00931145" w:rsidRPr="00CD3A14" w:rsidRDefault="00931145" w:rsidP="00B756BE">
            <w:pPr>
              <w:pStyle w:val="AGRTableText"/>
            </w:pPr>
            <w:r w:rsidRPr="00CD3A14">
              <w:t>Coles Express Miami</w:t>
            </w:r>
          </w:p>
        </w:tc>
        <w:tc>
          <w:tcPr>
            <w:tcW w:w="1418" w:type="dxa"/>
          </w:tcPr>
          <w:p w:rsidR="00931145" w:rsidRPr="00CD3A14" w:rsidRDefault="00931145" w:rsidP="00B756BE">
            <w:pPr>
              <w:pStyle w:val="AGRTableText"/>
            </w:pPr>
            <w:r w:rsidRPr="00CD3A14">
              <w:t>77,555 km</w:t>
            </w:r>
          </w:p>
        </w:tc>
        <w:tc>
          <w:tcPr>
            <w:tcW w:w="1559" w:type="dxa"/>
          </w:tcPr>
          <w:p w:rsidR="00931145" w:rsidRPr="00CD3A14" w:rsidRDefault="00931145" w:rsidP="00B756BE">
            <w:pPr>
              <w:pStyle w:val="AGRTableText"/>
            </w:pPr>
            <w:r w:rsidRPr="00CD3A14">
              <w:t>48.31 litres</w:t>
            </w:r>
          </w:p>
        </w:tc>
      </w:tr>
      <w:tr w:rsidR="00931145" w:rsidRPr="00CD3A14" w:rsidTr="00C93D7F">
        <w:tc>
          <w:tcPr>
            <w:tcW w:w="2016" w:type="dxa"/>
          </w:tcPr>
          <w:p w:rsidR="00931145" w:rsidRPr="00CD3A14" w:rsidRDefault="00931145" w:rsidP="00B756BE">
            <w:pPr>
              <w:pStyle w:val="AGRTableText"/>
            </w:pPr>
            <w:r w:rsidRPr="00CD3A14">
              <w:t xml:space="preserve">19 January 2015 </w:t>
            </w:r>
          </w:p>
        </w:tc>
        <w:tc>
          <w:tcPr>
            <w:tcW w:w="3260" w:type="dxa"/>
          </w:tcPr>
          <w:p w:rsidR="00931145" w:rsidRPr="00CD3A14" w:rsidRDefault="00931145" w:rsidP="00B756BE">
            <w:pPr>
              <w:pStyle w:val="AGRTableText"/>
            </w:pPr>
            <w:r w:rsidRPr="00CD3A14">
              <w:t>Caltex Woolworths Roma</w:t>
            </w:r>
          </w:p>
        </w:tc>
        <w:tc>
          <w:tcPr>
            <w:tcW w:w="1418" w:type="dxa"/>
          </w:tcPr>
          <w:p w:rsidR="00931145" w:rsidRPr="00CD3A14" w:rsidRDefault="00931145" w:rsidP="00B756BE">
            <w:pPr>
              <w:pStyle w:val="AGRTableText"/>
            </w:pPr>
            <w:r w:rsidRPr="00CD3A14">
              <w:t>78,080 km</w:t>
            </w:r>
          </w:p>
        </w:tc>
        <w:tc>
          <w:tcPr>
            <w:tcW w:w="1559" w:type="dxa"/>
          </w:tcPr>
          <w:p w:rsidR="00931145" w:rsidRPr="00CD3A14" w:rsidRDefault="00931145" w:rsidP="00B756BE">
            <w:pPr>
              <w:pStyle w:val="AGRTableText"/>
            </w:pPr>
            <w:r w:rsidRPr="00CD3A14">
              <w:t>51.30 litres</w:t>
            </w:r>
          </w:p>
        </w:tc>
      </w:tr>
      <w:tr w:rsidR="00931145" w:rsidRPr="00CD3A14" w:rsidTr="00C93D7F">
        <w:tc>
          <w:tcPr>
            <w:tcW w:w="2016" w:type="dxa"/>
          </w:tcPr>
          <w:p w:rsidR="00931145" w:rsidRPr="00CD3A14" w:rsidRDefault="00931145" w:rsidP="00B756BE">
            <w:pPr>
              <w:pStyle w:val="AGRTableText"/>
            </w:pPr>
            <w:r w:rsidRPr="00CD3A14">
              <w:t xml:space="preserve">19 January 2015 </w:t>
            </w:r>
          </w:p>
        </w:tc>
        <w:tc>
          <w:tcPr>
            <w:tcW w:w="3260" w:type="dxa"/>
          </w:tcPr>
          <w:p w:rsidR="00931145" w:rsidRPr="00CD3A14" w:rsidRDefault="00931145" w:rsidP="00B756BE">
            <w:pPr>
              <w:pStyle w:val="AGRTableText"/>
            </w:pPr>
            <w:r w:rsidRPr="00CD3A14">
              <w:t>Augathella On The Highway</w:t>
            </w:r>
          </w:p>
        </w:tc>
        <w:tc>
          <w:tcPr>
            <w:tcW w:w="1418" w:type="dxa"/>
          </w:tcPr>
          <w:p w:rsidR="00931145" w:rsidRPr="00CD3A14" w:rsidRDefault="00931145" w:rsidP="00B756BE">
            <w:pPr>
              <w:pStyle w:val="AGRTableText"/>
            </w:pPr>
            <w:r w:rsidRPr="00CD3A14">
              <w:t>78,357 km</w:t>
            </w:r>
          </w:p>
        </w:tc>
        <w:tc>
          <w:tcPr>
            <w:tcW w:w="1559" w:type="dxa"/>
          </w:tcPr>
          <w:p w:rsidR="00931145" w:rsidRPr="00CD3A14" w:rsidRDefault="00931145" w:rsidP="00B756BE">
            <w:pPr>
              <w:pStyle w:val="AGRTableText"/>
            </w:pPr>
            <w:r w:rsidRPr="00CD3A14">
              <w:t>29.19 litres</w:t>
            </w:r>
          </w:p>
        </w:tc>
      </w:tr>
      <w:tr w:rsidR="00931145" w:rsidRPr="00CD3A14" w:rsidTr="00C93D7F">
        <w:tc>
          <w:tcPr>
            <w:tcW w:w="2016" w:type="dxa"/>
          </w:tcPr>
          <w:p w:rsidR="00931145" w:rsidRPr="00CD3A14" w:rsidRDefault="00931145" w:rsidP="00B756BE">
            <w:pPr>
              <w:pStyle w:val="AGRTableText"/>
            </w:pPr>
            <w:r w:rsidRPr="00CD3A14">
              <w:t xml:space="preserve">20 January 2015 </w:t>
            </w:r>
          </w:p>
        </w:tc>
        <w:tc>
          <w:tcPr>
            <w:tcW w:w="3260" w:type="dxa"/>
          </w:tcPr>
          <w:p w:rsidR="00931145" w:rsidRPr="00CD3A14" w:rsidRDefault="00931145" w:rsidP="00B756BE">
            <w:pPr>
              <w:pStyle w:val="AGRTableText"/>
            </w:pPr>
            <w:r w:rsidRPr="00CD3A14">
              <w:t>Choice Petroleum Barcaldine</w:t>
            </w:r>
          </w:p>
        </w:tc>
        <w:tc>
          <w:tcPr>
            <w:tcW w:w="1418" w:type="dxa"/>
          </w:tcPr>
          <w:p w:rsidR="00931145" w:rsidRPr="00CD3A14" w:rsidRDefault="00931145" w:rsidP="00B756BE">
            <w:pPr>
              <w:pStyle w:val="AGRTableText"/>
            </w:pPr>
            <w:r w:rsidRPr="00CD3A14">
              <w:t>68,872 km</w:t>
            </w:r>
          </w:p>
        </w:tc>
        <w:tc>
          <w:tcPr>
            <w:tcW w:w="1559" w:type="dxa"/>
          </w:tcPr>
          <w:p w:rsidR="00931145" w:rsidRPr="00CD3A14" w:rsidRDefault="00931145" w:rsidP="00B756BE">
            <w:pPr>
              <w:pStyle w:val="AGRTableText"/>
            </w:pPr>
            <w:r w:rsidRPr="00CD3A14">
              <w:t>32.19 litres</w:t>
            </w:r>
          </w:p>
        </w:tc>
      </w:tr>
      <w:tr w:rsidR="00931145" w:rsidRPr="00CD3A14" w:rsidTr="00C93D7F">
        <w:tc>
          <w:tcPr>
            <w:tcW w:w="2016" w:type="dxa"/>
          </w:tcPr>
          <w:p w:rsidR="00931145" w:rsidRPr="00CD3A14" w:rsidRDefault="00931145" w:rsidP="00B756BE">
            <w:pPr>
              <w:pStyle w:val="AGRTableText"/>
            </w:pPr>
            <w:r w:rsidRPr="00CD3A14">
              <w:t xml:space="preserve">20 January 2015 </w:t>
            </w:r>
          </w:p>
        </w:tc>
        <w:tc>
          <w:tcPr>
            <w:tcW w:w="3260" w:type="dxa"/>
          </w:tcPr>
          <w:p w:rsidR="00931145" w:rsidRPr="00CD3A14" w:rsidRDefault="00931145" w:rsidP="00B756BE">
            <w:pPr>
              <w:pStyle w:val="AGRTableText"/>
            </w:pPr>
            <w:r w:rsidRPr="00CD3A14">
              <w:t>Coles Express Mount Isa</w:t>
            </w:r>
          </w:p>
        </w:tc>
        <w:tc>
          <w:tcPr>
            <w:tcW w:w="1418" w:type="dxa"/>
          </w:tcPr>
          <w:p w:rsidR="00931145" w:rsidRPr="00CD3A14" w:rsidRDefault="00931145" w:rsidP="00B756BE">
            <w:pPr>
              <w:pStyle w:val="AGRTableText"/>
            </w:pPr>
            <w:r w:rsidRPr="00CD3A14">
              <w:t>79,520 km</w:t>
            </w:r>
          </w:p>
        </w:tc>
        <w:tc>
          <w:tcPr>
            <w:tcW w:w="1559" w:type="dxa"/>
          </w:tcPr>
          <w:p w:rsidR="00931145" w:rsidRPr="00CD3A14" w:rsidRDefault="00931145" w:rsidP="00B756BE">
            <w:pPr>
              <w:pStyle w:val="AGRTableText"/>
            </w:pPr>
            <w:r w:rsidRPr="00CD3A14">
              <w:t>51.54 litres</w:t>
            </w:r>
          </w:p>
        </w:tc>
      </w:tr>
      <w:tr w:rsidR="00931145" w:rsidRPr="00CD3A14" w:rsidTr="00C93D7F">
        <w:tc>
          <w:tcPr>
            <w:tcW w:w="2016" w:type="dxa"/>
          </w:tcPr>
          <w:p w:rsidR="00931145" w:rsidRPr="00CD3A14" w:rsidRDefault="00931145" w:rsidP="00B756BE">
            <w:pPr>
              <w:pStyle w:val="AGRTableText"/>
            </w:pPr>
            <w:r w:rsidRPr="00CD3A14">
              <w:t xml:space="preserve">20 January 2015 </w:t>
            </w:r>
          </w:p>
        </w:tc>
        <w:tc>
          <w:tcPr>
            <w:tcW w:w="3260" w:type="dxa"/>
          </w:tcPr>
          <w:p w:rsidR="00931145" w:rsidRPr="00CD3A14" w:rsidRDefault="00931145" w:rsidP="00B756BE">
            <w:pPr>
              <w:pStyle w:val="AGRTableText"/>
            </w:pPr>
            <w:r w:rsidRPr="00CD3A14">
              <w:t>Camooweal Roadhouse</w:t>
            </w:r>
          </w:p>
        </w:tc>
        <w:tc>
          <w:tcPr>
            <w:tcW w:w="1418" w:type="dxa"/>
          </w:tcPr>
          <w:p w:rsidR="00931145" w:rsidRPr="00CD3A14" w:rsidRDefault="00931145" w:rsidP="00B756BE">
            <w:pPr>
              <w:pStyle w:val="AGRTableText"/>
            </w:pPr>
            <w:r w:rsidRPr="00CD3A14">
              <w:t>79,650 km</w:t>
            </w:r>
          </w:p>
        </w:tc>
        <w:tc>
          <w:tcPr>
            <w:tcW w:w="1559" w:type="dxa"/>
          </w:tcPr>
          <w:p w:rsidR="00931145" w:rsidRPr="00CD3A14" w:rsidRDefault="00931145" w:rsidP="00B756BE">
            <w:pPr>
              <w:pStyle w:val="AGRTableText"/>
            </w:pPr>
            <w:r w:rsidRPr="00CD3A14">
              <w:t>19.76 litres</w:t>
            </w:r>
          </w:p>
        </w:tc>
      </w:tr>
    </w:tbl>
    <w:p w:rsidR="00F34CBF" w:rsidRPr="00CD3A14" w:rsidRDefault="00F34CBF" w:rsidP="00BE0AA1">
      <w:pPr>
        <w:pStyle w:val="AGRBulletText"/>
        <w:numPr>
          <w:ilvl w:val="0"/>
          <w:numId w:val="0"/>
        </w:numPr>
        <w:ind w:left="1211"/>
        <w:rPr>
          <w:noProof w:val="0"/>
          <w:lang w:val="en-AU"/>
        </w:rPr>
      </w:pPr>
    </w:p>
    <w:p w:rsidR="00931145" w:rsidRPr="00CD3A14" w:rsidRDefault="002E76A9" w:rsidP="0013400B">
      <w:pPr>
        <w:pStyle w:val="AGRBulletText"/>
        <w:rPr>
          <w:noProof w:val="0"/>
          <w:lang w:val="en-AU"/>
        </w:rPr>
      </w:pPr>
      <w:r w:rsidRPr="00CD3A14">
        <w:rPr>
          <w:noProof w:val="0"/>
          <w:lang w:val="en-AU"/>
        </w:rPr>
        <w:t>Education Car 183</w:t>
      </w:r>
      <w:r w:rsidR="00C93D7F" w:rsidRPr="00CD3A14">
        <w:rPr>
          <w:noProof w:val="0"/>
          <w:lang w:val="en-AU"/>
        </w:rPr>
        <w:t xml:space="preserve"> had two purchases of fuel on the same </w:t>
      </w:r>
      <w:proofErr w:type="gramStart"/>
      <w:r w:rsidR="00C93D7F" w:rsidRPr="00CD3A14">
        <w:rPr>
          <w:noProof w:val="0"/>
          <w:lang w:val="en-AU"/>
        </w:rPr>
        <w:t>day that appear</w:t>
      </w:r>
      <w:proofErr w:type="gramEnd"/>
      <w:r w:rsidR="00C93D7F" w:rsidRPr="00CD3A14">
        <w:rPr>
          <w:noProof w:val="0"/>
          <w:lang w:val="en-AU"/>
        </w:rPr>
        <w:t xml:space="preserve"> to be in rapid succession.</w:t>
      </w:r>
    </w:p>
    <w:p w:rsidR="00C93D7F" w:rsidRPr="00CD3A14" w:rsidRDefault="002E76A9" w:rsidP="0013400B">
      <w:pPr>
        <w:pStyle w:val="AGRBulletText"/>
        <w:rPr>
          <w:noProof w:val="0"/>
          <w:lang w:val="en-AU"/>
        </w:rPr>
      </w:pPr>
      <w:r w:rsidRPr="00CD3A14">
        <w:rPr>
          <w:noProof w:val="0"/>
          <w:lang w:val="en-AU"/>
        </w:rPr>
        <w:t>Education Car 164</w:t>
      </w:r>
      <w:r w:rsidR="00C93D7F" w:rsidRPr="00CD3A14">
        <w:rPr>
          <w:noProof w:val="0"/>
          <w:lang w:val="en-AU"/>
        </w:rPr>
        <w:t xml:space="preserve"> had two purchases in rapid succession with only one kilometre between refills.</w:t>
      </w:r>
    </w:p>
    <w:p w:rsidR="00C93D7F" w:rsidRPr="00CD3A14" w:rsidRDefault="002E76A9" w:rsidP="0013400B">
      <w:pPr>
        <w:pStyle w:val="AGRBulletText"/>
        <w:rPr>
          <w:noProof w:val="0"/>
          <w:lang w:val="en-AU"/>
        </w:rPr>
      </w:pPr>
      <w:r w:rsidRPr="00CD3A14">
        <w:rPr>
          <w:noProof w:val="0"/>
          <w:lang w:val="en-AU"/>
        </w:rPr>
        <w:t>Education Car 226</w:t>
      </w:r>
      <w:r w:rsidR="00C93D7F" w:rsidRPr="00CD3A14">
        <w:rPr>
          <w:noProof w:val="0"/>
          <w:lang w:val="en-AU"/>
        </w:rPr>
        <w:t xml:space="preserve"> had two purchases within 21 minutes at different service stations</w:t>
      </w:r>
      <w:r w:rsidR="00FA6789">
        <w:rPr>
          <w:noProof w:val="0"/>
          <w:lang w:val="en-AU"/>
        </w:rPr>
        <w:t>.</w:t>
      </w:r>
    </w:p>
    <w:p w:rsidR="00C93D7F" w:rsidRPr="00CD3A14" w:rsidRDefault="002E76A9" w:rsidP="0013400B">
      <w:pPr>
        <w:pStyle w:val="AGRBulletText"/>
        <w:rPr>
          <w:noProof w:val="0"/>
          <w:lang w:val="en-AU"/>
        </w:rPr>
      </w:pPr>
      <w:r w:rsidRPr="00CD3A14">
        <w:rPr>
          <w:noProof w:val="0"/>
          <w:lang w:val="en-AU"/>
        </w:rPr>
        <w:t>Education Car 231</w:t>
      </w:r>
      <w:r w:rsidR="00C93D7F" w:rsidRPr="00CD3A14">
        <w:rPr>
          <w:noProof w:val="0"/>
          <w:lang w:val="en-AU"/>
        </w:rPr>
        <w:t xml:space="preserve"> had two purchases on the same day with only eight kilometres between refills.</w:t>
      </w:r>
    </w:p>
    <w:p w:rsidR="00F34CBF" w:rsidRPr="00CD3A14" w:rsidRDefault="00F34CBF" w:rsidP="00F34CBF">
      <w:pPr>
        <w:pStyle w:val="AGRHeading1"/>
      </w:pPr>
      <w:r w:rsidRPr="00CD3A14">
        <w:t xml:space="preserve">Selected Agencies </w:t>
      </w:r>
      <w:proofErr w:type="spellStart"/>
      <w:r w:rsidRPr="00CD3A14">
        <w:t>cont</w:t>
      </w:r>
      <w:proofErr w:type="spellEnd"/>
      <w:r w:rsidRPr="00CD3A14">
        <w:t>…</w:t>
      </w:r>
    </w:p>
    <w:p w:rsidR="00C93D7F" w:rsidRPr="00CD3A14" w:rsidRDefault="002E76A9" w:rsidP="0013400B">
      <w:pPr>
        <w:pStyle w:val="AGRBulletText"/>
        <w:rPr>
          <w:noProof w:val="0"/>
          <w:lang w:val="en-AU"/>
        </w:rPr>
      </w:pPr>
      <w:r w:rsidRPr="00CD3A14">
        <w:rPr>
          <w:noProof w:val="0"/>
          <w:lang w:val="en-AU"/>
        </w:rPr>
        <w:t>Education Car 255</w:t>
      </w:r>
      <w:r w:rsidR="00C93D7F" w:rsidRPr="00CD3A14">
        <w:rPr>
          <w:noProof w:val="0"/>
          <w:lang w:val="en-AU"/>
        </w:rPr>
        <w:t xml:space="preserve"> has odometer readings that are unusual. Specifically:</w:t>
      </w:r>
    </w:p>
    <w:tbl>
      <w:tblPr>
        <w:tblStyle w:val="TableGrid"/>
        <w:tblW w:w="8253" w:type="dxa"/>
        <w:tblInd w:w="12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Education car 255"/>
        <w:tblDescription w:val="Date Location Odometer Quantity&#10;21 August 2014 Gull Pinelands 21,500 km 84.71 litres&#10;4 November 2014 Darwin River Trading Post 21,000 km 30.50 litres&#10;8 November 2014 Darwin River Trading Post 21,000 km 86.97 litres&#10;23 January 2015 BP Wishart Road 29,000 km 79.35 litres&#10;30 January 2015 Puma Truck Stop Berrimah 29,500 km 74.09 litres&#10;"/>
      </w:tblPr>
      <w:tblGrid>
        <w:gridCol w:w="2016"/>
        <w:gridCol w:w="3260"/>
        <w:gridCol w:w="1418"/>
        <w:gridCol w:w="1559"/>
      </w:tblGrid>
      <w:tr w:rsidR="00C93D7F" w:rsidRPr="00CD3A14" w:rsidTr="00492BD8">
        <w:trPr>
          <w:tblHeader/>
        </w:trPr>
        <w:tc>
          <w:tcPr>
            <w:tcW w:w="2016" w:type="dxa"/>
            <w:shd w:val="clear" w:color="auto" w:fill="F2F2F2" w:themeFill="background1" w:themeFillShade="F2"/>
          </w:tcPr>
          <w:p w:rsidR="00C93D7F" w:rsidRPr="00CD3A14" w:rsidRDefault="00C93D7F" w:rsidP="008B77CF">
            <w:pPr>
              <w:pStyle w:val="AGRTableText"/>
              <w:jc w:val="center"/>
              <w:rPr>
                <w:b/>
              </w:rPr>
            </w:pPr>
            <w:r w:rsidRPr="00CD3A14">
              <w:rPr>
                <w:b/>
              </w:rPr>
              <w:t>Date</w:t>
            </w:r>
          </w:p>
        </w:tc>
        <w:tc>
          <w:tcPr>
            <w:tcW w:w="3260" w:type="dxa"/>
            <w:shd w:val="clear" w:color="auto" w:fill="F2F2F2" w:themeFill="background1" w:themeFillShade="F2"/>
          </w:tcPr>
          <w:p w:rsidR="00C93D7F" w:rsidRPr="00CD3A14" w:rsidRDefault="00C93D7F" w:rsidP="008B77CF">
            <w:pPr>
              <w:pStyle w:val="AGRTableText"/>
              <w:jc w:val="center"/>
              <w:rPr>
                <w:b/>
              </w:rPr>
            </w:pPr>
            <w:r w:rsidRPr="00CD3A14">
              <w:rPr>
                <w:b/>
              </w:rPr>
              <w:t>Location</w:t>
            </w:r>
          </w:p>
        </w:tc>
        <w:tc>
          <w:tcPr>
            <w:tcW w:w="1418" w:type="dxa"/>
            <w:shd w:val="clear" w:color="auto" w:fill="F2F2F2" w:themeFill="background1" w:themeFillShade="F2"/>
          </w:tcPr>
          <w:p w:rsidR="00C93D7F" w:rsidRPr="00CD3A14" w:rsidRDefault="00C93D7F" w:rsidP="008B77CF">
            <w:pPr>
              <w:pStyle w:val="AGRTableText"/>
              <w:jc w:val="center"/>
              <w:rPr>
                <w:b/>
              </w:rPr>
            </w:pPr>
            <w:r w:rsidRPr="00CD3A14">
              <w:rPr>
                <w:b/>
              </w:rPr>
              <w:t>Odometer</w:t>
            </w:r>
          </w:p>
        </w:tc>
        <w:tc>
          <w:tcPr>
            <w:tcW w:w="1559" w:type="dxa"/>
            <w:shd w:val="clear" w:color="auto" w:fill="F2F2F2" w:themeFill="background1" w:themeFillShade="F2"/>
          </w:tcPr>
          <w:p w:rsidR="00C93D7F" w:rsidRPr="00CD3A14" w:rsidRDefault="00C93D7F" w:rsidP="008B77CF">
            <w:pPr>
              <w:pStyle w:val="AGRTableText"/>
              <w:jc w:val="center"/>
              <w:rPr>
                <w:b/>
              </w:rPr>
            </w:pPr>
            <w:r w:rsidRPr="00CD3A14">
              <w:rPr>
                <w:b/>
              </w:rPr>
              <w:t>Quantity</w:t>
            </w:r>
          </w:p>
        </w:tc>
      </w:tr>
      <w:tr w:rsidR="00C93D7F" w:rsidRPr="00CD3A14" w:rsidTr="008B77CF">
        <w:tc>
          <w:tcPr>
            <w:tcW w:w="2016" w:type="dxa"/>
          </w:tcPr>
          <w:p w:rsidR="00C93D7F" w:rsidRPr="00CD3A14" w:rsidRDefault="00C93D7F" w:rsidP="00B756BE">
            <w:pPr>
              <w:pStyle w:val="AGRTableText"/>
            </w:pPr>
            <w:r w:rsidRPr="00CD3A14">
              <w:t>21 August 2014</w:t>
            </w:r>
          </w:p>
        </w:tc>
        <w:tc>
          <w:tcPr>
            <w:tcW w:w="3260" w:type="dxa"/>
          </w:tcPr>
          <w:p w:rsidR="00C93D7F" w:rsidRPr="00CD3A14" w:rsidRDefault="00C93D7F" w:rsidP="00B756BE">
            <w:pPr>
              <w:pStyle w:val="AGRTableText"/>
            </w:pPr>
            <w:r w:rsidRPr="00CD3A14">
              <w:t>Gull Pinelands</w:t>
            </w:r>
          </w:p>
        </w:tc>
        <w:tc>
          <w:tcPr>
            <w:tcW w:w="1418" w:type="dxa"/>
          </w:tcPr>
          <w:p w:rsidR="00C93D7F" w:rsidRPr="00CD3A14" w:rsidRDefault="00C93D7F" w:rsidP="00B756BE">
            <w:pPr>
              <w:pStyle w:val="AGRTableText"/>
            </w:pPr>
            <w:r w:rsidRPr="00CD3A14">
              <w:t>21,500 km</w:t>
            </w:r>
          </w:p>
        </w:tc>
        <w:tc>
          <w:tcPr>
            <w:tcW w:w="1559" w:type="dxa"/>
          </w:tcPr>
          <w:p w:rsidR="00C93D7F" w:rsidRPr="00CD3A14" w:rsidRDefault="00C93D7F" w:rsidP="00B756BE">
            <w:pPr>
              <w:pStyle w:val="AGRTableText"/>
            </w:pPr>
            <w:r w:rsidRPr="00CD3A14">
              <w:t>84.71 litres</w:t>
            </w:r>
          </w:p>
        </w:tc>
      </w:tr>
      <w:tr w:rsidR="00C93D7F" w:rsidRPr="00CD3A14" w:rsidTr="008B77CF">
        <w:tc>
          <w:tcPr>
            <w:tcW w:w="2016" w:type="dxa"/>
          </w:tcPr>
          <w:p w:rsidR="00C93D7F" w:rsidRPr="00CD3A14" w:rsidRDefault="00C93D7F" w:rsidP="00B756BE">
            <w:pPr>
              <w:pStyle w:val="AGRTableText"/>
            </w:pPr>
            <w:r w:rsidRPr="00CD3A14">
              <w:t>4 November 2014</w:t>
            </w:r>
          </w:p>
        </w:tc>
        <w:tc>
          <w:tcPr>
            <w:tcW w:w="3260" w:type="dxa"/>
          </w:tcPr>
          <w:p w:rsidR="00C93D7F" w:rsidRPr="00CD3A14" w:rsidRDefault="00C93D7F" w:rsidP="00B756BE">
            <w:pPr>
              <w:pStyle w:val="AGRTableText"/>
            </w:pPr>
            <w:r w:rsidRPr="00CD3A14">
              <w:t>Darwin River Trading Post</w:t>
            </w:r>
          </w:p>
        </w:tc>
        <w:tc>
          <w:tcPr>
            <w:tcW w:w="1418" w:type="dxa"/>
          </w:tcPr>
          <w:p w:rsidR="00C93D7F" w:rsidRPr="00CD3A14" w:rsidRDefault="00C93D7F" w:rsidP="00B756BE">
            <w:pPr>
              <w:pStyle w:val="AGRTableText"/>
            </w:pPr>
            <w:r w:rsidRPr="00CD3A14">
              <w:t>21,000 km</w:t>
            </w:r>
          </w:p>
        </w:tc>
        <w:tc>
          <w:tcPr>
            <w:tcW w:w="1559" w:type="dxa"/>
          </w:tcPr>
          <w:p w:rsidR="00C93D7F" w:rsidRPr="00CD3A14" w:rsidRDefault="00C93D7F" w:rsidP="00B756BE">
            <w:pPr>
              <w:pStyle w:val="AGRTableText"/>
            </w:pPr>
            <w:r w:rsidRPr="00CD3A14">
              <w:t>30.50 litres</w:t>
            </w:r>
          </w:p>
        </w:tc>
      </w:tr>
      <w:tr w:rsidR="00C93D7F" w:rsidRPr="00CD3A14" w:rsidTr="008B77CF">
        <w:tc>
          <w:tcPr>
            <w:tcW w:w="2016" w:type="dxa"/>
          </w:tcPr>
          <w:p w:rsidR="00C93D7F" w:rsidRPr="00CD3A14" w:rsidRDefault="00C93D7F" w:rsidP="00B756BE">
            <w:pPr>
              <w:pStyle w:val="AGRTableText"/>
            </w:pPr>
            <w:r w:rsidRPr="00CD3A14">
              <w:t>8 November 2014</w:t>
            </w:r>
          </w:p>
        </w:tc>
        <w:tc>
          <w:tcPr>
            <w:tcW w:w="3260" w:type="dxa"/>
          </w:tcPr>
          <w:p w:rsidR="00C93D7F" w:rsidRPr="00CD3A14" w:rsidRDefault="00C93D7F" w:rsidP="00B756BE">
            <w:pPr>
              <w:pStyle w:val="AGRTableText"/>
            </w:pPr>
            <w:r w:rsidRPr="00CD3A14">
              <w:t>Darwin River Trading Post</w:t>
            </w:r>
          </w:p>
        </w:tc>
        <w:tc>
          <w:tcPr>
            <w:tcW w:w="1418" w:type="dxa"/>
          </w:tcPr>
          <w:p w:rsidR="00C93D7F" w:rsidRPr="00CD3A14" w:rsidRDefault="00C93D7F" w:rsidP="00B756BE">
            <w:pPr>
              <w:pStyle w:val="AGRTableText"/>
            </w:pPr>
            <w:r w:rsidRPr="00CD3A14">
              <w:t>21,000 km</w:t>
            </w:r>
          </w:p>
        </w:tc>
        <w:tc>
          <w:tcPr>
            <w:tcW w:w="1559" w:type="dxa"/>
          </w:tcPr>
          <w:p w:rsidR="00C93D7F" w:rsidRPr="00CD3A14" w:rsidRDefault="00C93D7F" w:rsidP="00B756BE">
            <w:pPr>
              <w:pStyle w:val="AGRTableText"/>
            </w:pPr>
            <w:r w:rsidRPr="00CD3A14">
              <w:t>86.97 litres</w:t>
            </w:r>
          </w:p>
        </w:tc>
      </w:tr>
      <w:tr w:rsidR="00C93D7F" w:rsidRPr="00CD3A14" w:rsidTr="008B77CF">
        <w:tc>
          <w:tcPr>
            <w:tcW w:w="2016" w:type="dxa"/>
          </w:tcPr>
          <w:p w:rsidR="00C93D7F" w:rsidRPr="00CD3A14" w:rsidRDefault="00C93D7F" w:rsidP="00B756BE">
            <w:pPr>
              <w:pStyle w:val="AGRTableText"/>
            </w:pPr>
            <w:r w:rsidRPr="00CD3A14">
              <w:t>23 January 2015</w:t>
            </w:r>
          </w:p>
        </w:tc>
        <w:tc>
          <w:tcPr>
            <w:tcW w:w="3260" w:type="dxa"/>
          </w:tcPr>
          <w:p w:rsidR="00C93D7F" w:rsidRPr="00CD3A14" w:rsidRDefault="00C93D7F" w:rsidP="00B756BE">
            <w:pPr>
              <w:pStyle w:val="AGRTableText"/>
            </w:pPr>
            <w:r w:rsidRPr="00CD3A14">
              <w:t>BP Wishart Road</w:t>
            </w:r>
          </w:p>
        </w:tc>
        <w:tc>
          <w:tcPr>
            <w:tcW w:w="1418" w:type="dxa"/>
          </w:tcPr>
          <w:p w:rsidR="00C93D7F" w:rsidRPr="00CD3A14" w:rsidRDefault="00C93D7F" w:rsidP="00B756BE">
            <w:pPr>
              <w:pStyle w:val="AGRTableText"/>
            </w:pPr>
            <w:r w:rsidRPr="00CD3A14">
              <w:t>29,000 km</w:t>
            </w:r>
          </w:p>
        </w:tc>
        <w:tc>
          <w:tcPr>
            <w:tcW w:w="1559" w:type="dxa"/>
          </w:tcPr>
          <w:p w:rsidR="00C93D7F" w:rsidRPr="00CD3A14" w:rsidRDefault="00C93D7F" w:rsidP="00B756BE">
            <w:pPr>
              <w:pStyle w:val="AGRTableText"/>
            </w:pPr>
            <w:r w:rsidRPr="00CD3A14">
              <w:t>79.35 litres</w:t>
            </w:r>
          </w:p>
        </w:tc>
      </w:tr>
      <w:tr w:rsidR="00C93D7F" w:rsidRPr="00CD3A14" w:rsidTr="008B77CF">
        <w:tc>
          <w:tcPr>
            <w:tcW w:w="2016" w:type="dxa"/>
          </w:tcPr>
          <w:p w:rsidR="00C93D7F" w:rsidRPr="00CD3A14" w:rsidRDefault="00C93D7F" w:rsidP="00B756BE">
            <w:pPr>
              <w:pStyle w:val="AGRTableText"/>
            </w:pPr>
            <w:r w:rsidRPr="00CD3A14">
              <w:t>30 January 2015</w:t>
            </w:r>
          </w:p>
        </w:tc>
        <w:tc>
          <w:tcPr>
            <w:tcW w:w="3260" w:type="dxa"/>
          </w:tcPr>
          <w:p w:rsidR="00C93D7F" w:rsidRPr="00CD3A14" w:rsidRDefault="00C93D7F" w:rsidP="00B756BE">
            <w:pPr>
              <w:pStyle w:val="AGRTableText"/>
            </w:pPr>
            <w:r w:rsidRPr="00CD3A14">
              <w:t>Puma Truck Stop Berrimah</w:t>
            </w:r>
          </w:p>
        </w:tc>
        <w:tc>
          <w:tcPr>
            <w:tcW w:w="1418" w:type="dxa"/>
          </w:tcPr>
          <w:p w:rsidR="00C93D7F" w:rsidRPr="00CD3A14" w:rsidRDefault="00C93D7F" w:rsidP="00B756BE">
            <w:pPr>
              <w:pStyle w:val="AGRTableText"/>
            </w:pPr>
            <w:r w:rsidRPr="00CD3A14">
              <w:t>29,500 km</w:t>
            </w:r>
          </w:p>
        </w:tc>
        <w:tc>
          <w:tcPr>
            <w:tcW w:w="1559" w:type="dxa"/>
          </w:tcPr>
          <w:p w:rsidR="00C93D7F" w:rsidRPr="00CD3A14" w:rsidRDefault="00C93D7F" w:rsidP="00B756BE">
            <w:pPr>
              <w:pStyle w:val="AGRTableText"/>
            </w:pPr>
            <w:r w:rsidRPr="00CD3A14">
              <w:t>74.09 litres</w:t>
            </w:r>
          </w:p>
        </w:tc>
      </w:tr>
    </w:tbl>
    <w:p w:rsidR="00F34CBF" w:rsidRPr="00CD3A14" w:rsidRDefault="00F34CBF" w:rsidP="00BE0AA1">
      <w:pPr>
        <w:pStyle w:val="AGRBulletText"/>
        <w:numPr>
          <w:ilvl w:val="0"/>
          <w:numId w:val="0"/>
        </w:numPr>
        <w:ind w:left="1211"/>
        <w:rPr>
          <w:noProof w:val="0"/>
          <w:lang w:val="en-AU"/>
        </w:rPr>
      </w:pPr>
    </w:p>
    <w:p w:rsidR="00C93D7F" w:rsidRPr="00CD3A14" w:rsidRDefault="002E76A9" w:rsidP="0013400B">
      <w:pPr>
        <w:pStyle w:val="AGRBulletText"/>
        <w:rPr>
          <w:noProof w:val="0"/>
          <w:lang w:val="en-AU"/>
        </w:rPr>
      </w:pPr>
      <w:r w:rsidRPr="00CD3A14">
        <w:rPr>
          <w:noProof w:val="0"/>
          <w:lang w:val="en-AU"/>
        </w:rPr>
        <w:t xml:space="preserve">Education Car </w:t>
      </w:r>
      <w:r w:rsidR="009066EB" w:rsidRPr="00CD3A14">
        <w:rPr>
          <w:noProof w:val="0"/>
          <w:lang w:val="en-AU"/>
        </w:rPr>
        <w:t>262</w:t>
      </w:r>
      <w:r w:rsidR="00C93D7F" w:rsidRPr="00CD3A14">
        <w:rPr>
          <w:noProof w:val="0"/>
          <w:lang w:val="en-AU"/>
        </w:rPr>
        <w:t xml:space="preserve"> had two purchases in rapid succession.</w:t>
      </w:r>
    </w:p>
    <w:p w:rsidR="00C93D7F" w:rsidRPr="00CD3A14" w:rsidRDefault="009066EB" w:rsidP="0013400B">
      <w:pPr>
        <w:pStyle w:val="AGRBulletText"/>
        <w:rPr>
          <w:noProof w:val="0"/>
          <w:lang w:val="en-AU" w:eastAsia="en-US"/>
        </w:rPr>
      </w:pPr>
      <w:r w:rsidRPr="00CD3A14">
        <w:rPr>
          <w:noProof w:val="0"/>
          <w:lang w:val="en-AU"/>
        </w:rPr>
        <w:t>Education Car 288</w:t>
      </w:r>
      <w:r w:rsidR="00C93D7F" w:rsidRPr="00CD3A14">
        <w:rPr>
          <w:noProof w:val="0"/>
          <w:lang w:val="en-AU"/>
        </w:rPr>
        <w:t xml:space="preserve"> had two purchases in rapid succession.</w:t>
      </w:r>
    </w:p>
    <w:p w:rsidR="00C93D7F" w:rsidRPr="00CD3A14" w:rsidRDefault="009066EB" w:rsidP="0013400B">
      <w:pPr>
        <w:pStyle w:val="AGRBulletText"/>
        <w:rPr>
          <w:noProof w:val="0"/>
          <w:lang w:val="en-AU"/>
        </w:rPr>
      </w:pPr>
      <w:r w:rsidRPr="00CD3A14">
        <w:rPr>
          <w:noProof w:val="0"/>
          <w:lang w:val="en-AU"/>
        </w:rPr>
        <w:t>Education Car 293</w:t>
      </w:r>
      <w:r w:rsidR="00C93D7F" w:rsidRPr="00CD3A14">
        <w:rPr>
          <w:noProof w:val="0"/>
          <w:lang w:val="en-AU"/>
        </w:rPr>
        <w:t xml:space="preserve"> had two purchases in rapid succession on three dates.</w:t>
      </w:r>
    </w:p>
    <w:p w:rsidR="00C93D7F" w:rsidRPr="00CD3A14" w:rsidRDefault="009066EB" w:rsidP="0013400B">
      <w:pPr>
        <w:pStyle w:val="AGRBulletText"/>
        <w:rPr>
          <w:noProof w:val="0"/>
          <w:lang w:val="en-AU" w:eastAsia="en-US"/>
        </w:rPr>
      </w:pPr>
      <w:r w:rsidRPr="00CD3A14">
        <w:rPr>
          <w:noProof w:val="0"/>
          <w:lang w:val="en-AU"/>
        </w:rPr>
        <w:t>Education Car 299</w:t>
      </w:r>
      <w:r w:rsidR="00C93D7F" w:rsidRPr="00CD3A14">
        <w:rPr>
          <w:noProof w:val="0"/>
          <w:lang w:val="en-AU"/>
        </w:rPr>
        <w:t xml:space="preserve"> had inconsistent sequential odometer readings. Specifically</w:t>
      </w:r>
      <w:r w:rsidR="004B1F76">
        <w:rPr>
          <w:noProof w:val="0"/>
          <w:lang w:val="en-AU"/>
        </w:rPr>
        <w:t>:</w:t>
      </w:r>
    </w:p>
    <w:tbl>
      <w:tblPr>
        <w:tblStyle w:val="TableGrid"/>
        <w:tblW w:w="8253" w:type="dxa"/>
        <w:tblInd w:w="12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Education car 299"/>
        <w:tblDescription w:val="Date Location Odometer Quantity&#10;20 November 2014  Suspense Merchant - Mp 39,957 km 66.22 litres&#10;26 November 2014  TJS One Stop Shop 1,501 km 80.02 litres&#10;27 November 2014  Boab Caravan Park 2,174 km 94.00 litres&#10;28 November 2014  Hi-Way Inn Daly Waters 2,461 km 44.55 litres&#10;29 November 2014  TJS One Stop Shop 2,550 km 58.62 litres&#10;5 December 2014  Gulf Mini Mart 41,179 km 70.48 litres&#10;"/>
      </w:tblPr>
      <w:tblGrid>
        <w:gridCol w:w="2016"/>
        <w:gridCol w:w="3260"/>
        <w:gridCol w:w="1418"/>
        <w:gridCol w:w="1559"/>
      </w:tblGrid>
      <w:tr w:rsidR="00C93D7F" w:rsidRPr="00CD3A14" w:rsidTr="00492BD8">
        <w:trPr>
          <w:tblHeader/>
        </w:trPr>
        <w:tc>
          <w:tcPr>
            <w:tcW w:w="2016" w:type="dxa"/>
            <w:shd w:val="clear" w:color="auto" w:fill="F2F2F2" w:themeFill="background1" w:themeFillShade="F2"/>
          </w:tcPr>
          <w:p w:rsidR="00C93D7F" w:rsidRPr="00CD3A14" w:rsidRDefault="00C93D7F" w:rsidP="008B77CF">
            <w:pPr>
              <w:pStyle w:val="AGRTableText"/>
              <w:jc w:val="center"/>
              <w:rPr>
                <w:b/>
              </w:rPr>
            </w:pPr>
            <w:r w:rsidRPr="00CD3A14">
              <w:rPr>
                <w:b/>
              </w:rPr>
              <w:t>Date</w:t>
            </w:r>
          </w:p>
        </w:tc>
        <w:tc>
          <w:tcPr>
            <w:tcW w:w="3260" w:type="dxa"/>
            <w:shd w:val="clear" w:color="auto" w:fill="F2F2F2" w:themeFill="background1" w:themeFillShade="F2"/>
          </w:tcPr>
          <w:p w:rsidR="00C93D7F" w:rsidRPr="00CD3A14" w:rsidRDefault="00C93D7F" w:rsidP="008B77CF">
            <w:pPr>
              <w:pStyle w:val="AGRTableText"/>
              <w:jc w:val="center"/>
              <w:rPr>
                <w:b/>
              </w:rPr>
            </w:pPr>
            <w:r w:rsidRPr="00CD3A14">
              <w:rPr>
                <w:b/>
              </w:rPr>
              <w:t>Location</w:t>
            </w:r>
          </w:p>
        </w:tc>
        <w:tc>
          <w:tcPr>
            <w:tcW w:w="1418" w:type="dxa"/>
            <w:shd w:val="clear" w:color="auto" w:fill="F2F2F2" w:themeFill="background1" w:themeFillShade="F2"/>
          </w:tcPr>
          <w:p w:rsidR="00C93D7F" w:rsidRPr="00CD3A14" w:rsidRDefault="00C93D7F" w:rsidP="008B77CF">
            <w:pPr>
              <w:pStyle w:val="AGRTableText"/>
              <w:jc w:val="center"/>
              <w:rPr>
                <w:b/>
              </w:rPr>
            </w:pPr>
            <w:r w:rsidRPr="00CD3A14">
              <w:rPr>
                <w:b/>
              </w:rPr>
              <w:t>Odometer</w:t>
            </w:r>
          </w:p>
        </w:tc>
        <w:tc>
          <w:tcPr>
            <w:tcW w:w="1559" w:type="dxa"/>
            <w:shd w:val="clear" w:color="auto" w:fill="F2F2F2" w:themeFill="background1" w:themeFillShade="F2"/>
          </w:tcPr>
          <w:p w:rsidR="00C93D7F" w:rsidRPr="00CD3A14" w:rsidRDefault="00C93D7F" w:rsidP="008B77CF">
            <w:pPr>
              <w:pStyle w:val="AGRTableText"/>
              <w:jc w:val="center"/>
              <w:rPr>
                <w:b/>
              </w:rPr>
            </w:pPr>
            <w:r w:rsidRPr="00CD3A14">
              <w:rPr>
                <w:b/>
              </w:rPr>
              <w:t>Quantity</w:t>
            </w:r>
          </w:p>
        </w:tc>
      </w:tr>
      <w:tr w:rsidR="00C93D7F" w:rsidRPr="00CD3A14" w:rsidTr="00C93D7F">
        <w:tc>
          <w:tcPr>
            <w:tcW w:w="2016" w:type="dxa"/>
          </w:tcPr>
          <w:p w:rsidR="00C93D7F" w:rsidRPr="00CD3A14" w:rsidRDefault="00C93D7F" w:rsidP="00B756BE">
            <w:pPr>
              <w:pStyle w:val="AGRTableText"/>
            </w:pPr>
            <w:r w:rsidRPr="00CD3A14">
              <w:t xml:space="preserve">20 November 2014 </w:t>
            </w:r>
          </w:p>
        </w:tc>
        <w:tc>
          <w:tcPr>
            <w:tcW w:w="3260" w:type="dxa"/>
          </w:tcPr>
          <w:p w:rsidR="00C93D7F" w:rsidRPr="00CD3A14" w:rsidRDefault="00C93D7F" w:rsidP="00B756BE">
            <w:pPr>
              <w:pStyle w:val="AGRTableText"/>
            </w:pPr>
            <w:r w:rsidRPr="00CD3A14">
              <w:t xml:space="preserve">Suspense Merchant - </w:t>
            </w:r>
            <w:proofErr w:type="spellStart"/>
            <w:r w:rsidRPr="00CD3A14">
              <w:t>Mp</w:t>
            </w:r>
            <w:proofErr w:type="spellEnd"/>
          </w:p>
        </w:tc>
        <w:tc>
          <w:tcPr>
            <w:tcW w:w="1418" w:type="dxa"/>
          </w:tcPr>
          <w:p w:rsidR="00C93D7F" w:rsidRPr="00CD3A14" w:rsidRDefault="00C93D7F" w:rsidP="00B756BE">
            <w:pPr>
              <w:pStyle w:val="AGRTableText"/>
            </w:pPr>
            <w:r w:rsidRPr="00CD3A14">
              <w:t>39,957 km</w:t>
            </w:r>
          </w:p>
        </w:tc>
        <w:tc>
          <w:tcPr>
            <w:tcW w:w="1559" w:type="dxa"/>
          </w:tcPr>
          <w:p w:rsidR="00C93D7F" w:rsidRPr="00CD3A14" w:rsidRDefault="00C93D7F" w:rsidP="00B756BE">
            <w:pPr>
              <w:pStyle w:val="AGRTableText"/>
            </w:pPr>
            <w:r w:rsidRPr="00CD3A14">
              <w:t>66.22 litres</w:t>
            </w:r>
          </w:p>
        </w:tc>
      </w:tr>
      <w:tr w:rsidR="00C93D7F" w:rsidRPr="00CD3A14" w:rsidTr="00C93D7F">
        <w:tc>
          <w:tcPr>
            <w:tcW w:w="2016" w:type="dxa"/>
          </w:tcPr>
          <w:p w:rsidR="00C93D7F" w:rsidRPr="00CD3A14" w:rsidRDefault="00C93D7F" w:rsidP="00B756BE">
            <w:pPr>
              <w:pStyle w:val="AGRTableText"/>
            </w:pPr>
            <w:r w:rsidRPr="00CD3A14">
              <w:t xml:space="preserve">26 November 2014 </w:t>
            </w:r>
          </w:p>
        </w:tc>
        <w:tc>
          <w:tcPr>
            <w:tcW w:w="3260" w:type="dxa"/>
          </w:tcPr>
          <w:p w:rsidR="00C93D7F" w:rsidRPr="00CD3A14" w:rsidRDefault="00C93D7F" w:rsidP="00B756BE">
            <w:pPr>
              <w:pStyle w:val="AGRTableText"/>
            </w:pPr>
            <w:r w:rsidRPr="00CD3A14">
              <w:t>TJS One Stop Shop</w:t>
            </w:r>
          </w:p>
        </w:tc>
        <w:tc>
          <w:tcPr>
            <w:tcW w:w="1418" w:type="dxa"/>
          </w:tcPr>
          <w:p w:rsidR="00C93D7F" w:rsidRPr="00CD3A14" w:rsidRDefault="00C93D7F" w:rsidP="00B756BE">
            <w:pPr>
              <w:pStyle w:val="AGRTableText"/>
            </w:pPr>
            <w:r w:rsidRPr="00CD3A14">
              <w:t>1,501 km</w:t>
            </w:r>
          </w:p>
        </w:tc>
        <w:tc>
          <w:tcPr>
            <w:tcW w:w="1559" w:type="dxa"/>
          </w:tcPr>
          <w:p w:rsidR="00C93D7F" w:rsidRPr="00CD3A14" w:rsidRDefault="00C93D7F" w:rsidP="00B756BE">
            <w:pPr>
              <w:pStyle w:val="AGRTableText"/>
            </w:pPr>
            <w:r w:rsidRPr="00CD3A14">
              <w:t>80.02 litres</w:t>
            </w:r>
          </w:p>
        </w:tc>
      </w:tr>
      <w:tr w:rsidR="00C93D7F" w:rsidRPr="00CD3A14" w:rsidTr="00C93D7F">
        <w:tc>
          <w:tcPr>
            <w:tcW w:w="2016" w:type="dxa"/>
          </w:tcPr>
          <w:p w:rsidR="00C93D7F" w:rsidRPr="00CD3A14" w:rsidRDefault="00C93D7F" w:rsidP="00B756BE">
            <w:pPr>
              <w:pStyle w:val="AGRTableText"/>
            </w:pPr>
            <w:r w:rsidRPr="00CD3A14">
              <w:t xml:space="preserve">27 November 2014 </w:t>
            </w:r>
          </w:p>
        </w:tc>
        <w:tc>
          <w:tcPr>
            <w:tcW w:w="3260" w:type="dxa"/>
          </w:tcPr>
          <w:p w:rsidR="00C93D7F" w:rsidRPr="00CD3A14" w:rsidRDefault="00C93D7F" w:rsidP="00B756BE">
            <w:pPr>
              <w:pStyle w:val="AGRTableText"/>
            </w:pPr>
            <w:r w:rsidRPr="00CD3A14">
              <w:t>Boab Caravan Park</w:t>
            </w:r>
          </w:p>
        </w:tc>
        <w:tc>
          <w:tcPr>
            <w:tcW w:w="1418" w:type="dxa"/>
          </w:tcPr>
          <w:p w:rsidR="00C93D7F" w:rsidRPr="00CD3A14" w:rsidRDefault="00C93D7F" w:rsidP="00B756BE">
            <w:pPr>
              <w:pStyle w:val="AGRTableText"/>
            </w:pPr>
            <w:r w:rsidRPr="00CD3A14">
              <w:t>2,174 km</w:t>
            </w:r>
          </w:p>
        </w:tc>
        <w:tc>
          <w:tcPr>
            <w:tcW w:w="1559" w:type="dxa"/>
          </w:tcPr>
          <w:p w:rsidR="00C93D7F" w:rsidRPr="00CD3A14" w:rsidRDefault="00C93D7F" w:rsidP="00B756BE">
            <w:pPr>
              <w:pStyle w:val="AGRTableText"/>
            </w:pPr>
            <w:r w:rsidRPr="00CD3A14">
              <w:t>94.00 litres</w:t>
            </w:r>
          </w:p>
        </w:tc>
      </w:tr>
      <w:tr w:rsidR="00C93D7F" w:rsidRPr="00CD3A14" w:rsidTr="00C93D7F">
        <w:tc>
          <w:tcPr>
            <w:tcW w:w="2016" w:type="dxa"/>
          </w:tcPr>
          <w:p w:rsidR="00C93D7F" w:rsidRPr="00CD3A14" w:rsidRDefault="00C93D7F" w:rsidP="00B756BE">
            <w:pPr>
              <w:pStyle w:val="AGRTableText"/>
            </w:pPr>
            <w:r w:rsidRPr="00CD3A14">
              <w:t xml:space="preserve">28 November 2014 </w:t>
            </w:r>
          </w:p>
        </w:tc>
        <w:tc>
          <w:tcPr>
            <w:tcW w:w="3260" w:type="dxa"/>
          </w:tcPr>
          <w:p w:rsidR="00C93D7F" w:rsidRPr="00CD3A14" w:rsidRDefault="00C93D7F" w:rsidP="00B756BE">
            <w:pPr>
              <w:pStyle w:val="AGRTableText"/>
            </w:pPr>
            <w:r w:rsidRPr="00CD3A14">
              <w:t>Hi-Way Inn Daly Waters</w:t>
            </w:r>
          </w:p>
        </w:tc>
        <w:tc>
          <w:tcPr>
            <w:tcW w:w="1418" w:type="dxa"/>
          </w:tcPr>
          <w:p w:rsidR="00C93D7F" w:rsidRPr="00CD3A14" w:rsidRDefault="00C93D7F" w:rsidP="00B756BE">
            <w:pPr>
              <w:pStyle w:val="AGRTableText"/>
            </w:pPr>
            <w:r w:rsidRPr="00CD3A14">
              <w:t>2,461 km</w:t>
            </w:r>
          </w:p>
        </w:tc>
        <w:tc>
          <w:tcPr>
            <w:tcW w:w="1559" w:type="dxa"/>
          </w:tcPr>
          <w:p w:rsidR="00C93D7F" w:rsidRPr="00CD3A14" w:rsidRDefault="00C93D7F" w:rsidP="00B756BE">
            <w:pPr>
              <w:pStyle w:val="AGRTableText"/>
            </w:pPr>
            <w:r w:rsidRPr="00CD3A14">
              <w:t>44.55 litres</w:t>
            </w:r>
          </w:p>
        </w:tc>
      </w:tr>
      <w:tr w:rsidR="00C93D7F" w:rsidRPr="00CD3A14" w:rsidTr="00C93D7F">
        <w:tc>
          <w:tcPr>
            <w:tcW w:w="2016" w:type="dxa"/>
          </w:tcPr>
          <w:p w:rsidR="00C93D7F" w:rsidRPr="00CD3A14" w:rsidRDefault="00C93D7F" w:rsidP="00B756BE">
            <w:pPr>
              <w:pStyle w:val="AGRTableText"/>
            </w:pPr>
            <w:r w:rsidRPr="00CD3A14">
              <w:t xml:space="preserve">29 November 2014 </w:t>
            </w:r>
          </w:p>
        </w:tc>
        <w:tc>
          <w:tcPr>
            <w:tcW w:w="3260" w:type="dxa"/>
          </w:tcPr>
          <w:p w:rsidR="00C93D7F" w:rsidRPr="00CD3A14" w:rsidRDefault="00C93D7F" w:rsidP="00B756BE">
            <w:pPr>
              <w:pStyle w:val="AGRTableText"/>
            </w:pPr>
            <w:r w:rsidRPr="00CD3A14">
              <w:t>TJS One Stop Shop</w:t>
            </w:r>
          </w:p>
        </w:tc>
        <w:tc>
          <w:tcPr>
            <w:tcW w:w="1418" w:type="dxa"/>
          </w:tcPr>
          <w:p w:rsidR="00C93D7F" w:rsidRPr="00CD3A14" w:rsidRDefault="00C93D7F" w:rsidP="00B756BE">
            <w:pPr>
              <w:pStyle w:val="AGRTableText"/>
            </w:pPr>
            <w:r w:rsidRPr="00CD3A14">
              <w:t>2,550 km</w:t>
            </w:r>
          </w:p>
        </w:tc>
        <w:tc>
          <w:tcPr>
            <w:tcW w:w="1559" w:type="dxa"/>
          </w:tcPr>
          <w:p w:rsidR="00C93D7F" w:rsidRPr="00CD3A14" w:rsidRDefault="00C93D7F" w:rsidP="00B756BE">
            <w:pPr>
              <w:pStyle w:val="AGRTableText"/>
            </w:pPr>
            <w:r w:rsidRPr="00CD3A14">
              <w:t>58.62 litres</w:t>
            </w:r>
          </w:p>
        </w:tc>
      </w:tr>
      <w:tr w:rsidR="00C93D7F" w:rsidRPr="00CD3A14" w:rsidTr="00C93D7F">
        <w:tc>
          <w:tcPr>
            <w:tcW w:w="2016" w:type="dxa"/>
          </w:tcPr>
          <w:p w:rsidR="00C93D7F" w:rsidRPr="00CD3A14" w:rsidRDefault="00C93D7F" w:rsidP="00B756BE">
            <w:pPr>
              <w:pStyle w:val="AGRTableText"/>
            </w:pPr>
            <w:r w:rsidRPr="00CD3A14">
              <w:t xml:space="preserve">5 December 2014 </w:t>
            </w:r>
          </w:p>
        </w:tc>
        <w:tc>
          <w:tcPr>
            <w:tcW w:w="3260" w:type="dxa"/>
          </w:tcPr>
          <w:p w:rsidR="00C93D7F" w:rsidRPr="00CD3A14" w:rsidRDefault="00C93D7F" w:rsidP="00B756BE">
            <w:pPr>
              <w:pStyle w:val="AGRTableText"/>
            </w:pPr>
            <w:r w:rsidRPr="00CD3A14">
              <w:t>Gulf Mini Mart</w:t>
            </w:r>
          </w:p>
        </w:tc>
        <w:tc>
          <w:tcPr>
            <w:tcW w:w="1418" w:type="dxa"/>
          </w:tcPr>
          <w:p w:rsidR="00C93D7F" w:rsidRPr="00CD3A14" w:rsidRDefault="00C93D7F" w:rsidP="00B756BE">
            <w:pPr>
              <w:pStyle w:val="AGRTableText"/>
            </w:pPr>
            <w:r w:rsidRPr="00CD3A14">
              <w:t>41,179 km</w:t>
            </w:r>
          </w:p>
        </w:tc>
        <w:tc>
          <w:tcPr>
            <w:tcW w:w="1559" w:type="dxa"/>
          </w:tcPr>
          <w:p w:rsidR="00C93D7F" w:rsidRPr="00CD3A14" w:rsidRDefault="00C93D7F" w:rsidP="00B756BE">
            <w:pPr>
              <w:pStyle w:val="AGRTableText"/>
            </w:pPr>
            <w:r w:rsidRPr="00CD3A14">
              <w:t>70.48 litres</w:t>
            </w:r>
          </w:p>
        </w:tc>
      </w:tr>
    </w:tbl>
    <w:p w:rsidR="00D21256" w:rsidRPr="00CD3A14" w:rsidRDefault="00D21256" w:rsidP="00BE0AA1">
      <w:pPr>
        <w:pStyle w:val="AGRBulletText"/>
        <w:numPr>
          <w:ilvl w:val="0"/>
          <w:numId w:val="0"/>
        </w:numPr>
        <w:ind w:left="1211"/>
        <w:rPr>
          <w:noProof w:val="0"/>
          <w:lang w:val="en-AU"/>
        </w:rPr>
      </w:pPr>
    </w:p>
    <w:p w:rsidR="00C93D7F" w:rsidRPr="00CD3A14" w:rsidRDefault="009066EB" w:rsidP="0013400B">
      <w:pPr>
        <w:pStyle w:val="AGRBulletText"/>
        <w:rPr>
          <w:noProof w:val="0"/>
          <w:lang w:val="en-AU"/>
        </w:rPr>
      </w:pPr>
      <w:r w:rsidRPr="00CD3A14">
        <w:rPr>
          <w:noProof w:val="0"/>
          <w:lang w:val="en-AU"/>
        </w:rPr>
        <w:t>Education Car 315</w:t>
      </w:r>
      <w:r w:rsidR="00685E14" w:rsidRPr="00CD3A14">
        <w:rPr>
          <w:noProof w:val="0"/>
          <w:lang w:val="en-AU"/>
        </w:rPr>
        <w:t xml:space="preserve"> had</w:t>
      </w:r>
      <w:r w:rsidR="00C93D7F" w:rsidRPr="00CD3A14">
        <w:rPr>
          <w:noProof w:val="0"/>
          <w:lang w:val="en-AU"/>
        </w:rPr>
        <w:t xml:space="preserve"> a shop purchase rather than a fuel purchase recorded.</w:t>
      </w:r>
    </w:p>
    <w:p w:rsidR="00C93D7F" w:rsidRPr="00CD3A14" w:rsidRDefault="009066EB" w:rsidP="0013400B">
      <w:pPr>
        <w:pStyle w:val="AGRBulletText"/>
        <w:rPr>
          <w:noProof w:val="0"/>
          <w:lang w:val="en-AU"/>
        </w:rPr>
      </w:pPr>
      <w:r w:rsidRPr="00CD3A14">
        <w:rPr>
          <w:noProof w:val="0"/>
          <w:lang w:val="en-AU"/>
        </w:rPr>
        <w:t>Education Car 352</w:t>
      </w:r>
      <w:r w:rsidR="00685E14" w:rsidRPr="00CD3A14">
        <w:rPr>
          <w:noProof w:val="0"/>
          <w:lang w:val="en-AU"/>
        </w:rPr>
        <w:t xml:space="preserve"> had</w:t>
      </w:r>
      <w:r w:rsidR="00C93D7F" w:rsidRPr="00CD3A14">
        <w:rPr>
          <w:noProof w:val="0"/>
          <w:lang w:val="en-AU"/>
        </w:rPr>
        <w:t xml:space="preserve"> a shop purchase recorded and also has two fuel purchases occurring within 15 minutes of each other.</w:t>
      </w:r>
    </w:p>
    <w:p w:rsidR="00C93D7F" w:rsidRPr="00CD3A14" w:rsidRDefault="009066EB" w:rsidP="0013400B">
      <w:pPr>
        <w:pStyle w:val="AGRBulletText"/>
        <w:rPr>
          <w:noProof w:val="0"/>
          <w:lang w:val="en-AU"/>
        </w:rPr>
      </w:pPr>
      <w:r w:rsidRPr="00CD3A14">
        <w:rPr>
          <w:noProof w:val="0"/>
          <w:lang w:val="en-AU"/>
        </w:rPr>
        <w:t>Education Car 368</w:t>
      </w:r>
      <w:r w:rsidR="00685E14" w:rsidRPr="00CD3A14">
        <w:rPr>
          <w:noProof w:val="0"/>
          <w:lang w:val="en-AU"/>
        </w:rPr>
        <w:t xml:space="preserve"> had</w:t>
      </w:r>
      <w:r w:rsidR="00C93D7F" w:rsidRPr="00CD3A14">
        <w:rPr>
          <w:noProof w:val="0"/>
          <w:lang w:val="en-AU"/>
        </w:rPr>
        <w:t xml:space="preserve"> two fuel purchases recorded within three minutes.  It is noted that the odometer readings are missing for these refills whereas they were provided for all other purchases.</w:t>
      </w:r>
    </w:p>
    <w:p w:rsidR="00C93D7F" w:rsidRPr="00CD3A14" w:rsidRDefault="009066EB" w:rsidP="0013400B">
      <w:pPr>
        <w:pStyle w:val="AGRBulletText"/>
        <w:rPr>
          <w:noProof w:val="0"/>
          <w:lang w:val="en-AU"/>
        </w:rPr>
      </w:pPr>
      <w:r w:rsidRPr="00CD3A14">
        <w:rPr>
          <w:noProof w:val="0"/>
          <w:lang w:val="en-AU"/>
        </w:rPr>
        <w:t>Education Car 378</w:t>
      </w:r>
      <w:r w:rsidR="00C93D7F" w:rsidRPr="00CD3A14">
        <w:rPr>
          <w:noProof w:val="0"/>
          <w:lang w:val="en-AU"/>
        </w:rPr>
        <w:t xml:space="preserve"> had two fuel purchases in rapid succession.</w:t>
      </w:r>
    </w:p>
    <w:p w:rsidR="00C93D7F" w:rsidRPr="00CD3A14" w:rsidRDefault="009066EB" w:rsidP="0013400B">
      <w:pPr>
        <w:pStyle w:val="AGRBulletText"/>
        <w:rPr>
          <w:noProof w:val="0"/>
          <w:lang w:val="en-AU"/>
        </w:rPr>
      </w:pPr>
      <w:r w:rsidRPr="00CD3A14">
        <w:rPr>
          <w:noProof w:val="0"/>
          <w:lang w:val="en-AU"/>
        </w:rPr>
        <w:t>Education Car 380</w:t>
      </w:r>
      <w:r w:rsidR="00C93D7F" w:rsidRPr="00CD3A14">
        <w:rPr>
          <w:noProof w:val="0"/>
          <w:lang w:val="en-AU"/>
        </w:rPr>
        <w:t xml:space="preserve"> had two refuels in rapid succession with the second refuel being recorded with an odometer reading 1,717 kilometres lower than the first refuel.</w:t>
      </w:r>
    </w:p>
    <w:p w:rsidR="00F34CBF" w:rsidRPr="00CD3A14" w:rsidRDefault="00F34CBF" w:rsidP="00F34CBF">
      <w:pPr>
        <w:pStyle w:val="AGRHeading1"/>
      </w:pPr>
      <w:r w:rsidRPr="00CD3A14">
        <w:t xml:space="preserve">Selected Agencies </w:t>
      </w:r>
      <w:proofErr w:type="spellStart"/>
      <w:r w:rsidRPr="00CD3A14">
        <w:t>cont</w:t>
      </w:r>
      <w:proofErr w:type="spellEnd"/>
      <w:r w:rsidRPr="00CD3A14">
        <w:t>…</w:t>
      </w:r>
    </w:p>
    <w:p w:rsidR="00C93D7F" w:rsidRPr="00CD3A14" w:rsidRDefault="009066EB" w:rsidP="0013400B">
      <w:pPr>
        <w:pStyle w:val="AGRBulletText"/>
        <w:rPr>
          <w:noProof w:val="0"/>
          <w:lang w:val="en-AU"/>
        </w:rPr>
      </w:pPr>
      <w:r w:rsidRPr="00CD3A14">
        <w:rPr>
          <w:noProof w:val="0"/>
          <w:lang w:val="en-AU"/>
        </w:rPr>
        <w:t>Education Car 397</w:t>
      </w:r>
      <w:r w:rsidR="00C93D7F" w:rsidRPr="00CD3A14">
        <w:rPr>
          <w:noProof w:val="0"/>
          <w:lang w:val="en-AU"/>
        </w:rPr>
        <w:t xml:space="preserve"> recorded instances on two dates where there were two fuel purchases in rapid succession with the same odometer reading.</w:t>
      </w:r>
    </w:p>
    <w:p w:rsidR="00C93D7F" w:rsidRPr="00CD3A14" w:rsidRDefault="009066EB" w:rsidP="0013400B">
      <w:pPr>
        <w:pStyle w:val="AGRBulletText"/>
        <w:rPr>
          <w:noProof w:val="0"/>
          <w:lang w:val="en-AU"/>
        </w:rPr>
      </w:pPr>
      <w:r w:rsidRPr="00CD3A14">
        <w:rPr>
          <w:noProof w:val="0"/>
          <w:lang w:val="en-AU"/>
        </w:rPr>
        <w:t>Education Car 384</w:t>
      </w:r>
      <w:r w:rsidR="00C93D7F" w:rsidRPr="00CD3A14">
        <w:rPr>
          <w:noProof w:val="0"/>
          <w:lang w:val="en-AU"/>
        </w:rPr>
        <w:t xml:space="preserve"> had two refuels within 44 minutes on one day and had an instance where two transactions were recorded for the same quantity of fuel on the same day without a reversing entry.</w:t>
      </w:r>
    </w:p>
    <w:p w:rsidR="00C93D7F" w:rsidRPr="00CD3A14" w:rsidRDefault="009066EB" w:rsidP="0013400B">
      <w:pPr>
        <w:pStyle w:val="AGRBulletText"/>
        <w:rPr>
          <w:noProof w:val="0"/>
          <w:lang w:val="en-AU"/>
        </w:rPr>
      </w:pPr>
      <w:r w:rsidRPr="00CD3A14">
        <w:rPr>
          <w:noProof w:val="0"/>
          <w:lang w:val="en-AU"/>
        </w:rPr>
        <w:t>Education Car 393</w:t>
      </w:r>
      <w:r w:rsidR="00C93D7F" w:rsidRPr="00CD3A14">
        <w:rPr>
          <w:noProof w:val="0"/>
          <w:lang w:val="en-AU"/>
        </w:rPr>
        <w:t xml:space="preserve"> had two refuels within 9 kilometres of travel.</w:t>
      </w:r>
    </w:p>
    <w:p w:rsidR="00C93D7F" w:rsidRPr="00CD3A14" w:rsidRDefault="009066EB" w:rsidP="0013400B">
      <w:pPr>
        <w:pStyle w:val="AGRBulletText"/>
        <w:rPr>
          <w:noProof w:val="0"/>
          <w:lang w:val="en-AU"/>
        </w:rPr>
      </w:pPr>
      <w:r w:rsidRPr="00CD3A14">
        <w:rPr>
          <w:noProof w:val="0"/>
          <w:lang w:val="en-AU"/>
        </w:rPr>
        <w:t>Education Car 402</w:t>
      </w:r>
      <w:r w:rsidR="00C93D7F" w:rsidRPr="00CD3A14">
        <w:rPr>
          <w:noProof w:val="0"/>
          <w:lang w:val="en-AU"/>
        </w:rPr>
        <w:t xml:space="preserve"> recorded a purchase of premium fuel.</w:t>
      </w:r>
    </w:p>
    <w:p w:rsidR="00C93D7F" w:rsidRPr="00CD3A14" w:rsidRDefault="009066EB" w:rsidP="0013400B">
      <w:pPr>
        <w:pStyle w:val="AGRBulletText"/>
        <w:rPr>
          <w:noProof w:val="0"/>
          <w:lang w:val="en-AU"/>
        </w:rPr>
      </w:pPr>
      <w:r w:rsidRPr="00CD3A14">
        <w:rPr>
          <w:noProof w:val="0"/>
          <w:lang w:val="en-AU"/>
        </w:rPr>
        <w:t>Education Car 440</w:t>
      </w:r>
      <w:r w:rsidR="00C93D7F" w:rsidRPr="00CD3A14">
        <w:rPr>
          <w:noProof w:val="0"/>
          <w:lang w:val="en-AU"/>
        </w:rPr>
        <w:t xml:space="preserve"> had a purchase on 2 November 2014 which, based upon the odometer reading, appears not to be for this vehicle.</w:t>
      </w:r>
    </w:p>
    <w:p w:rsidR="00C93D7F" w:rsidRPr="00CD3A14" w:rsidRDefault="009066EB" w:rsidP="0013400B">
      <w:pPr>
        <w:pStyle w:val="AGRBulletText"/>
        <w:rPr>
          <w:noProof w:val="0"/>
          <w:lang w:val="en-AU"/>
        </w:rPr>
      </w:pPr>
      <w:r w:rsidRPr="00CD3A14">
        <w:rPr>
          <w:noProof w:val="0"/>
          <w:lang w:val="en-AU"/>
        </w:rPr>
        <w:t>Education Car 404</w:t>
      </w:r>
      <w:r w:rsidR="00C93D7F" w:rsidRPr="00CD3A14">
        <w:rPr>
          <w:noProof w:val="0"/>
          <w:lang w:val="en-AU"/>
        </w:rPr>
        <w:t xml:space="preserve"> recorded unusual odometer sequencing over a 15 day period.</w:t>
      </w:r>
    </w:p>
    <w:p w:rsidR="00C93D7F" w:rsidRPr="00CD3A14" w:rsidRDefault="009066EB" w:rsidP="0013400B">
      <w:pPr>
        <w:pStyle w:val="AGRBulletText"/>
        <w:rPr>
          <w:noProof w:val="0"/>
          <w:lang w:val="en-AU"/>
        </w:rPr>
      </w:pPr>
      <w:r w:rsidRPr="00CD3A14">
        <w:rPr>
          <w:noProof w:val="0"/>
          <w:lang w:val="en-AU"/>
        </w:rPr>
        <w:t>Education Car 406</w:t>
      </w:r>
      <w:r w:rsidR="00C93D7F" w:rsidRPr="00CD3A14">
        <w:rPr>
          <w:noProof w:val="0"/>
          <w:lang w:val="en-AU"/>
        </w:rPr>
        <w:t xml:space="preserve"> recorded unusual odometer sequencing that suggests two different vehicles have been using the same fuel card.</w:t>
      </w:r>
    </w:p>
    <w:p w:rsidR="00C93D7F" w:rsidRPr="00CD3A14" w:rsidRDefault="009066EB" w:rsidP="0013400B">
      <w:pPr>
        <w:pStyle w:val="AGRBulletText"/>
        <w:rPr>
          <w:noProof w:val="0"/>
          <w:lang w:val="en-AU"/>
        </w:rPr>
      </w:pPr>
      <w:r w:rsidRPr="00CD3A14">
        <w:rPr>
          <w:noProof w:val="0"/>
          <w:lang w:val="en-AU"/>
        </w:rPr>
        <w:t xml:space="preserve">Education Car 460 </w:t>
      </w:r>
      <w:r w:rsidR="00C93D7F" w:rsidRPr="00CD3A14">
        <w:rPr>
          <w:noProof w:val="0"/>
          <w:lang w:val="en-AU"/>
        </w:rPr>
        <w:t>has odometer readings recorded that indicate the fuel card may have been used to refuel a different vehicle between 6 Dec</w:t>
      </w:r>
      <w:r w:rsidR="00FA6789">
        <w:rPr>
          <w:noProof w:val="0"/>
          <w:lang w:val="en-AU"/>
        </w:rPr>
        <w:t>ember 2014 and 3 </w:t>
      </w:r>
      <w:r w:rsidR="00C93D7F" w:rsidRPr="00CD3A14">
        <w:rPr>
          <w:noProof w:val="0"/>
          <w:lang w:val="en-AU"/>
        </w:rPr>
        <w:t>January 2015.</w:t>
      </w:r>
    </w:p>
    <w:p w:rsidR="00C93D7F" w:rsidRPr="00CD3A14" w:rsidRDefault="009066EB" w:rsidP="0013400B">
      <w:pPr>
        <w:pStyle w:val="AGRBulletText"/>
        <w:rPr>
          <w:noProof w:val="0"/>
          <w:lang w:val="en-AU"/>
        </w:rPr>
      </w:pPr>
      <w:r w:rsidRPr="00CD3A14">
        <w:rPr>
          <w:noProof w:val="0"/>
          <w:lang w:val="en-AU"/>
        </w:rPr>
        <w:t>Education Car 464</w:t>
      </w:r>
      <w:r w:rsidR="00C93D7F" w:rsidRPr="00CD3A14">
        <w:rPr>
          <w:noProof w:val="0"/>
          <w:lang w:val="en-AU"/>
        </w:rPr>
        <w:t xml:space="preserve"> had 16 purchases recorded as “shop”. This appears to be predominantly a merchant issue.</w:t>
      </w:r>
    </w:p>
    <w:p w:rsidR="00C93D7F" w:rsidRPr="00CD3A14" w:rsidRDefault="009066EB" w:rsidP="0013400B">
      <w:pPr>
        <w:pStyle w:val="AGRBulletText"/>
        <w:rPr>
          <w:noProof w:val="0"/>
          <w:lang w:val="en-AU"/>
        </w:rPr>
      </w:pPr>
      <w:r w:rsidRPr="00CD3A14">
        <w:rPr>
          <w:noProof w:val="0"/>
          <w:lang w:val="en-AU"/>
        </w:rPr>
        <w:t>Education Car 486</w:t>
      </w:r>
      <w:r w:rsidR="00C93D7F" w:rsidRPr="00CD3A14">
        <w:rPr>
          <w:noProof w:val="0"/>
          <w:lang w:val="en-AU"/>
        </w:rPr>
        <w:t xml:space="preserve"> recorded two purchases of less than seven litres.  One of the purchases had the same odometer reading and date as a purchase of 43.22 litres.</w:t>
      </w:r>
    </w:p>
    <w:p w:rsidR="00F34CBF" w:rsidRPr="00CD3A14" w:rsidRDefault="00F34CBF" w:rsidP="0013400B">
      <w:pPr>
        <w:pStyle w:val="AGRBulletText"/>
        <w:rPr>
          <w:noProof w:val="0"/>
          <w:lang w:val="en-AU"/>
        </w:rPr>
      </w:pPr>
      <w:r w:rsidRPr="00CD3A14">
        <w:rPr>
          <w:noProof w:val="0"/>
          <w:lang w:val="en-AU"/>
        </w:rPr>
        <w:t>Four vehicles recorded fuel purchases that appear to be significantly higher than the reported fuel capacity of the vehicle.</w:t>
      </w:r>
    </w:p>
    <w:p w:rsidR="00F34CBF" w:rsidRPr="00CD3A14" w:rsidRDefault="00F34CBF" w:rsidP="00F34CBF">
      <w:pPr>
        <w:pStyle w:val="AGRHeading1"/>
      </w:pPr>
      <w:r w:rsidRPr="00CD3A14">
        <w:t xml:space="preserve">Selected Agencies </w:t>
      </w:r>
      <w:proofErr w:type="spellStart"/>
      <w:r w:rsidRPr="00CD3A14">
        <w:t>cont</w:t>
      </w:r>
      <w:proofErr w:type="spellEnd"/>
      <w:r w:rsidRPr="00CD3A14">
        <w:t>…</w:t>
      </w:r>
    </w:p>
    <w:p w:rsidR="00931145" w:rsidRPr="00CD3A14" w:rsidRDefault="00931145" w:rsidP="00931145">
      <w:pPr>
        <w:pStyle w:val="AGRHeading4"/>
      </w:pPr>
      <w:r w:rsidRPr="00CD3A14">
        <w:t>Department of Health</w:t>
      </w:r>
    </w:p>
    <w:p w:rsidR="00DC48AC" w:rsidRPr="00CD3A14" w:rsidRDefault="00DC48AC" w:rsidP="0013400B">
      <w:pPr>
        <w:pStyle w:val="AGRBodyText"/>
        <w:rPr>
          <w:noProof w:val="0"/>
          <w:lang w:val="en-AU"/>
        </w:rPr>
      </w:pPr>
      <w:r w:rsidRPr="00CD3A14">
        <w:rPr>
          <w:noProof w:val="0"/>
          <w:lang w:val="en-AU"/>
        </w:rPr>
        <w:t>In relation to the 2,922 individual transactions recorded against the fuel cards:</w:t>
      </w:r>
    </w:p>
    <w:p w:rsidR="008B77CF" w:rsidRPr="00CD3A14" w:rsidRDefault="00DC48AC" w:rsidP="0013400B">
      <w:pPr>
        <w:pStyle w:val="AGRBulletText"/>
        <w:rPr>
          <w:noProof w:val="0"/>
          <w:lang w:val="en-AU"/>
        </w:rPr>
      </w:pPr>
      <w:r w:rsidRPr="00CD3A14">
        <w:rPr>
          <w:noProof w:val="0"/>
          <w:lang w:val="en-AU"/>
        </w:rPr>
        <w:t>There were 18 instances where it appeared that incorrect fuel was purchased.</w:t>
      </w:r>
    </w:p>
    <w:p w:rsidR="008B77CF" w:rsidRPr="00CD3A14" w:rsidRDefault="008B77CF" w:rsidP="0013400B">
      <w:pPr>
        <w:pStyle w:val="AGRBulletText"/>
        <w:rPr>
          <w:noProof w:val="0"/>
          <w:lang w:val="en-AU"/>
        </w:rPr>
      </w:pPr>
      <w:r w:rsidRPr="00CD3A14">
        <w:rPr>
          <w:noProof w:val="0"/>
          <w:lang w:val="en-AU"/>
        </w:rPr>
        <w:t>There were at least 63 instances where less than 15 litres of fuel were recorded as having being purchased (excluding items identified as ‘surcharge’ and ‘shop’).  Purchases of this size appear unusual in the context of motor vehicle usage.</w:t>
      </w:r>
    </w:p>
    <w:p w:rsidR="00F34CBF" w:rsidRPr="00CD3A14" w:rsidRDefault="009F54D8" w:rsidP="0013400B">
      <w:pPr>
        <w:pStyle w:val="AGRBulletText"/>
        <w:rPr>
          <w:noProof w:val="0"/>
          <w:lang w:val="en-AU"/>
        </w:rPr>
      </w:pPr>
      <w:r w:rsidRPr="00CD3A14">
        <w:rPr>
          <w:noProof w:val="0"/>
          <w:lang w:val="en-AU"/>
        </w:rPr>
        <w:t>Health Car 316</w:t>
      </w:r>
      <w:r w:rsidR="00F34CBF" w:rsidRPr="00CD3A14">
        <w:rPr>
          <w:noProof w:val="0"/>
          <w:lang w:val="en-AU"/>
        </w:rPr>
        <w:t xml:space="preserve"> had many instances where two or more purchases occurred in rapid succession.  There were also 24 recorded ‘shop’ transactions with many of the ‘shop’ transactions occurring immediately before, or after, purchases of Diesel.  All purchases were at the same location.  Departmental staff indicated that this matter has been referred to the Northern Territory Police for investigation.</w:t>
      </w:r>
    </w:p>
    <w:p w:rsidR="00F34CBF" w:rsidRPr="00CD3A14" w:rsidRDefault="00A240FC" w:rsidP="0013400B">
      <w:pPr>
        <w:pStyle w:val="AGRBulletText"/>
        <w:rPr>
          <w:noProof w:val="0"/>
          <w:lang w:val="en-AU"/>
        </w:rPr>
      </w:pPr>
      <w:r w:rsidRPr="00CD3A14">
        <w:rPr>
          <w:noProof w:val="0"/>
          <w:lang w:val="en-AU"/>
        </w:rPr>
        <w:t>Health Car 397</w:t>
      </w:r>
      <w:r w:rsidR="00F34CBF" w:rsidRPr="00CD3A14">
        <w:rPr>
          <w:noProof w:val="0"/>
          <w:lang w:val="en-AU"/>
        </w:rPr>
        <w:t xml:space="preserve"> had multiple purchases in rapid succession on many occasions.  Odometer readings were not provided for any purchase.  Despite this vehicle being identified as requiring “Diesel” by NT Fleet there were regular purchases of unleaded petrol.  Five purchases were also in excess of the vehicle’s rated capacity of 180 litres. Departmental staff indicated that the matter was </w:t>
      </w:r>
      <w:r w:rsidRPr="00CD3A14">
        <w:rPr>
          <w:noProof w:val="0"/>
          <w:lang w:val="en-AU"/>
        </w:rPr>
        <w:t xml:space="preserve">also </w:t>
      </w:r>
      <w:r w:rsidR="00F34CBF" w:rsidRPr="00CD3A14">
        <w:rPr>
          <w:noProof w:val="0"/>
          <w:lang w:val="en-AU"/>
        </w:rPr>
        <w:t>referred to the Northern Territory Police for investigation.</w:t>
      </w:r>
    </w:p>
    <w:p w:rsidR="008B77CF" w:rsidRPr="00CD3A14" w:rsidRDefault="00A240FC" w:rsidP="0013400B">
      <w:pPr>
        <w:pStyle w:val="AGRBulletText"/>
        <w:rPr>
          <w:noProof w:val="0"/>
          <w:lang w:val="en-AU"/>
        </w:rPr>
      </w:pPr>
      <w:r w:rsidRPr="00CD3A14">
        <w:rPr>
          <w:noProof w:val="0"/>
          <w:lang w:val="en-AU"/>
        </w:rPr>
        <w:t>Health Car 159</w:t>
      </w:r>
      <w:r w:rsidR="008B77CF" w:rsidRPr="00CD3A14">
        <w:rPr>
          <w:noProof w:val="0"/>
          <w:lang w:val="en-AU"/>
        </w:rPr>
        <w:t xml:space="preserve"> had an unusual series of transactions in that on 15 September 2014 66.91 litres of fuel was purchased at 9:45am, 81 minutes later the vehicle was refuelled with 110.71 litres, then a third purchase of a f</w:t>
      </w:r>
      <w:r w:rsidR="00ED0F27" w:rsidRPr="00CD3A14">
        <w:rPr>
          <w:noProof w:val="0"/>
          <w:lang w:val="en-AU"/>
        </w:rPr>
        <w:t>urther 22.36 litres occurred 44 </w:t>
      </w:r>
      <w:r w:rsidR="008B77CF" w:rsidRPr="00CD3A14">
        <w:rPr>
          <w:noProof w:val="0"/>
          <w:lang w:val="en-AU"/>
        </w:rPr>
        <w:t xml:space="preserve">minutes later.  </w:t>
      </w:r>
    </w:p>
    <w:p w:rsidR="008B77CF" w:rsidRPr="00CD3A14" w:rsidRDefault="008B77CF" w:rsidP="0013400B">
      <w:pPr>
        <w:pStyle w:val="AGRBulletText"/>
        <w:rPr>
          <w:noProof w:val="0"/>
          <w:lang w:val="en-AU"/>
        </w:rPr>
      </w:pPr>
      <w:r w:rsidRPr="00CD3A14">
        <w:rPr>
          <w:noProof w:val="0"/>
          <w:lang w:val="en-AU"/>
        </w:rPr>
        <w:t xml:space="preserve">Nine vehicles </w:t>
      </w:r>
      <w:r w:rsidR="00F34CBF" w:rsidRPr="00CD3A14">
        <w:rPr>
          <w:noProof w:val="0"/>
          <w:lang w:val="en-AU"/>
        </w:rPr>
        <w:t xml:space="preserve">regularly </w:t>
      </w:r>
      <w:r w:rsidRPr="00CD3A14">
        <w:rPr>
          <w:noProof w:val="0"/>
          <w:lang w:val="en-AU"/>
        </w:rPr>
        <w:t xml:space="preserve">had inconsistent sequential odometer readings. This may indicate that the one fuel card is being used for multiple vehicles. </w:t>
      </w:r>
      <w:r w:rsidR="00A240FC" w:rsidRPr="00CD3A14">
        <w:rPr>
          <w:noProof w:val="0"/>
          <w:lang w:val="en-AU"/>
        </w:rPr>
        <w:t>An example of this is Health Car 116</w:t>
      </w:r>
      <w:r w:rsidRPr="00CD3A14">
        <w:rPr>
          <w:noProof w:val="0"/>
          <w:lang w:val="en-AU"/>
        </w:rPr>
        <w:t>:</w:t>
      </w:r>
    </w:p>
    <w:tbl>
      <w:tblPr>
        <w:tblStyle w:val="TableGrid"/>
        <w:tblW w:w="8080" w:type="dxa"/>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Health Car 116"/>
        <w:tblDescription w:val="Date Location Odometer Quantity&#10;28 October 2014  BP Service Station Nhulunbuy 6,249 km 27.95 litres&#10;29 October 2014  BP Service Station Nhulunbuy 1,091 km 129.05 litres&#10;31 October 2014  BP Service Station Nhulunbuy 5,020 km 140.17 litres&#10;6 November 2014  BP Service Station Nhulunbuy 1,322 km 32.45 litres&#10;27 November 2014  BP Service Station Nhulunbuy 5,854 km 106.29 litres&#10;28 November 2014  BP Service Station Nhulunbuy 2,272 km 127.48 litres&#10;20 January 2015  BP Service Station Nhulunbuy 6,842 km 134.14 litres&#10;"/>
      </w:tblPr>
      <w:tblGrid>
        <w:gridCol w:w="1985"/>
        <w:gridCol w:w="3145"/>
        <w:gridCol w:w="1409"/>
        <w:gridCol w:w="1541"/>
      </w:tblGrid>
      <w:tr w:rsidR="008B77CF" w:rsidRPr="00CD3A14" w:rsidTr="00492BD8">
        <w:trPr>
          <w:tblHeader/>
        </w:trPr>
        <w:tc>
          <w:tcPr>
            <w:tcW w:w="1985" w:type="dxa"/>
            <w:shd w:val="clear" w:color="auto" w:fill="F2F2F2" w:themeFill="background1" w:themeFillShade="F2"/>
          </w:tcPr>
          <w:p w:rsidR="008B77CF" w:rsidRPr="00CD3A14" w:rsidRDefault="008B77CF" w:rsidP="008B77CF">
            <w:pPr>
              <w:pStyle w:val="AGRTableText"/>
              <w:jc w:val="center"/>
              <w:rPr>
                <w:b/>
              </w:rPr>
            </w:pPr>
            <w:r w:rsidRPr="00CD3A14">
              <w:rPr>
                <w:b/>
              </w:rPr>
              <w:t>Date</w:t>
            </w:r>
          </w:p>
        </w:tc>
        <w:tc>
          <w:tcPr>
            <w:tcW w:w="3145" w:type="dxa"/>
            <w:shd w:val="clear" w:color="auto" w:fill="F2F2F2" w:themeFill="background1" w:themeFillShade="F2"/>
          </w:tcPr>
          <w:p w:rsidR="008B77CF" w:rsidRPr="00CD3A14" w:rsidRDefault="008B77CF" w:rsidP="008B77CF">
            <w:pPr>
              <w:pStyle w:val="AGRTableText"/>
              <w:jc w:val="center"/>
              <w:rPr>
                <w:b/>
              </w:rPr>
            </w:pPr>
            <w:r w:rsidRPr="00CD3A14">
              <w:rPr>
                <w:b/>
              </w:rPr>
              <w:t>Location</w:t>
            </w:r>
          </w:p>
        </w:tc>
        <w:tc>
          <w:tcPr>
            <w:tcW w:w="1409" w:type="dxa"/>
            <w:shd w:val="clear" w:color="auto" w:fill="F2F2F2" w:themeFill="background1" w:themeFillShade="F2"/>
          </w:tcPr>
          <w:p w:rsidR="008B77CF" w:rsidRPr="00CD3A14" w:rsidRDefault="008B77CF" w:rsidP="008B77CF">
            <w:pPr>
              <w:pStyle w:val="AGRTableText"/>
              <w:jc w:val="center"/>
              <w:rPr>
                <w:b/>
              </w:rPr>
            </w:pPr>
            <w:r w:rsidRPr="00CD3A14">
              <w:rPr>
                <w:b/>
              </w:rPr>
              <w:t>Odometer</w:t>
            </w:r>
          </w:p>
        </w:tc>
        <w:tc>
          <w:tcPr>
            <w:tcW w:w="1541" w:type="dxa"/>
            <w:shd w:val="clear" w:color="auto" w:fill="F2F2F2" w:themeFill="background1" w:themeFillShade="F2"/>
          </w:tcPr>
          <w:p w:rsidR="008B77CF" w:rsidRPr="00CD3A14" w:rsidRDefault="008B77CF" w:rsidP="008B77CF">
            <w:pPr>
              <w:pStyle w:val="AGRTableText"/>
              <w:jc w:val="center"/>
              <w:rPr>
                <w:b/>
              </w:rPr>
            </w:pPr>
            <w:r w:rsidRPr="00CD3A14">
              <w:rPr>
                <w:b/>
              </w:rPr>
              <w:t>Quantity</w:t>
            </w:r>
          </w:p>
        </w:tc>
      </w:tr>
      <w:tr w:rsidR="008B77CF" w:rsidRPr="00CD3A14" w:rsidTr="008B77CF">
        <w:tc>
          <w:tcPr>
            <w:tcW w:w="1985" w:type="dxa"/>
          </w:tcPr>
          <w:p w:rsidR="008B77CF" w:rsidRPr="00CD3A14" w:rsidRDefault="008B77CF" w:rsidP="00B756BE">
            <w:pPr>
              <w:pStyle w:val="AGRTableText"/>
            </w:pPr>
            <w:r w:rsidRPr="00CD3A14">
              <w:t xml:space="preserve">28 October 2014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6,249 km</w:t>
            </w:r>
          </w:p>
        </w:tc>
        <w:tc>
          <w:tcPr>
            <w:tcW w:w="1541" w:type="dxa"/>
          </w:tcPr>
          <w:p w:rsidR="008B77CF" w:rsidRPr="00CD3A14" w:rsidRDefault="008B77CF" w:rsidP="00B756BE">
            <w:pPr>
              <w:pStyle w:val="AGRTableText"/>
            </w:pPr>
            <w:r w:rsidRPr="00CD3A14">
              <w:t>27.95 litres</w:t>
            </w:r>
          </w:p>
        </w:tc>
      </w:tr>
      <w:tr w:rsidR="008B77CF" w:rsidRPr="00CD3A14" w:rsidTr="008B77CF">
        <w:tc>
          <w:tcPr>
            <w:tcW w:w="1985" w:type="dxa"/>
          </w:tcPr>
          <w:p w:rsidR="008B77CF" w:rsidRPr="00CD3A14" w:rsidRDefault="008B77CF" w:rsidP="00B756BE">
            <w:pPr>
              <w:pStyle w:val="AGRTableText"/>
            </w:pPr>
            <w:r w:rsidRPr="00CD3A14">
              <w:t xml:space="preserve">29 October 2014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1,091 km</w:t>
            </w:r>
          </w:p>
        </w:tc>
        <w:tc>
          <w:tcPr>
            <w:tcW w:w="1541" w:type="dxa"/>
          </w:tcPr>
          <w:p w:rsidR="008B77CF" w:rsidRPr="00CD3A14" w:rsidRDefault="008B77CF" w:rsidP="00B756BE">
            <w:pPr>
              <w:pStyle w:val="AGRTableText"/>
            </w:pPr>
            <w:r w:rsidRPr="00CD3A14">
              <w:t>129.05 litres</w:t>
            </w:r>
          </w:p>
        </w:tc>
      </w:tr>
      <w:tr w:rsidR="008B77CF" w:rsidRPr="00CD3A14" w:rsidTr="008B77CF">
        <w:tc>
          <w:tcPr>
            <w:tcW w:w="1985" w:type="dxa"/>
          </w:tcPr>
          <w:p w:rsidR="008B77CF" w:rsidRPr="00CD3A14" w:rsidRDefault="008B77CF" w:rsidP="00B756BE">
            <w:pPr>
              <w:pStyle w:val="AGRTableText"/>
            </w:pPr>
            <w:r w:rsidRPr="00CD3A14">
              <w:t xml:space="preserve">31 October 2014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5,020 km</w:t>
            </w:r>
          </w:p>
        </w:tc>
        <w:tc>
          <w:tcPr>
            <w:tcW w:w="1541" w:type="dxa"/>
          </w:tcPr>
          <w:p w:rsidR="008B77CF" w:rsidRPr="00CD3A14" w:rsidRDefault="008B77CF" w:rsidP="00B756BE">
            <w:pPr>
              <w:pStyle w:val="AGRTableText"/>
            </w:pPr>
            <w:r w:rsidRPr="00CD3A14">
              <w:t>140.17 litres</w:t>
            </w:r>
          </w:p>
        </w:tc>
      </w:tr>
      <w:tr w:rsidR="008B77CF" w:rsidRPr="00CD3A14" w:rsidTr="008B77CF">
        <w:tc>
          <w:tcPr>
            <w:tcW w:w="1985" w:type="dxa"/>
          </w:tcPr>
          <w:p w:rsidR="008B77CF" w:rsidRPr="00CD3A14" w:rsidRDefault="008B77CF" w:rsidP="00B756BE">
            <w:pPr>
              <w:pStyle w:val="AGRTableText"/>
            </w:pPr>
            <w:r w:rsidRPr="00CD3A14">
              <w:t xml:space="preserve">6 November 2014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1,322 km</w:t>
            </w:r>
          </w:p>
        </w:tc>
        <w:tc>
          <w:tcPr>
            <w:tcW w:w="1541" w:type="dxa"/>
          </w:tcPr>
          <w:p w:rsidR="008B77CF" w:rsidRPr="00CD3A14" w:rsidRDefault="008B77CF" w:rsidP="00B756BE">
            <w:pPr>
              <w:pStyle w:val="AGRTableText"/>
            </w:pPr>
            <w:r w:rsidRPr="00CD3A14">
              <w:t>32.45 litres</w:t>
            </w:r>
          </w:p>
        </w:tc>
      </w:tr>
      <w:tr w:rsidR="008B77CF" w:rsidRPr="00CD3A14" w:rsidTr="008B77CF">
        <w:tc>
          <w:tcPr>
            <w:tcW w:w="1985" w:type="dxa"/>
          </w:tcPr>
          <w:p w:rsidR="008B77CF" w:rsidRPr="00CD3A14" w:rsidRDefault="008B77CF" w:rsidP="00B756BE">
            <w:pPr>
              <w:pStyle w:val="AGRTableText"/>
            </w:pPr>
            <w:r w:rsidRPr="00CD3A14">
              <w:t xml:space="preserve">27 November 2014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5,854 km</w:t>
            </w:r>
          </w:p>
        </w:tc>
        <w:tc>
          <w:tcPr>
            <w:tcW w:w="1541" w:type="dxa"/>
          </w:tcPr>
          <w:p w:rsidR="008B77CF" w:rsidRPr="00CD3A14" w:rsidRDefault="008B77CF" w:rsidP="00B756BE">
            <w:pPr>
              <w:pStyle w:val="AGRTableText"/>
            </w:pPr>
            <w:r w:rsidRPr="00CD3A14">
              <w:t>106.29 litres</w:t>
            </w:r>
          </w:p>
        </w:tc>
      </w:tr>
      <w:tr w:rsidR="008B77CF" w:rsidRPr="00CD3A14" w:rsidTr="008B77CF">
        <w:tc>
          <w:tcPr>
            <w:tcW w:w="1985" w:type="dxa"/>
          </w:tcPr>
          <w:p w:rsidR="008B77CF" w:rsidRPr="00CD3A14" w:rsidRDefault="008B77CF" w:rsidP="00B756BE">
            <w:pPr>
              <w:pStyle w:val="AGRTableText"/>
            </w:pPr>
            <w:r w:rsidRPr="00CD3A14">
              <w:t xml:space="preserve">28 November 2014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2,272 km</w:t>
            </w:r>
          </w:p>
        </w:tc>
        <w:tc>
          <w:tcPr>
            <w:tcW w:w="1541" w:type="dxa"/>
          </w:tcPr>
          <w:p w:rsidR="008B77CF" w:rsidRPr="00CD3A14" w:rsidRDefault="008B77CF" w:rsidP="00B756BE">
            <w:pPr>
              <w:pStyle w:val="AGRTableText"/>
            </w:pPr>
            <w:r w:rsidRPr="00CD3A14">
              <w:t>127.48 litres</w:t>
            </w:r>
          </w:p>
        </w:tc>
      </w:tr>
      <w:tr w:rsidR="008B77CF" w:rsidRPr="00CD3A14" w:rsidTr="008B77CF">
        <w:tc>
          <w:tcPr>
            <w:tcW w:w="1985" w:type="dxa"/>
          </w:tcPr>
          <w:p w:rsidR="008B77CF" w:rsidRPr="00CD3A14" w:rsidRDefault="008B77CF" w:rsidP="00B756BE">
            <w:pPr>
              <w:pStyle w:val="AGRTableText"/>
            </w:pPr>
            <w:r w:rsidRPr="00CD3A14">
              <w:t xml:space="preserve">20 January 2015 </w:t>
            </w:r>
          </w:p>
        </w:tc>
        <w:tc>
          <w:tcPr>
            <w:tcW w:w="3145" w:type="dxa"/>
          </w:tcPr>
          <w:p w:rsidR="008B77CF" w:rsidRPr="00CD3A14" w:rsidRDefault="008B77CF" w:rsidP="00B756BE">
            <w:pPr>
              <w:pStyle w:val="AGRTableText"/>
            </w:pPr>
            <w:r w:rsidRPr="00CD3A14">
              <w:t>BP Service Station Nhulunbuy</w:t>
            </w:r>
          </w:p>
        </w:tc>
        <w:tc>
          <w:tcPr>
            <w:tcW w:w="1409" w:type="dxa"/>
          </w:tcPr>
          <w:p w:rsidR="008B77CF" w:rsidRPr="00CD3A14" w:rsidRDefault="008B77CF" w:rsidP="00B756BE">
            <w:pPr>
              <w:pStyle w:val="AGRTableText"/>
            </w:pPr>
            <w:r w:rsidRPr="00CD3A14">
              <w:t>6,842 km</w:t>
            </w:r>
          </w:p>
        </w:tc>
        <w:tc>
          <w:tcPr>
            <w:tcW w:w="1541" w:type="dxa"/>
          </w:tcPr>
          <w:p w:rsidR="008B77CF" w:rsidRPr="00CD3A14" w:rsidRDefault="008B77CF" w:rsidP="00B756BE">
            <w:pPr>
              <w:pStyle w:val="AGRTableText"/>
            </w:pPr>
            <w:r w:rsidRPr="00CD3A14">
              <w:t>134.14 litres</w:t>
            </w:r>
          </w:p>
        </w:tc>
      </w:tr>
    </w:tbl>
    <w:p w:rsidR="00F34CBF" w:rsidRPr="00CD3A14" w:rsidRDefault="00F34CBF" w:rsidP="00F34CBF">
      <w:pPr>
        <w:pStyle w:val="AGRHeading1"/>
      </w:pPr>
      <w:r w:rsidRPr="00CD3A14">
        <w:t xml:space="preserve">Selected Agencies </w:t>
      </w:r>
      <w:proofErr w:type="spellStart"/>
      <w:r w:rsidRPr="00CD3A14">
        <w:t>cont</w:t>
      </w:r>
      <w:proofErr w:type="spellEnd"/>
      <w:r w:rsidRPr="00CD3A14">
        <w:t>…</w:t>
      </w:r>
    </w:p>
    <w:p w:rsidR="00ED0F27" w:rsidRPr="00CD3A14" w:rsidRDefault="00A240FC" w:rsidP="0013400B">
      <w:pPr>
        <w:pStyle w:val="AGRBulletText"/>
        <w:rPr>
          <w:i/>
          <w:iCs/>
          <w:noProof w:val="0"/>
          <w:lang w:val="en-AU"/>
        </w:rPr>
      </w:pPr>
      <w:r w:rsidRPr="00CD3A14">
        <w:rPr>
          <w:noProof w:val="0"/>
          <w:lang w:val="en-AU"/>
        </w:rPr>
        <w:t>Health Car</w:t>
      </w:r>
      <w:r w:rsidR="00FB2E52" w:rsidRPr="00CD3A14">
        <w:rPr>
          <w:noProof w:val="0"/>
          <w:lang w:val="en-AU"/>
        </w:rPr>
        <w:t xml:space="preserve"> 2</w:t>
      </w:r>
      <w:r w:rsidRPr="00CD3A14">
        <w:rPr>
          <w:noProof w:val="0"/>
          <w:lang w:val="en-AU"/>
        </w:rPr>
        <w:t>00</w:t>
      </w:r>
      <w:r w:rsidR="00F34CBF" w:rsidRPr="00CD3A14">
        <w:rPr>
          <w:noProof w:val="0"/>
          <w:lang w:val="en-AU"/>
        </w:rPr>
        <w:t xml:space="preserve"> had two purchases recorded within four minutes.</w:t>
      </w:r>
    </w:p>
    <w:p w:rsidR="00F34CBF" w:rsidRPr="00CD3A14" w:rsidRDefault="00FB2E52" w:rsidP="0013400B">
      <w:pPr>
        <w:pStyle w:val="AGRBulletText"/>
        <w:rPr>
          <w:noProof w:val="0"/>
          <w:lang w:val="en-AU"/>
        </w:rPr>
      </w:pPr>
      <w:r w:rsidRPr="00CD3A14">
        <w:rPr>
          <w:noProof w:val="0"/>
          <w:lang w:val="en-AU"/>
        </w:rPr>
        <w:t>Health Car 214</w:t>
      </w:r>
      <w:r w:rsidR="00F34CBF" w:rsidRPr="00CD3A14">
        <w:rPr>
          <w:noProof w:val="0"/>
          <w:lang w:val="en-AU"/>
        </w:rPr>
        <w:t xml:space="preserve"> travelled from Katherine to Borroloola and returned to Katherine.  The odometer readings provided indicate a distance of 478 kilometres from Katherine to Borroloola and 555 kilometres returning to Katherine.  It is approximately 660 kilometres from Borroloola to Katherine.</w:t>
      </w:r>
    </w:p>
    <w:p w:rsidR="00F34CBF" w:rsidRPr="00CD3A14" w:rsidRDefault="00FB2E52" w:rsidP="0013400B">
      <w:pPr>
        <w:pStyle w:val="AGRBulletText"/>
        <w:rPr>
          <w:noProof w:val="0"/>
          <w:lang w:val="en-AU"/>
        </w:rPr>
      </w:pPr>
      <w:r w:rsidRPr="00CD3A14">
        <w:rPr>
          <w:noProof w:val="0"/>
          <w:lang w:val="en-AU"/>
        </w:rPr>
        <w:t xml:space="preserve">Health Car 313 </w:t>
      </w:r>
      <w:r w:rsidR="00F34CBF" w:rsidRPr="00CD3A14">
        <w:rPr>
          <w:noProof w:val="0"/>
          <w:lang w:val="en-AU"/>
        </w:rPr>
        <w:t>had two purchases in rapid succession on two separate occasions.</w:t>
      </w:r>
    </w:p>
    <w:p w:rsidR="00F34CBF" w:rsidRPr="00CD3A14" w:rsidRDefault="00FB2E52" w:rsidP="0013400B">
      <w:pPr>
        <w:pStyle w:val="AGRBulletText"/>
        <w:rPr>
          <w:noProof w:val="0"/>
          <w:lang w:val="en-AU"/>
        </w:rPr>
      </w:pPr>
      <w:r w:rsidRPr="00CD3A14">
        <w:rPr>
          <w:noProof w:val="0"/>
          <w:lang w:val="en-AU"/>
        </w:rPr>
        <w:t>Health Car 396</w:t>
      </w:r>
      <w:r w:rsidR="00F34CBF" w:rsidRPr="00CD3A14">
        <w:rPr>
          <w:noProof w:val="0"/>
          <w:lang w:val="en-AU"/>
        </w:rPr>
        <w:t xml:space="preserve"> had two purchases identified as ‘shop’ at the same time as one Diesel purchase. </w:t>
      </w:r>
    </w:p>
    <w:p w:rsidR="00F34CBF" w:rsidRPr="00CD3A14" w:rsidRDefault="00F34CBF" w:rsidP="0013400B">
      <w:pPr>
        <w:pStyle w:val="AGRBulletText"/>
        <w:rPr>
          <w:noProof w:val="0"/>
          <w:lang w:val="en-AU"/>
        </w:rPr>
      </w:pPr>
      <w:r w:rsidRPr="00CD3A14">
        <w:rPr>
          <w:noProof w:val="0"/>
          <w:lang w:val="en-AU"/>
        </w:rPr>
        <w:t>12 vehicles recorded fuel purchases that appear to be significantly higher than the reported fuel capacity of the vehicle.</w:t>
      </w:r>
    </w:p>
    <w:p w:rsidR="009069B7" w:rsidRPr="00CD3A14" w:rsidRDefault="009069B7" w:rsidP="009069B7">
      <w:pPr>
        <w:pStyle w:val="AGRHeading1"/>
      </w:pPr>
      <w:r w:rsidRPr="00CD3A14">
        <w:t xml:space="preserve">Selected Agencies </w:t>
      </w:r>
      <w:proofErr w:type="spellStart"/>
      <w:r w:rsidRPr="00CD3A14">
        <w:t>cont</w:t>
      </w:r>
      <w:proofErr w:type="spellEnd"/>
      <w:r w:rsidRPr="00CD3A14">
        <w:t>…</w:t>
      </w:r>
    </w:p>
    <w:p w:rsidR="00F34CBF" w:rsidRPr="00CD3A14" w:rsidRDefault="00767F51" w:rsidP="00767F51">
      <w:pPr>
        <w:pStyle w:val="AGRHeading3"/>
      </w:pPr>
      <w:r w:rsidRPr="00CD3A14">
        <w:t>Missing or Incorrect Odometer Readings</w:t>
      </w:r>
    </w:p>
    <w:p w:rsidR="00767F51" w:rsidRPr="00CD3A14" w:rsidRDefault="009069B7" w:rsidP="0013400B">
      <w:pPr>
        <w:pStyle w:val="AGRBodyText"/>
        <w:rPr>
          <w:noProof w:val="0"/>
          <w:lang w:val="en-AU"/>
        </w:rPr>
      </w:pPr>
      <w:r w:rsidRPr="00CD3A14">
        <w:rPr>
          <w:noProof w:val="0"/>
          <w:lang w:val="en-AU"/>
        </w:rPr>
        <w:t xml:space="preserve">There were </w:t>
      </w:r>
      <w:r w:rsidR="00D21256" w:rsidRPr="00CD3A14">
        <w:rPr>
          <w:noProof w:val="0"/>
          <w:lang w:val="en-AU"/>
        </w:rPr>
        <w:t>a significant number</w:t>
      </w:r>
      <w:r w:rsidRPr="00CD3A14">
        <w:rPr>
          <w:noProof w:val="0"/>
          <w:lang w:val="en-AU"/>
        </w:rPr>
        <w:t xml:space="preserve"> of anomalous transactions recorded by the Agencies as outlined below:</w:t>
      </w:r>
    </w:p>
    <w:tbl>
      <w:tblPr>
        <w:tblStyle w:val="TableGrid"/>
        <w:tblW w:w="8471"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omalous transactions"/>
        <w:tblDescription w:val="Department Transaction Errors Population % of errors at Agency level&#10;Department of Education 395 5,124 8%&#10;Department of Health 329 2,922 11%&#10;"/>
      </w:tblPr>
      <w:tblGrid>
        <w:gridCol w:w="4502"/>
        <w:gridCol w:w="1418"/>
        <w:gridCol w:w="1275"/>
        <w:gridCol w:w="1276"/>
      </w:tblGrid>
      <w:tr w:rsidR="009069B7" w:rsidRPr="00CD3A14" w:rsidTr="00D21256">
        <w:trPr>
          <w:tblHeader/>
        </w:trPr>
        <w:tc>
          <w:tcPr>
            <w:tcW w:w="4502" w:type="dxa"/>
            <w:shd w:val="clear" w:color="auto" w:fill="F2F2F2" w:themeFill="background1" w:themeFillShade="F2"/>
            <w:vAlign w:val="bottom"/>
          </w:tcPr>
          <w:p w:rsidR="009069B7" w:rsidRPr="00CD3A14" w:rsidRDefault="009069B7" w:rsidP="00D21256">
            <w:pPr>
              <w:pStyle w:val="AGRTableText"/>
              <w:jc w:val="center"/>
              <w:rPr>
                <w:b/>
              </w:rPr>
            </w:pPr>
            <w:r w:rsidRPr="00CD3A14">
              <w:rPr>
                <w:b/>
              </w:rPr>
              <w:t>Department</w:t>
            </w:r>
          </w:p>
        </w:tc>
        <w:tc>
          <w:tcPr>
            <w:tcW w:w="1418" w:type="dxa"/>
            <w:shd w:val="clear" w:color="auto" w:fill="F2F2F2" w:themeFill="background1" w:themeFillShade="F2"/>
            <w:vAlign w:val="bottom"/>
          </w:tcPr>
          <w:p w:rsidR="009069B7" w:rsidRPr="00CD3A14" w:rsidRDefault="009069B7" w:rsidP="00D21256">
            <w:pPr>
              <w:pStyle w:val="AGRTableText"/>
              <w:jc w:val="center"/>
              <w:rPr>
                <w:b/>
              </w:rPr>
            </w:pPr>
            <w:r w:rsidRPr="00CD3A14">
              <w:rPr>
                <w:b/>
              </w:rPr>
              <w:t>Transaction Errors</w:t>
            </w:r>
          </w:p>
        </w:tc>
        <w:tc>
          <w:tcPr>
            <w:tcW w:w="1275" w:type="dxa"/>
            <w:shd w:val="clear" w:color="auto" w:fill="F2F2F2" w:themeFill="background1" w:themeFillShade="F2"/>
            <w:vAlign w:val="bottom"/>
          </w:tcPr>
          <w:p w:rsidR="009069B7" w:rsidRPr="00CD3A14" w:rsidRDefault="009069B7" w:rsidP="00D21256">
            <w:pPr>
              <w:pStyle w:val="AGRTableText"/>
              <w:jc w:val="center"/>
              <w:rPr>
                <w:b/>
              </w:rPr>
            </w:pPr>
            <w:r w:rsidRPr="00CD3A14">
              <w:rPr>
                <w:b/>
              </w:rPr>
              <w:t>Population</w:t>
            </w:r>
          </w:p>
        </w:tc>
        <w:tc>
          <w:tcPr>
            <w:tcW w:w="1276" w:type="dxa"/>
            <w:shd w:val="clear" w:color="auto" w:fill="F2F2F2" w:themeFill="background1" w:themeFillShade="F2"/>
            <w:vAlign w:val="bottom"/>
          </w:tcPr>
          <w:p w:rsidR="009069B7" w:rsidRPr="00CD3A14" w:rsidRDefault="009069B7" w:rsidP="00D21256">
            <w:pPr>
              <w:pStyle w:val="AGRTableText"/>
              <w:jc w:val="center"/>
              <w:rPr>
                <w:b/>
              </w:rPr>
            </w:pPr>
            <w:r w:rsidRPr="00CD3A14">
              <w:rPr>
                <w:b/>
              </w:rPr>
              <w:t>% of errors at Agency level</w:t>
            </w:r>
          </w:p>
        </w:tc>
      </w:tr>
      <w:tr w:rsidR="009069B7" w:rsidRPr="00CD3A14" w:rsidTr="00D21256">
        <w:tc>
          <w:tcPr>
            <w:tcW w:w="4502" w:type="dxa"/>
          </w:tcPr>
          <w:p w:rsidR="009069B7" w:rsidRPr="00CD3A14" w:rsidRDefault="009069B7" w:rsidP="009069B7">
            <w:pPr>
              <w:pStyle w:val="AGRTableText"/>
            </w:pPr>
            <w:r w:rsidRPr="00CD3A14">
              <w:t>Department of Education</w:t>
            </w:r>
          </w:p>
        </w:tc>
        <w:tc>
          <w:tcPr>
            <w:tcW w:w="1418" w:type="dxa"/>
          </w:tcPr>
          <w:p w:rsidR="009069B7" w:rsidRPr="00CD3A14" w:rsidRDefault="009069B7" w:rsidP="00D21256">
            <w:pPr>
              <w:pStyle w:val="AGRTableText"/>
              <w:tabs>
                <w:tab w:val="decimal" w:pos="884"/>
              </w:tabs>
            </w:pPr>
            <w:r w:rsidRPr="00CD3A14">
              <w:t>395</w:t>
            </w:r>
          </w:p>
        </w:tc>
        <w:tc>
          <w:tcPr>
            <w:tcW w:w="1275" w:type="dxa"/>
          </w:tcPr>
          <w:p w:rsidR="009069B7" w:rsidRPr="00CD3A14" w:rsidRDefault="009069B7" w:rsidP="00D21256">
            <w:pPr>
              <w:pStyle w:val="AGRTableText"/>
              <w:tabs>
                <w:tab w:val="decimal" w:pos="701"/>
              </w:tabs>
            </w:pPr>
            <w:r w:rsidRPr="00CD3A14">
              <w:t>5,124</w:t>
            </w:r>
          </w:p>
        </w:tc>
        <w:tc>
          <w:tcPr>
            <w:tcW w:w="1276" w:type="dxa"/>
          </w:tcPr>
          <w:p w:rsidR="009069B7" w:rsidRPr="00CD3A14" w:rsidRDefault="009069B7" w:rsidP="00D21256">
            <w:pPr>
              <w:pStyle w:val="AGRTableText"/>
              <w:tabs>
                <w:tab w:val="decimal" w:pos="600"/>
              </w:tabs>
            </w:pPr>
            <w:r w:rsidRPr="00CD3A14">
              <w:t>8%</w:t>
            </w:r>
          </w:p>
        </w:tc>
      </w:tr>
      <w:tr w:rsidR="009069B7" w:rsidRPr="00CD3A14" w:rsidTr="00D21256">
        <w:tc>
          <w:tcPr>
            <w:tcW w:w="4502" w:type="dxa"/>
          </w:tcPr>
          <w:p w:rsidR="009069B7" w:rsidRPr="00CD3A14" w:rsidRDefault="009069B7" w:rsidP="00D21256">
            <w:pPr>
              <w:pStyle w:val="AGRTableText"/>
            </w:pPr>
            <w:r w:rsidRPr="00CD3A14">
              <w:t>Department of Health</w:t>
            </w:r>
          </w:p>
        </w:tc>
        <w:tc>
          <w:tcPr>
            <w:tcW w:w="1418" w:type="dxa"/>
          </w:tcPr>
          <w:p w:rsidR="009069B7" w:rsidRPr="00CD3A14" w:rsidRDefault="009069B7" w:rsidP="00D21256">
            <w:pPr>
              <w:pStyle w:val="AGRTableText"/>
              <w:tabs>
                <w:tab w:val="decimal" w:pos="884"/>
              </w:tabs>
            </w:pPr>
            <w:r w:rsidRPr="00CD3A14">
              <w:t>329</w:t>
            </w:r>
          </w:p>
        </w:tc>
        <w:tc>
          <w:tcPr>
            <w:tcW w:w="1275" w:type="dxa"/>
          </w:tcPr>
          <w:p w:rsidR="009069B7" w:rsidRPr="00CD3A14" w:rsidRDefault="009069B7" w:rsidP="00D21256">
            <w:pPr>
              <w:pStyle w:val="AGRTableText"/>
              <w:tabs>
                <w:tab w:val="decimal" w:pos="701"/>
              </w:tabs>
            </w:pPr>
            <w:r w:rsidRPr="00CD3A14">
              <w:t>2,922</w:t>
            </w:r>
          </w:p>
        </w:tc>
        <w:tc>
          <w:tcPr>
            <w:tcW w:w="1276" w:type="dxa"/>
          </w:tcPr>
          <w:p w:rsidR="009069B7" w:rsidRPr="00CD3A14" w:rsidRDefault="009069B7" w:rsidP="00D21256">
            <w:pPr>
              <w:pStyle w:val="AGRTableText"/>
              <w:tabs>
                <w:tab w:val="decimal" w:pos="600"/>
              </w:tabs>
            </w:pPr>
            <w:r w:rsidRPr="00CD3A14">
              <w:t>11%</w:t>
            </w:r>
          </w:p>
        </w:tc>
      </w:tr>
    </w:tbl>
    <w:p w:rsidR="009069B7" w:rsidRPr="00CD3A14" w:rsidRDefault="009069B7" w:rsidP="0013400B">
      <w:pPr>
        <w:pStyle w:val="AGRBodyText"/>
        <w:rPr>
          <w:noProof w:val="0"/>
          <w:lang w:val="en-AU"/>
        </w:rPr>
      </w:pPr>
      <w:r w:rsidRPr="00CD3A14">
        <w:rPr>
          <w:noProof w:val="0"/>
          <w:lang w:val="en-AU"/>
        </w:rPr>
        <w:t>Anomalous information included:</w:t>
      </w:r>
    </w:p>
    <w:p w:rsidR="009069B7" w:rsidRPr="00CD3A14" w:rsidRDefault="009069B7" w:rsidP="0013400B">
      <w:pPr>
        <w:pStyle w:val="AGRBulletText"/>
        <w:numPr>
          <w:ilvl w:val="0"/>
          <w:numId w:val="9"/>
        </w:numPr>
        <w:rPr>
          <w:noProof w:val="0"/>
          <w:lang w:val="en-AU"/>
        </w:rPr>
      </w:pPr>
      <w:r w:rsidRPr="00CD3A14">
        <w:rPr>
          <w:noProof w:val="0"/>
          <w:lang w:val="en-AU"/>
        </w:rPr>
        <w:t>Missing odometer readings possibly due to:</w:t>
      </w:r>
    </w:p>
    <w:p w:rsidR="009069B7" w:rsidRPr="00CD3A14" w:rsidRDefault="009069B7" w:rsidP="0013400B">
      <w:pPr>
        <w:pStyle w:val="AGRBulletText"/>
        <w:numPr>
          <w:ilvl w:val="1"/>
          <w:numId w:val="9"/>
        </w:numPr>
        <w:rPr>
          <w:noProof w:val="0"/>
          <w:lang w:val="en-AU"/>
        </w:rPr>
      </w:pPr>
      <w:r w:rsidRPr="00CD3A14">
        <w:rPr>
          <w:noProof w:val="0"/>
          <w:lang w:val="en-AU"/>
        </w:rPr>
        <w:t>the driver failing to provide an odometer reading;</w:t>
      </w:r>
    </w:p>
    <w:p w:rsidR="009069B7" w:rsidRPr="00CD3A14" w:rsidRDefault="009069B7" w:rsidP="0013400B">
      <w:pPr>
        <w:pStyle w:val="AGRBulletText"/>
        <w:numPr>
          <w:ilvl w:val="1"/>
          <w:numId w:val="9"/>
        </w:numPr>
        <w:rPr>
          <w:noProof w:val="0"/>
          <w:lang w:val="en-AU"/>
        </w:rPr>
      </w:pPr>
      <w:r w:rsidRPr="00CD3A14">
        <w:rPr>
          <w:noProof w:val="0"/>
          <w:lang w:val="en-AU"/>
        </w:rPr>
        <w:t xml:space="preserve">the console operator not recording the odometer reading provided; </w:t>
      </w:r>
    </w:p>
    <w:p w:rsidR="009069B7" w:rsidRPr="00CD3A14" w:rsidRDefault="009069B7" w:rsidP="0013400B">
      <w:pPr>
        <w:pStyle w:val="AGRBulletText"/>
        <w:numPr>
          <w:ilvl w:val="1"/>
          <w:numId w:val="9"/>
        </w:numPr>
        <w:rPr>
          <w:noProof w:val="0"/>
          <w:lang w:val="en-AU"/>
        </w:rPr>
      </w:pPr>
      <w:r w:rsidRPr="00CD3A14">
        <w:rPr>
          <w:noProof w:val="0"/>
          <w:lang w:val="en-AU"/>
        </w:rPr>
        <w:t>the accounts department of the fuel supplier not providing the odometer reading on the invoice; or</w:t>
      </w:r>
    </w:p>
    <w:p w:rsidR="009069B7" w:rsidRPr="00CD3A14" w:rsidRDefault="009069B7" w:rsidP="0013400B">
      <w:pPr>
        <w:pStyle w:val="AGRBulletText"/>
        <w:numPr>
          <w:ilvl w:val="1"/>
          <w:numId w:val="9"/>
        </w:numPr>
        <w:rPr>
          <w:noProof w:val="0"/>
          <w:lang w:val="en-AU"/>
        </w:rPr>
      </w:pPr>
      <w:proofErr w:type="gramStart"/>
      <w:r w:rsidRPr="00CD3A14">
        <w:rPr>
          <w:noProof w:val="0"/>
          <w:lang w:val="en-AU"/>
        </w:rPr>
        <w:t>the</w:t>
      </w:r>
      <w:proofErr w:type="gramEnd"/>
      <w:r w:rsidRPr="00CD3A14">
        <w:rPr>
          <w:noProof w:val="0"/>
          <w:lang w:val="en-AU"/>
        </w:rPr>
        <w:t xml:space="preserve"> fuel card not allowing the odometer reading to be recorded.</w:t>
      </w:r>
    </w:p>
    <w:p w:rsidR="009069B7" w:rsidRPr="00CD3A14" w:rsidRDefault="009069B7" w:rsidP="0013400B">
      <w:pPr>
        <w:pStyle w:val="AGRBulletText"/>
        <w:numPr>
          <w:ilvl w:val="0"/>
          <w:numId w:val="9"/>
        </w:numPr>
        <w:rPr>
          <w:noProof w:val="0"/>
          <w:lang w:val="en-AU"/>
        </w:rPr>
      </w:pPr>
      <w:r w:rsidRPr="00CD3A14">
        <w:rPr>
          <w:noProof w:val="0"/>
          <w:lang w:val="en-AU"/>
        </w:rPr>
        <w:t>Incorrect odometer readings, for example a reading that was lower than the previous reading or is obviously incorrect (e.g. a reading in excess of 100,000 kilometres). This may be due to:</w:t>
      </w:r>
    </w:p>
    <w:p w:rsidR="009069B7" w:rsidRPr="00CD3A14" w:rsidRDefault="009069B7" w:rsidP="0013400B">
      <w:pPr>
        <w:pStyle w:val="AGRBulletText"/>
        <w:numPr>
          <w:ilvl w:val="1"/>
          <w:numId w:val="9"/>
        </w:numPr>
        <w:rPr>
          <w:noProof w:val="0"/>
          <w:lang w:val="en-AU"/>
        </w:rPr>
      </w:pPr>
      <w:r w:rsidRPr="00CD3A14">
        <w:rPr>
          <w:noProof w:val="0"/>
          <w:lang w:val="en-AU"/>
        </w:rPr>
        <w:t>the driver misreading the odometer;</w:t>
      </w:r>
    </w:p>
    <w:p w:rsidR="009069B7" w:rsidRPr="00CD3A14" w:rsidRDefault="009069B7" w:rsidP="0013400B">
      <w:pPr>
        <w:pStyle w:val="AGRBulletText"/>
        <w:numPr>
          <w:ilvl w:val="1"/>
          <w:numId w:val="9"/>
        </w:numPr>
        <w:rPr>
          <w:noProof w:val="0"/>
          <w:lang w:val="en-AU"/>
        </w:rPr>
      </w:pPr>
      <w:r w:rsidRPr="00CD3A14">
        <w:rPr>
          <w:noProof w:val="0"/>
          <w:lang w:val="en-AU"/>
        </w:rPr>
        <w:t xml:space="preserve">the driver guessing the reading; </w:t>
      </w:r>
    </w:p>
    <w:p w:rsidR="009069B7" w:rsidRPr="00CD3A14" w:rsidRDefault="009069B7" w:rsidP="0013400B">
      <w:pPr>
        <w:pStyle w:val="AGRBulletText"/>
        <w:numPr>
          <w:ilvl w:val="1"/>
          <w:numId w:val="9"/>
        </w:numPr>
        <w:rPr>
          <w:noProof w:val="0"/>
          <w:lang w:val="en-AU"/>
        </w:rPr>
      </w:pPr>
      <w:r w:rsidRPr="00CD3A14">
        <w:rPr>
          <w:noProof w:val="0"/>
          <w:lang w:val="en-AU"/>
        </w:rPr>
        <w:t>the console operator mishearing the reading; or</w:t>
      </w:r>
    </w:p>
    <w:p w:rsidR="009069B7" w:rsidRPr="00CD3A14" w:rsidRDefault="009069B7" w:rsidP="0013400B">
      <w:pPr>
        <w:pStyle w:val="AGRBulletText"/>
        <w:numPr>
          <w:ilvl w:val="1"/>
          <w:numId w:val="9"/>
        </w:numPr>
        <w:rPr>
          <w:noProof w:val="0"/>
          <w:lang w:val="en-AU"/>
        </w:rPr>
      </w:pPr>
      <w:proofErr w:type="gramStart"/>
      <w:r w:rsidRPr="00CD3A14">
        <w:rPr>
          <w:noProof w:val="0"/>
          <w:lang w:val="en-AU"/>
        </w:rPr>
        <w:t>the</w:t>
      </w:r>
      <w:proofErr w:type="gramEnd"/>
      <w:r w:rsidRPr="00CD3A14">
        <w:rPr>
          <w:noProof w:val="0"/>
          <w:lang w:val="en-AU"/>
        </w:rPr>
        <w:t xml:space="preserve"> console operator mistyping the reading. </w:t>
      </w:r>
    </w:p>
    <w:p w:rsidR="00D05BA8" w:rsidRPr="00CD3A14" w:rsidRDefault="00D05BA8" w:rsidP="007D267A">
      <w:pPr>
        <w:pStyle w:val="AGRHeading4"/>
      </w:pPr>
    </w:p>
    <w:p w:rsidR="00D05BA8" w:rsidRPr="00CD3A14" w:rsidRDefault="00D05BA8" w:rsidP="00D05BA8">
      <w:pPr>
        <w:pStyle w:val="AGRHeading1"/>
      </w:pPr>
      <w:r w:rsidRPr="00CD3A14">
        <w:t xml:space="preserve">Selected Agencies </w:t>
      </w:r>
      <w:proofErr w:type="spellStart"/>
      <w:r w:rsidRPr="00CD3A14">
        <w:t>cont</w:t>
      </w:r>
      <w:proofErr w:type="spellEnd"/>
      <w:r w:rsidRPr="00CD3A14">
        <w:t>…</w:t>
      </w:r>
    </w:p>
    <w:p w:rsidR="007D267A" w:rsidRPr="00CD3A14" w:rsidRDefault="007D267A" w:rsidP="007D267A">
      <w:pPr>
        <w:pStyle w:val="AGRHeading4"/>
      </w:pPr>
      <w:r w:rsidRPr="00CD3A14">
        <w:t xml:space="preserve">Acceptable error rate </w:t>
      </w:r>
    </w:p>
    <w:p w:rsidR="007D267A" w:rsidRPr="00CD3A14" w:rsidRDefault="007D267A" w:rsidP="0013400B">
      <w:pPr>
        <w:pStyle w:val="AGRBodyText"/>
        <w:rPr>
          <w:noProof w:val="0"/>
          <w:lang w:val="en-AU"/>
        </w:rPr>
      </w:pPr>
      <w:r w:rsidRPr="00CD3A14">
        <w:rPr>
          <w:noProof w:val="0"/>
          <w:lang w:val="en-AU"/>
        </w:rPr>
        <w:t>In analysing the transaction errors I consider an error rate of less than 5 per cent to be reasonable. I also consider an error rate between 6 per cent and 25 per cent to be reasonable when taking into account the probability of some console operator error occurring, however I would recommend that the users of the fuel cards for these vehicles be reminded of the need to provide accurate odometer readings to the fuel supplier.</w:t>
      </w:r>
    </w:p>
    <w:p w:rsidR="007D267A" w:rsidRPr="00CD3A14" w:rsidRDefault="007D267A" w:rsidP="007D267A">
      <w:pPr>
        <w:pStyle w:val="AGRHeading4"/>
      </w:pPr>
      <w:r w:rsidRPr="00CD3A14">
        <w:t>Department of Education</w:t>
      </w:r>
    </w:p>
    <w:p w:rsidR="007D267A" w:rsidRPr="00CD3A14" w:rsidRDefault="007D267A" w:rsidP="0013400B">
      <w:pPr>
        <w:pStyle w:val="AGRBodyText"/>
        <w:rPr>
          <w:noProof w:val="0"/>
          <w:lang w:val="en-AU"/>
        </w:rPr>
      </w:pPr>
      <w:r w:rsidRPr="00CD3A14">
        <w:rPr>
          <w:noProof w:val="0"/>
          <w:lang w:val="en-AU"/>
        </w:rPr>
        <w:t>125 vehicles (</w:t>
      </w:r>
      <w:r w:rsidR="00D05BA8" w:rsidRPr="00CD3A14">
        <w:rPr>
          <w:noProof w:val="0"/>
          <w:lang w:val="en-AU"/>
        </w:rPr>
        <w:t>32</w:t>
      </w:r>
      <w:r w:rsidRPr="00CD3A14">
        <w:rPr>
          <w:noProof w:val="0"/>
          <w:lang w:val="en-AU"/>
        </w:rPr>
        <w:t>%) had what appeared to be the correct odometer readings on more than 95 per cent of the transactions.</w:t>
      </w:r>
    </w:p>
    <w:p w:rsidR="007D267A" w:rsidRPr="00CD3A14" w:rsidRDefault="007D267A" w:rsidP="0013400B">
      <w:pPr>
        <w:pStyle w:val="AGRBodyText"/>
        <w:rPr>
          <w:noProof w:val="0"/>
          <w:lang w:val="en-AU"/>
        </w:rPr>
      </w:pPr>
      <w:r w:rsidRPr="00CD3A14">
        <w:rPr>
          <w:noProof w:val="0"/>
          <w:lang w:val="en-AU"/>
        </w:rPr>
        <w:t>176 (</w:t>
      </w:r>
      <w:r w:rsidR="00D05BA8" w:rsidRPr="00CD3A14">
        <w:rPr>
          <w:noProof w:val="0"/>
          <w:lang w:val="en-AU"/>
        </w:rPr>
        <w:t>44</w:t>
      </w:r>
      <w:r w:rsidRPr="00CD3A14">
        <w:rPr>
          <w:noProof w:val="0"/>
          <w:lang w:val="en-AU"/>
        </w:rPr>
        <w:t>%) had missing or incorrect odometer readings fo</w:t>
      </w:r>
      <w:r w:rsidR="0054030E" w:rsidRPr="00CD3A14">
        <w:rPr>
          <w:noProof w:val="0"/>
          <w:lang w:val="en-AU"/>
        </w:rPr>
        <w:t>r between 6 per cent and 25 per </w:t>
      </w:r>
      <w:r w:rsidRPr="00CD3A14">
        <w:rPr>
          <w:noProof w:val="0"/>
          <w:lang w:val="en-AU"/>
        </w:rPr>
        <w:t>cent of the transactions.</w:t>
      </w:r>
    </w:p>
    <w:p w:rsidR="007D267A" w:rsidRPr="00CD3A14" w:rsidRDefault="007D267A" w:rsidP="0013400B">
      <w:pPr>
        <w:pStyle w:val="AGRBodyText"/>
        <w:rPr>
          <w:noProof w:val="0"/>
          <w:lang w:val="en-AU"/>
        </w:rPr>
      </w:pPr>
      <w:r w:rsidRPr="00CD3A14">
        <w:rPr>
          <w:noProof w:val="0"/>
          <w:lang w:val="en-AU"/>
        </w:rPr>
        <w:t xml:space="preserve">For the remaining </w:t>
      </w:r>
      <w:r w:rsidR="00D05BA8" w:rsidRPr="00CD3A14">
        <w:rPr>
          <w:noProof w:val="0"/>
          <w:lang w:val="en-AU"/>
        </w:rPr>
        <w:t>94</w:t>
      </w:r>
      <w:r w:rsidRPr="00CD3A14">
        <w:rPr>
          <w:noProof w:val="0"/>
          <w:lang w:val="en-AU"/>
        </w:rPr>
        <w:t xml:space="preserve"> cards (</w:t>
      </w:r>
      <w:r w:rsidR="00D05BA8" w:rsidRPr="00CD3A14">
        <w:rPr>
          <w:noProof w:val="0"/>
          <w:lang w:val="en-AU"/>
        </w:rPr>
        <w:t>24</w:t>
      </w:r>
      <w:r w:rsidRPr="00CD3A14">
        <w:rPr>
          <w:noProof w:val="0"/>
          <w:lang w:val="en-AU"/>
        </w:rPr>
        <w:t>%) errors were noted on more than 26 per cent of the transactions.</w:t>
      </w:r>
    </w:p>
    <w:p w:rsidR="007D267A" w:rsidRPr="00CD3A14" w:rsidRDefault="007D267A" w:rsidP="007D267A">
      <w:pPr>
        <w:pStyle w:val="AGRHeading4"/>
      </w:pPr>
      <w:r w:rsidRPr="00CD3A14">
        <w:t>Department of the Health</w:t>
      </w:r>
    </w:p>
    <w:p w:rsidR="007D267A" w:rsidRPr="00CD3A14" w:rsidRDefault="007D267A" w:rsidP="0013400B">
      <w:pPr>
        <w:pStyle w:val="AGRBodyText"/>
        <w:rPr>
          <w:noProof w:val="0"/>
          <w:lang w:val="en-AU"/>
        </w:rPr>
      </w:pPr>
      <w:r w:rsidRPr="00CD3A14">
        <w:rPr>
          <w:noProof w:val="0"/>
          <w:lang w:val="en-AU"/>
        </w:rPr>
        <w:t>1</w:t>
      </w:r>
      <w:r w:rsidR="00D05BA8" w:rsidRPr="00CD3A14">
        <w:rPr>
          <w:noProof w:val="0"/>
          <w:lang w:val="en-AU"/>
        </w:rPr>
        <w:t>38</w:t>
      </w:r>
      <w:r w:rsidRPr="00CD3A14">
        <w:rPr>
          <w:noProof w:val="0"/>
          <w:lang w:val="en-AU"/>
        </w:rPr>
        <w:t xml:space="preserve"> cards (</w:t>
      </w:r>
      <w:r w:rsidR="00D05BA8" w:rsidRPr="00CD3A14">
        <w:rPr>
          <w:noProof w:val="0"/>
          <w:lang w:val="en-AU"/>
        </w:rPr>
        <w:t>42</w:t>
      </w:r>
      <w:r w:rsidRPr="00CD3A14">
        <w:rPr>
          <w:noProof w:val="0"/>
          <w:lang w:val="en-AU"/>
        </w:rPr>
        <w:t xml:space="preserve">%) had what appeared to be the correct odometer readings on more than 95 per cent of the transactions.  </w:t>
      </w:r>
    </w:p>
    <w:p w:rsidR="007D267A" w:rsidRPr="00CD3A14" w:rsidRDefault="00D05BA8" w:rsidP="0013400B">
      <w:pPr>
        <w:pStyle w:val="AGRBodyText"/>
        <w:rPr>
          <w:noProof w:val="0"/>
          <w:lang w:val="en-AU"/>
        </w:rPr>
      </w:pPr>
      <w:r w:rsidRPr="00CD3A14">
        <w:rPr>
          <w:noProof w:val="0"/>
          <w:lang w:val="en-AU"/>
        </w:rPr>
        <w:t>110</w:t>
      </w:r>
      <w:r w:rsidR="007D267A" w:rsidRPr="00CD3A14">
        <w:rPr>
          <w:noProof w:val="0"/>
          <w:lang w:val="en-AU"/>
        </w:rPr>
        <w:t xml:space="preserve"> cards (</w:t>
      </w:r>
      <w:r w:rsidRPr="00CD3A14">
        <w:rPr>
          <w:noProof w:val="0"/>
          <w:lang w:val="en-AU"/>
        </w:rPr>
        <w:t>33</w:t>
      </w:r>
      <w:r w:rsidR="007D267A" w:rsidRPr="00CD3A14">
        <w:rPr>
          <w:noProof w:val="0"/>
          <w:lang w:val="en-AU"/>
        </w:rPr>
        <w:t xml:space="preserve">%) had missing or incorrect odometer readings for between 6 per cent and 25 per cent of the transactions. </w:t>
      </w:r>
    </w:p>
    <w:p w:rsidR="007D267A" w:rsidRPr="00CD3A14" w:rsidRDefault="007D267A" w:rsidP="0013400B">
      <w:pPr>
        <w:pStyle w:val="AGRBodyText"/>
        <w:rPr>
          <w:noProof w:val="0"/>
          <w:lang w:val="en-AU"/>
        </w:rPr>
      </w:pPr>
      <w:r w:rsidRPr="00CD3A14">
        <w:rPr>
          <w:noProof w:val="0"/>
          <w:lang w:val="en-AU"/>
        </w:rPr>
        <w:t xml:space="preserve">For the remaining </w:t>
      </w:r>
      <w:r w:rsidR="00D05BA8" w:rsidRPr="00CD3A14">
        <w:rPr>
          <w:noProof w:val="0"/>
          <w:lang w:val="en-AU"/>
        </w:rPr>
        <w:t>81</w:t>
      </w:r>
      <w:r w:rsidRPr="00CD3A14">
        <w:rPr>
          <w:noProof w:val="0"/>
          <w:lang w:val="en-AU"/>
        </w:rPr>
        <w:t xml:space="preserve"> cards (</w:t>
      </w:r>
      <w:r w:rsidR="00D05BA8" w:rsidRPr="00CD3A14">
        <w:rPr>
          <w:noProof w:val="0"/>
          <w:lang w:val="en-AU"/>
        </w:rPr>
        <w:t>25</w:t>
      </w:r>
      <w:r w:rsidRPr="00CD3A14">
        <w:rPr>
          <w:noProof w:val="0"/>
          <w:lang w:val="en-AU"/>
        </w:rPr>
        <w:t xml:space="preserve">%) errors were noted on more than 26 per cent of the transactions. </w:t>
      </w:r>
    </w:p>
    <w:p w:rsidR="007D267A" w:rsidRPr="00CD3A14" w:rsidRDefault="007D267A" w:rsidP="007D267A">
      <w:pPr>
        <w:pStyle w:val="AGRHeading1"/>
      </w:pPr>
      <w:r w:rsidRPr="00CD3A14">
        <w:t xml:space="preserve">Selected Agencies </w:t>
      </w:r>
      <w:proofErr w:type="spellStart"/>
      <w:r w:rsidRPr="00CD3A14">
        <w:t>cont</w:t>
      </w:r>
      <w:proofErr w:type="spellEnd"/>
      <w:r w:rsidRPr="00CD3A14">
        <w:t>…</w:t>
      </w:r>
    </w:p>
    <w:p w:rsidR="007D267A" w:rsidRPr="00CD3A14" w:rsidRDefault="007D267A" w:rsidP="007D267A">
      <w:pPr>
        <w:pStyle w:val="AGRHeading4"/>
        <w:keepNext/>
      </w:pPr>
      <w:r w:rsidRPr="00CD3A14">
        <w:t>Missing or Incorrect Odometer Readings</w:t>
      </w:r>
    </w:p>
    <w:p w:rsidR="00452224" w:rsidRDefault="007D267A" w:rsidP="00452224">
      <w:pPr>
        <w:pStyle w:val="AGRBodyText"/>
        <w:rPr>
          <w:noProof w:val="0"/>
          <w:lang w:val="en-AU"/>
        </w:rPr>
      </w:pPr>
      <w:r w:rsidRPr="00CD3A14">
        <w:rPr>
          <w:noProof w:val="0"/>
          <w:lang w:val="en-AU"/>
        </w:rPr>
        <w:t xml:space="preserve">The graph below summarises the distribution of missing or incorrect odometer readings for </w:t>
      </w:r>
      <w:r w:rsidR="00D05BA8" w:rsidRPr="00CD3A14">
        <w:rPr>
          <w:noProof w:val="0"/>
          <w:lang w:val="en-AU"/>
        </w:rPr>
        <w:t>both</w:t>
      </w:r>
      <w:r w:rsidRPr="00CD3A14">
        <w:rPr>
          <w:noProof w:val="0"/>
          <w:lang w:val="en-AU"/>
        </w:rPr>
        <w:t xml:space="preserve"> agencie</w:t>
      </w:r>
      <w:r w:rsidR="00452224">
        <w:rPr>
          <w:noProof w:val="0"/>
          <w:lang w:val="en-AU"/>
        </w:rPr>
        <w:t>s.</w:t>
      </w:r>
    </w:p>
    <w:p w:rsidR="00452224" w:rsidRPr="002000B2" w:rsidRDefault="00807C4D" w:rsidP="00452224">
      <w:pPr>
        <w:pStyle w:val="AGRBodyText"/>
        <w:rPr>
          <w:noProof w:val="0"/>
          <w:color w:val="FF0000"/>
          <w:lang w:val="en-AU"/>
        </w:rPr>
      </w:pPr>
      <w:r>
        <w:rPr>
          <w:noProof w:val="0"/>
          <w:lang w:val="en-AU"/>
        </w:rPr>
        <w:t xml:space="preserve">It should be noted that the goal is to have a higher percentage of vehicles in the 0% to 5% transaction error and fewer in the 6% and above transaction error categories. </w:t>
      </w:r>
      <w:r w:rsidR="00452224" w:rsidRPr="00CD3A14">
        <w:rPr>
          <w:noProof w:val="0"/>
          <w:lang w:val="en-AU"/>
        </w:rPr>
        <w:t>Th</w:t>
      </w:r>
      <w:r>
        <w:rPr>
          <w:noProof w:val="0"/>
          <w:lang w:val="en-AU"/>
        </w:rPr>
        <w:t>e</w:t>
      </w:r>
      <w:r w:rsidR="00452224" w:rsidRPr="00CD3A14">
        <w:rPr>
          <w:noProof w:val="0"/>
          <w:lang w:val="en-AU"/>
        </w:rPr>
        <w:t xml:space="preserve"> graph shows that 42% of the Department of Health’s vehicles (138 vehicles), </w:t>
      </w:r>
      <w:r w:rsidR="00566ED4">
        <w:rPr>
          <w:noProof w:val="0"/>
          <w:lang w:val="en-AU"/>
        </w:rPr>
        <w:t>and</w:t>
      </w:r>
      <w:r w:rsidR="00452224" w:rsidRPr="00CD3A14">
        <w:rPr>
          <w:noProof w:val="0"/>
          <w:lang w:val="en-AU"/>
        </w:rPr>
        <w:t xml:space="preserve"> 32% of the Department of Education’s vehicles (125 vehicles), showed a transactional error rate of less than 5%.  </w:t>
      </w:r>
    </w:p>
    <w:p w:rsidR="00807C4D" w:rsidRPr="00CD3A14" w:rsidRDefault="00807C4D" w:rsidP="00BE0AA1">
      <w:pPr>
        <w:pStyle w:val="AGRBodyText"/>
        <w:spacing w:line="240" w:lineRule="auto"/>
        <w:rPr>
          <w:noProof w:val="0"/>
          <w:lang w:val="en-AU"/>
        </w:rPr>
      </w:pPr>
      <w:r>
        <w:rPr>
          <w:lang w:val="en-AU"/>
        </w:rPr>
        <w:drawing>
          <wp:inline distT="0" distB="0" distL="0" distR="0" wp14:anchorId="6E60506C" wp14:editId="7FFA2BF4">
            <wp:extent cx="5170170" cy="3712845"/>
            <wp:effectExtent l="0" t="0" r="0" b="1905"/>
            <wp:docPr id="28" name="Picture 28" descr=" Department of Education Department of Health&#10;0% - 5%                32% 42%&#10;6% - 15%                26% 19%&#10;16% - 25% 19% 15%&#10;26% - 35% 10% 8%&#10;36% - 45% 4% 3%&#10;46% - 55% 3% 4%&#10;56% - 65% 3% 0%&#10;66% - 75% 1% 1%&#10;76% - 85% 1% 1%&#10;86% - 95% 1% 1%&#10;96% - 99% 0% 0%&#10;100% 2% 8%&#10;  &#10; 100% 100%&#10;" title="Missing or incorrect odometer read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70170" cy="3712845"/>
                    </a:xfrm>
                    <a:prstGeom prst="rect">
                      <a:avLst/>
                    </a:prstGeom>
                    <a:noFill/>
                  </pic:spPr>
                </pic:pic>
              </a:graphicData>
            </a:graphic>
          </wp:inline>
        </w:drawing>
      </w:r>
    </w:p>
    <w:p w:rsidR="005313F5" w:rsidRPr="00CD3A14" w:rsidRDefault="005313F5" w:rsidP="00BE0AA1">
      <w:pPr>
        <w:pStyle w:val="AGRBodyText"/>
        <w:spacing w:line="240" w:lineRule="auto"/>
        <w:rPr>
          <w:noProof w:val="0"/>
          <w:lang w:val="en-AU"/>
        </w:rPr>
      </w:pPr>
    </w:p>
    <w:p w:rsidR="00060509" w:rsidRPr="00CD3A14" w:rsidRDefault="00060509" w:rsidP="00060509">
      <w:pPr>
        <w:pStyle w:val="AGRHeading1"/>
      </w:pPr>
      <w:r w:rsidRPr="00CD3A14">
        <w:t xml:space="preserve">Selected Agencies </w:t>
      </w:r>
      <w:proofErr w:type="spellStart"/>
      <w:r w:rsidRPr="00CD3A14">
        <w:t>cont</w:t>
      </w:r>
      <w:proofErr w:type="spellEnd"/>
      <w:r w:rsidRPr="00CD3A14">
        <w:t>…</w:t>
      </w:r>
    </w:p>
    <w:p w:rsidR="003236BE" w:rsidRPr="00CD3A14" w:rsidRDefault="003236BE" w:rsidP="0013400B">
      <w:pPr>
        <w:pStyle w:val="AGRBodyText"/>
        <w:rPr>
          <w:noProof w:val="0"/>
          <w:lang w:val="en-AU"/>
        </w:rPr>
      </w:pPr>
      <w:r w:rsidRPr="00CD3A14">
        <w:rPr>
          <w:noProof w:val="0"/>
          <w:lang w:val="en-AU"/>
        </w:rPr>
        <w:t>The Department of Health was also include</w:t>
      </w:r>
      <w:r w:rsidR="00D21256" w:rsidRPr="00CD3A14">
        <w:rPr>
          <w:noProof w:val="0"/>
          <w:lang w:val="en-AU"/>
        </w:rPr>
        <w:t>d</w:t>
      </w:r>
      <w:r w:rsidRPr="00CD3A14">
        <w:rPr>
          <w:noProof w:val="0"/>
          <w:lang w:val="en-AU"/>
        </w:rPr>
        <w:t xml:space="preserve"> in </w:t>
      </w:r>
      <w:r w:rsidR="00060509" w:rsidRPr="00CD3A14">
        <w:rPr>
          <w:noProof w:val="0"/>
          <w:lang w:val="en-AU"/>
        </w:rPr>
        <w:t>the</w:t>
      </w:r>
      <w:r w:rsidRPr="00CD3A14">
        <w:rPr>
          <w:noProof w:val="0"/>
          <w:lang w:val="en-AU"/>
        </w:rPr>
        <w:t xml:space="preserve"> fuel card assessment process</w:t>
      </w:r>
      <w:r w:rsidR="00060509" w:rsidRPr="00CD3A14">
        <w:rPr>
          <w:noProof w:val="0"/>
          <w:lang w:val="en-AU"/>
        </w:rPr>
        <w:t xml:space="preserve"> for the period 1 July 2013 to 31 December 2013</w:t>
      </w:r>
      <w:r w:rsidRPr="00CD3A14">
        <w:rPr>
          <w:noProof w:val="0"/>
          <w:lang w:val="en-AU"/>
        </w:rPr>
        <w:t xml:space="preserve"> as reported in the August 2014 Report to the Legislative Assembly.</w:t>
      </w:r>
    </w:p>
    <w:p w:rsidR="00C83C0D" w:rsidRDefault="00060509" w:rsidP="00C83C0D">
      <w:pPr>
        <w:pStyle w:val="AGRBodyText"/>
        <w:rPr>
          <w:noProof w:val="0"/>
          <w:lang w:val="en-AU"/>
        </w:rPr>
      </w:pPr>
      <w:r w:rsidRPr="00CD3A14">
        <w:rPr>
          <w:noProof w:val="0"/>
          <w:lang w:val="en-AU"/>
        </w:rPr>
        <w:t>The following graph compares the Department of Health’s results and shows a</w:t>
      </w:r>
      <w:r w:rsidR="00685E14" w:rsidRPr="00CD3A14">
        <w:rPr>
          <w:noProof w:val="0"/>
          <w:lang w:val="en-AU"/>
        </w:rPr>
        <w:t>n</w:t>
      </w:r>
      <w:r w:rsidRPr="00CD3A14">
        <w:rPr>
          <w:noProof w:val="0"/>
          <w:lang w:val="en-AU"/>
        </w:rPr>
        <w:t xml:space="preserve"> improvement in the</w:t>
      </w:r>
      <w:r w:rsidR="00FB2E52" w:rsidRPr="00CD3A14">
        <w:rPr>
          <w:noProof w:val="0"/>
          <w:lang w:val="en-AU"/>
        </w:rPr>
        <w:t xml:space="preserve"> transaction error rate</w:t>
      </w:r>
      <w:r w:rsidR="00916CF2" w:rsidRPr="00CD3A14">
        <w:rPr>
          <w:noProof w:val="0"/>
          <w:lang w:val="en-AU"/>
        </w:rPr>
        <w:t xml:space="preserve"> </w:t>
      </w:r>
      <w:r w:rsidR="00A4429A" w:rsidRPr="00CD3A14">
        <w:rPr>
          <w:noProof w:val="0"/>
          <w:lang w:val="en-AU"/>
        </w:rPr>
        <w:t>at the Department</w:t>
      </w:r>
      <w:r w:rsidRPr="00CD3A14">
        <w:rPr>
          <w:noProof w:val="0"/>
          <w:lang w:val="en-AU"/>
        </w:rPr>
        <w:t>.</w:t>
      </w:r>
      <w:r w:rsidR="005313F5" w:rsidRPr="00CD3A14">
        <w:rPr>
          <w:noProof w:val="0"/>
          <w:lang w:val="en-AU"/>
        </w:rPr>
        <w:t xml:space="preserve"> </w:t>
      </w:r>
    </w:p>
    <w:p w:rsidR="00833FEA" w:rsidRDefault="00807C4D" w:rsidP="00C83C0D">
      <w:pPr>
        <w:pStyle w:val="AGRBodyText"/>
        <w:rPr>
          <w:noProof w:val="0"/>
          <w:lang w:val="en-AU"/>
        </w:rPr>
      </w:pPr>
      <w:r>
        <w:rPr>
          <w:noProof w:val="0"/>
          <w:lang w:val="en-AU"/>
        </w:rPr>
        <w:t>I</w:t>
      </w:r>
      <w:r w:rsidR="00065BBF">
        <w:rPr>
          <w:noProof w:val="0"/>
          <w:lang w:val="en-AU"/>
        </w:rPr>
        <w:t>deally the</w:t>
      </w:r>
      <w:r w:rsidR="00833FEA">
        <w:rPr>
          <w:noProof w:val="0"/>
          <w:lang w:val="en-AU"/>
        </w:rPr>
        <w:t xml:space="preserve"> </w:t>
      </w:r>
      <w:r w:rsidR="00065BBF">
        <w:rPr>
          <w:noProof w:val="0"/>
          <w:lang w:val="en-AU"/>
        </w:rPr>
        <w:t xml:space="preserve">transactional </w:t>
      </w:r>
      <w:r w:rsidR="00833FEA">
        <w:rPr>
          <w:noProof w:val="0"/>
          <w:lang w:val="en-AU"/>
        </w:rPr>
        <w:t xml:space="preserve">error rate </w:t>
      </w:r>
      <w:r w:rsidR="00065BBF">
        <w:rPr>
          <w:noProof w:val="0"/>
          <w:lang w:val="en-AU"/>
        </w:rPr>
        <w:t>should be</w:t>
      </w:r>
      <w:r w:rsidR="00833FEA">
        <w:rPr>
          <w:noProof w:val="0"/>
          <w:lang w:val="en-AU"/>
        </w:rPr>
        <w:t xml:space="preserve"> less than 5%</w:t>
      </w:r>
      <w:r w:rsidR="00065BBF">
        <w:rPr>
          <w:noProof w:val="0"/>
          <w:lang w:val="en-AU"/>
        </w:rPr>
        <w:t xml:space="preserve">, and as can be seen below the Department of Health has improved since the last analysis.  The increased vehicle percentage in this category (i.e. 0% to 5%) reflects the downward trend in transactional error rates greater than 6%.  </w:t>
      </w:r>
      <w:r>
        <w:rPr>
          <w:noProof w:val="0"/>
          <w:lang w:val="en-AU"/>
        </w:rPr>
        <w:t>As noted previously, t</w:t>
      </w:r>
      <w:r w:rsidR="00065BBF">
        <w:rPr>
          <w:noProof w:val="0"/>
          <w:lang w:val="en-AU"/>
        </w:rPr>
        <w:t>aking into account factors external to the agency, the transactional error rate should not exceed 25%.</w:t>
      </w:r>
    </w:p>
    <w:p w:rsidR="00FF5D86" w:rsidRDefault="00807C4D" w:rsidP="00BE0AA1">
      <w:pPr>
        <w:pStyle w:val="AGRBodyText"/>
        <w:spacing w:line="240" w:lineRule="auto"/>
        <w:rPr>
          <w:noProof w:val="0"/>
          <w:lang w:val="en-AU"/>
        </w:rPr>
      </w:pPr>
      <w:r>
        <w:rPr>
          <w:lang w:val="en-AU"/>
        </w:rPr>
        <mc:AlternateContent>
          <mc:Choice Requires="wps">
            <w:drawing>
              <wp:anchor distT="0" distB="0" distL="114300" distR="114300" simplePos="0" relativeHeight="251710464" behindDoc="0" locked="0" layoutInCell="1" allowOverlap="1" wp14:anchorId="3B751F0F" wp14:editId="17356030">
                <wp:simplePos x="0" y="0"/>
                <wp:positionH relativeFrom="column">
                  <wp:posOffset>1665817</wp:posOffset>
                </wp:positionH>
                <wp:positionV relativeFrom="paragraph">
                  <wp:posOffset>271780</wp:posOffset>
                </wp:positionV>
                <wp:extent cx="22860" cy="2659380"/>
                <wp:effectExtent l="0" t="0" r="34290" b="26670"/>
                <wp:wrapNone/>
                <wp:docPr id="27" name="Straight Connector 1" descr="Separates the 0%-5% from the greater than 5% transaction error rates" title="Straight connector"/>
                <wp:cNvGraphicFramePr/>
                <a:graphic xmlns:a="http://schemas.openxmlformats.org/drawingml/2006/main">
                  <a:graphicData uri="http://schemas.microsoft.com/office/word/2010/wordprocessingShape">
                    <wps:wsp>
                      <wps:cNvCnPr/>
                      <wps:spPr>
                        <a:xfrm flipH="1">
                          <a:off x="0" y="0"/>
                          <a:ext cx="22860" cy="26593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alt="Title: Straight connector - Description: Separates the 0%-5% from the greater than 5% transaction error rates"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31.15pt,21.4pt" to="132.9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" strokecolor="#bc4542 [3045]"/>
            </w:pict>
          </mc:Fallback>
        </mc:AlternateContent>
      </w:r>
      <w:r w:rsidRPr="00CD3A14">
        <w:rPr>
          <w:noProof w:val="0"/>
          <w:lang w:val="en-AU"/>
        </w:rPr>
        <w:t xml:space="preserve"> </w:t>
      </w:r>
      <w:r w:rsidR="002A3C5B">
        <w:rPr>
          <w:lang w:val="en-AU"/>
        </w:rPr>
        <w:drawing>
          <wp:inline distT="0" distB="0" distL="0" distR="0" wp14:anchorId="08180F71" wp14:editId="288EBD3C">
            <wp:extent cx="5143500" cy="3676650"/>
            <wp:effectExtent l="38100" t="38100" r="38100" b="38100"/>
            <wp:docPr id="3" name="Chart 3" descr="0% - 5% 42% 31%&#10;6% - 15% 19% 22%&#10;16% - 25% 15% 16%&#10;26% - 35% 8% 9%&#10;36% - 45% 3% 5%&#10;46% - 55% 4% 4%&#10;56% - 65% 0% 3%&#10;66% - 75% 1% 1%&#10;76% - 85% 1% 2%&#10;86% - 95% 1% 1%&#10;96% - 99% 0% 0%&#10;100% 8% 6%&#10;" title="Health 2013 compared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66ED4" w:rsidRPr="00CD3A14" w:rsidRDefault="00566ED4" w:rsidP="004B1F76">
      <w:pPr>
        <w:pStyle w:val="AGRBodyText"/>
        <w:rPr>
          <w:noProof w:val="0"/>
          <w:lang w:val="en-AU"/>
        </w:rPr>
      </w:pPr>
      <w:r>
        <w:rPr>
          <w:noProof w:val="0"/>
          <w:lang w:val="en-AU"/>
        </w:rPr>
        <w:t>A similar comparison is unable to be made for the Department of Education as this is the first year such an analysis has been undertaken.</w:t>
      </w:r>
    </w:p>
    <w:p w:rsidR="007D267A" w:rsidRPr="00CD3A14" w:rsidRDefault="007D267A" w:rsidP="007D267A">
      <w:pPr>
        <w:pStyle w:val="AGRHeading1"/>
      </w:pPr>
      <w:r w:rsidRPr="00CD3A14">
        <w:t xml:space="preserve">Selected Agencies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Education has commented:</w:t>
            </w:r>
          </w:p>
        </w:tc>
      </w:tr>
      <w:tr w:rsidR="001E5E5C" w:rsidRPr="0018172D" w:rsidTr="005E1FE4">
        <w:tc>
          <w:tcPr>
            <w:tcW w:w="8151" w:type="dxa"/>
            <w:shd w:val="clear" w:color="auto" w:fill="F2F2F2" w:themeFill="background1" w:themeFillShade="F2"/>
          </w:tcPr>
          <w:p w:rsidR="001E5E5C" w:rsidRPr="0018172D" w:rsidRDefault="00791FF8" w:rsidP="00791FF8">
            <w:pPr>
              <w:pStyle w:val="StyleAGRBodyCommentJustifiedLeft0cmPatternClearBa"/>
              <w:rPr>
                <w:sz w:val="21"/>
                <w:szCs w:val="21"/>
              </w:rPr>
            </w:pPr>
            <w:r w:rsidRPr="00791FF8">
              <w:rPr>
                <w:sz w:val="21"/>
                <w:szCs w:val="21"/>
              </w:rPr>
              <w:t>The Department of Education acknowledges the review findings and has taken action to</w:t>
            </w:r>
            <w:r>
              <w:rPr>
                <w:sz w:val="21"/>
                <w:szCs w:val="21"/>
              </w:rPr>
              <w:t xml:space="preserve"> </w:t>
            </w:r>
            <w:r w:rsidRPr="00791FF8">
              <w:rPr>
                <w:sz w:val="21"/>
                <w:szCs w:val="21"/>
              </w:rPr>
              <w:t>address all of the issues raised. It should be noted that a number of the unusual transactions</w:t>
            </w:r>
            <w:r>
              <w:rPr>
                <w:sz w:val="21"/>
                <w:szCs w:val="21"/>
              </w:rPr>
              <w:t xml:space="preserve"> </w:t>
            </w:r>
            <w:r w:rsidRPr="00791FF8">
              <w:rPr>
                <w:sz w:val="21"/>
                <w:szCs w:val="21"/>
              </w:rPr>
              <w:t>reported in the review were found to relate to legitimate fuel transactions. A number of</w:t>
            </w:r>
            <w:r>
              <w:rPr>
                <w:sz w:val="21"/>
                <w:szCs w:val="21"/>
              </w:rPr>
              <w:t xml:space="preserve"> </w:t>
            </w:r>
            <w:r w:rsidRPr="00791FF8">
              <w:rPr>
                <w:sz w:val="21"/>
                <w:szCs w:val="21"/>
              </w:rPr>
              <w:t>instances relating to incorrect fuel type or missing or incorrect odometer readings were due to</w:t>
            </w:r>
            <w:r>
              <w:rPr>
                <w:sz w:val="21"/>
                <w:szCs w:val="21"/>
              </w:rPr>
              <w:t xml:space="preserve"> </w:t>
            </w:r>
            <w:r w:rsidRPr="00791FF8">
              <w:rPr>
                <w:sz w:val="21"/>
                <w:szCs w:val="21"/>
              </w:rPr>
              <w:t>fuel provider system or operator error. The department continues to monitor fuel card</w:t>
            </w:r>
            <w:r>
              <w:rPr>
                <w:sz w:val="21"/>
                <w:szCs w:val="21"/>
              </w:rPr>
              <w:t xml:space="preserve"> </w:t>
            </w:r>
            <w:r w:rsidRPr="00791FF8">
              <w:rPr>
                <w:sz w:val="21"/>
                <w:szCs w:val="21"/>
              </w:rPr>
              <w:t>transactions regularly and address anomalies as soon as they arise. All vehicle custodians</w:t>
            </w:r>
            <w:r>
              <w:rPr>
                <w:sz w:val="21"/>
                <w:szCs w:val="21"/>
              </w:rPr>
              <w:t xml:space="preserve"> </w:t>
            </w:r>
            <w:r w:rsidRPr="00791FF8">
              <w:rPr>
                <w:sz w:val="21"/>
                <w:szCs w:val="21"/>
              </w:rPr>
              <w:t>have been reminded of their responsibilities and the need to adhere to Northern Territory</w:t>
            </w:r>
            <w:r>
              <w:rPr>
                <w:sz w:val="21"/>
                <w:szCs w:val="21"/>
              </w:rPr>
              <w:t xml:space="preserve"> </w:t>
            </w:r>
            <w:r w:rsidRPr="00791FF8">
              <w:rPr>
                <w:sz w:val="21"/>
                <w:szCs w:val="21"/>
              </w:rPr>
              <w:t>Government and departmental policies and procedures relating to vehicle usage, fuel card</w:t>
            </w:r>
            <w:r>
              <w:rPr>
                <w:sz w:val="21"/>
                <w:szCs w:val="21"/>
              </w:rPr>
              <w:t xml:space="preserve"> </w:t>
            </w:r>
            <w:r w:rsidRPr="00791FF8">
              <w:rPr>
                <w:sz w:val="21"/>
                <w:szCs w:val="21"/>
              </w:rPr>
              <w:t>usage and fuel expenditure.</w:t>
            </w:r>
          </w:p>
        </w:tc>
      </w:tr>
    </w:tbl>
    <w:p w:rsidR="001E5E5C" w:rsidRDefault="001E5E5C" w:rsidP="001E5E5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Health has commented:</w:t>
            </w:r>
          </w:p>
        </w:tc>
      </w:tr>
      <w:tr w:rsidR="001E5E5C" w:rsidRPr="0018172D" w:rsidTr="005E1FE4">
        <w:tc>
          <w:tcPr>
            <w:tcW w:w="8151" w:type="dxa"/>
            <w:shd w:val="clear" w:color="auto" w:fill="F2F2F2" w:themeFill="background1" w:themeFillShade="F2"/>
          </w:tcPr>
          <w:p w:rsidR="001E5E5C" w:rsidRPr="0018172D" w:rsidRDefault="004C233A" w:rsidP="005E1FE4">
            <w:pPr>
              <w:pStyle w:val="StyleAGRBodyCommentJustifiedLeft0cmPatternClearBa"/>
              <w:rPr>
                <w:sz w:val="21"/>
                <w:szCs w:val="21"/>
              </w:rPr>
            </w:pPr>
            <w:r w:rsidRPr="004C233A">
              <w:rPr>
                <w:sz w:val="21"/>
                <w:szCs w:val="21"/>
              </w:rPr>
              <w:t>The Agency is pleased by the performance improvements identified within the August 2015 Report. The Agency will now include processes which provide timely reminders to staff of compliance requirements and their responsibilities in the use of fuel cards to reinforce a culture of accountability</w:t>
            </w:r>
            <w:r w:rsidR="001E5E5C" w:rsidRPr="0018172D">
              <w:rPr>
                <w:sz w:val="21"/>
                <w:szCs w:val="21"/>
              </w:rPr>
              <w:t>.</w:t>
            </w:r>
          </w:p>
        </w:tc>
      </w:tr>
    </w:tbl>
    <w:p w:rsidR="007D267A" w:rsidRPr="00CD3A14" w:rsidRDefault="007D267A" w:rsidP="0013400B">
      <w:pPr>
        <w:pStyle w:val="AGRBodyText"/>
        <w:rPr>
          <w:noProof w:val="0"/>
          <w:lang w:val="en-AU"/>
        </w:rPr>
      </w:pPr>
    </w:p>
    <w:p w:rsidR="0004358D" w:rsidRPr="00CD3A14" w:rsidRDefault="0004358D" w:rsidP="0013400B">
      <w:pPr>
        <w:pStyle w:val="AGRBulletText"/>
        <w:rPr>
          <w:noProof w:val="0"/>
          <w:lang w:val="en-AU"/>
        </w:rPr>
      </w:pPr>
      <w:r w:rsidRPr="00CD3A14">
        <w:rPr>
          <w:noProof w:val="0"/>
          <w:lang w:val="en-AU"/>
        </w:rPr>
        <w:br w:type="page"/>
      </w:r>
    </w:p>
    <w:p w:rsidR="00226D93" w:rsidRPr="00CD3A14" w:rsidRDefault="00226D93" w:rsidP="00226D93">
      <w:pPr>
        <w:pStyle w:val="AGRHeading1"/>
      </w:pPr>
      <w:bookmarkStart w:id="32" w:name="central_australian_hospital_network"/>
      <w:r w:rsidRPr="00CD3A14">
        <w:t>Selected Agencies</w:t>
      </w:r>
      <w:bookmarkEnd w:id="32"/>
    </w:p>
    <w:p w:rsidR="00226D93" w:rsidRPr="00CD3A14" w:rsidRDefault="00226D93" w:rsidP="00226D93">
      <w:pPr>
        <w:pStyle w:val="AGRHeading2"/>
      </w:pPr>
      <w:bookmarkStart w:id="33" w:name="Purchasing_cards"/>
      <w:r w:rsidRPr="00CD3A14">
        <w:t>Purchasing Cards</w:t>
      </w:r>
      <w:bookmarkEnd w:id="33"/>
    </w:p>
    <w:p w:rsidR="00226D93" w:rsidRPr="00CD3A14" w:rsidRDefault="00226D93" w:rsidP="00226D93">
      <w:pPr>
        <w:pStyle w:val="AGRHeading3"/>
      </w:pPr>
      <w:r w:rsidRPr="00CD3A14">
        <w:t>Background</w:t>
      </w:r>
    </w:p>
    <w:p w:rsidR="00115DD0" w:rsidRPr="00CD3A14" w:rsidRDefault="00115DD0" w:rsidP="0013400B">
      <w:pPr>
        <w:pStyle w:val="AGRBodyText"/>
        <w:rPr>
          <w:noProof w:val="0"/>
          <w:lang w:val="en-AU"/>
        </w:rPr>
      </w:pPr>
      <w:r w:rsidRPr="00CD3A14">
        <w:rPr>
          <w:noProof w:val="0"/>
          <w:lang w:val="en-AU"/>
        </w:rPr>
        <w:t xml:space="preserve">The Electronic Card Management System (the system) is an on-line web based system used by Northern Territory Government corporate credit card holders to process their credit card transactions. The system incorporates a </w:t>
      </w:r>
      <w:proofErr w:type="spellStart"/>
      <w:r w:rsidRPr="00CD3A14">
        <w:rPr>
          <w:noProof w:val="0"/>
          <w:lang w:val="en-AU"/>
        </w:rPr>
        <w:t>cabcharge</w:t>
      </w:r>
      <w:proofErr w:type="spellEnd"/>
      <w:r w:rsidRPr="00CD3A14">
        <w:rPr>
          <w:noProof w:val="0"/>
          <w:lang w:val="en-AU"/>
        </w:rPr>
        <w:t xml:space="preserve"> module which provides an online processing and management solution for processing </w:t>
      </w:r>
      <w:proofErr w:type="spellStart"/>
      <w:r w:rsidRPr="00CD3A14">
        <w:rPr>
          <w:noProof w:val="0"/>
          <w:lang w:val="en-AU"/>
        </w:rPr>
        <w:t>cabcharge</w:t>
      </w:r>
      <w:proofErr w:type="spellEnd"/>
      <w:r w:rsidRPr="00CD3A14">
        <w:rPr>
          <w:noProof w:val="0"/>
          <w:lang w:val="en-AU"/>
        </w:rPr>
        <w:t xml:space="preserve"> transactions. </w:t>
      </w:r>
    </w:p>
    <w:p w:rsidR="00226D93" w:rsidRPr="00CD3A14" w:rsidRDefault="00115DD0" w:rsidP="0013400B">
      <w:pPr>
        <w:pStyle w:val="AGRBodyText"/>
        <w:rPr>
          <w:noProof w:val="0"/>
          <w:lang w:val="en-AU"/>
        </w:rPr>
      </w:pPr>
      <w:r w:rsidRPr="00CD3A14">
        <w:rPr>
          <w:noProof w:val="0"/>
          <w:lang w:val="en-AU"/>
        </w:rPr>
        <w:t>My Authorised Auditors assessed the technology and monitoring controls associated with purchasing card transactions including:</w:t>
      </w:r>
    </w:p>
    <w:p w:rsidR="00226D93" w:rsidRPr="00CD3A14" w:rsidRDefault="00226D93" w:rsidP="0013400B">
      <w:pPr>
        <w:pStyle w:val="AGRBulletText"/>
        <w:numPr>
          <w:ilvl w:val="0"/>
          <w:numId w:val="14"/>
        </w:numPr>
        <w:rPr>
          <w:noProof w:val="0"/>
          <w:lang w:val="en-AU"/>
        </w:rPr>
      </w:pPr>
      <w:r w:rsidRPr="00CD3A14">
        <w:rPr>
          <w:noProof w:val="0"/>
          <w:lang w:val="en-AU"/>
        </w:rPr>
        <w:t>General computer controls for the system;</w:t>
      </w:r>
    </w:p>
    <w:p w:rsidR="00226D93" w:rsidRPr="00CD3A14" w:rsidRDefault="00226D93" w:rsidP="0013400B">
      <w:pPr>
        <w:pStyle w:val="AGRBulletText"/>
        <w:numPr>
          <w:ilvl w:val="0"/>
          <w:numId w:val="14"/>
        </w:numPr>
        <w:rPr>
          <w:noProof w:val="0"/>
          <w:lang w:val="en-AU"/>
        </w:rPr>
      </w:pPr>
      <w:r w:rsidRPr="00CD3A14">
        <w:rPr>
          <w:noProof w:val="0"/>
          <w:lang w:val="en-AU"/>
        </w:rPr>
        <w:t>Application controls; and</w:t>
      </w:r>
    </w:p>
    <w:p w:rsidR="00226D93" w:rsidRPr="00CD3A14" w:rsidRDefault="00226D93" w:rsidP="0013400B">
      <w:pPr>
        <w:pStyle w:val="AGRBulletText"/>
        <w:numPr>
          <w:ilvl w:val="0"/>
          <w:numId w:val="14"/>
        </w:numPr>
        <w:rPr>
          <w:noProof w:val="0"/>
          <w:lang w:val="en-AU"/>
        </w:rPr>
      </w:pPr>
      <w:r w:rsidRPr="00CD3A14">
        <w:rPr>
          <w:noProof w:val="0"/>
          <w:lang w:val="en-AU"/>
        </w:rPr>
        <w:t>Transaction monitoring controls.</w:t>
      </w:r>
    </w:p>
    <w:p w:rsidR="00226D93" w:rsidRPr="00CD3A14" w:rsidRDefault="00115DD0" w:rsidP="0013400B">
      <w:pPr>
        <w:pStyle w:val="AGRBodyText"/>
        <w:rPr>
          <w:noProof w:val="0"/>
          <w:lang w:val="en-AU"/>
        </w:rPr>
      </w:pPr>
      <w:r w:rsidRPr="00CD3A14">
        <w:rPr>
          <w:noProof w:val="0"/>
          <w:lang w:val="en-AU"/>
        </w:rPr>
        <w:t xml:space="preserve">The task also included the use of data analytics to identify transactions, during the period 1 January 2014 to 31 July 2014, which displayed unusual characteristics.  The details for these transactions were forwarded to the relevant Department for management review and appropriate investigation as </w:t>
      </w:r>
      <w:r w:rsidR="00685E14" w:rsidRPr="00CD3A14">
        <w:rPr>
          <w:noProof w:val="0"/>
          <w:lang w:val="en-AU"/>
        </w:rPr>
        <w:t>necessary</w:t>
      </w:r>
      <w:r w:rsidR="00226D93" w:rsidRPr="00CD3A14">
        <w:rPr>
          <w:noProof w:val="0"/>
          <w:lang w:val="en-AU"/>
        </w:rPr>
        <w:t xml:space="preserve">. </w:t>
      </w:r>
    </w:p>
    <w:p w:rsidR="00226D93" w:rsidRPr="00CD3A14" w:rsidRDefault="00226D93" w:rsidP="00226D93">
      <w:pPr>
        <w:pStyle w:val="AGRHeading3"/>
      </w:pPr>
      <w:r w:rsidRPr="00CD3A14">
        <w:t>Key Findings</w:t>
      </w:r>
    </w:p>
    <w:p w:rsidR="00226D93" w:rsidRPr="00CD3A14" w:rsidRDefault="00226D93" w:rsidP="00226D93">
      <w:pPr>
        <w:pStyle w:val="AGRHeading4"/>
      </w:pPr>
      <w:r w:rsidRPr="00CD3A14">
        <w:t>The System</w:t>
      </w:r>
    </w:p>
    <w:p w:rsidR="00226D93" w:rsidRPr="00CD3A14" w:rsidRDefault="00115DD0" w:rsidP="0013400B">
      <w:pPr>
        <w:pStyle w:val="AGRBodyText"/>
        <w:rPr>
          <w:noProof w:val="0"/>
          <w:lang w:val="en-AU"/>
        </w:rPr>
      </w:pPr>
      <w:r w:rsidRPr="00CD3A14">
        <w:rPr>
          <w:noProof w:val="0"/>
          <w:lang w:val="en-AU"/>
        </w:rPr>
        <w:t>The general and application computer controls component of this task was conducted at the Department of Corporate and Information Services.  As a result of this assessment, the recommendations below were provided to the Department of Corporate and Information Services to enhance the security and effectiveness of the system</w:t>
      </w:r>
      <w:r w:rsidR="00226D93" w:rsidRPr="00CD3A14">
        <w:rPr>
          <w:noProof w:val="0"/>
          <w:lang w:val="en-AU"/>
        </w:rPr>
        <w:t>:</w:t>
      </w:r>
    </w:p>
    <w:p w:rsidR="00115DD0" w:rsidRPr="00CD3A14" w:rsidRDefault="00115DD0" w:rsidP="0013400B">
      <w:pPr>
        <w:pStyle w:val="AGRBulletText"/>
        <w:numPr>
          <w:ilvl w:val="0"/>
          <w:numId w:val="14"/>
        </w:numPr>
        <w:rPr>
          <w:noProof w:val="0"/>
          <w:lang w:val="en-AU"/>
        </w:rPr>
      </w:pPr>
      <w:r w:rsidRPr="00CD3A14">
        <w:rPr>
          <w:noProof w:val="0"/>
          <w:lang w:val="en-AU"/>
        </w:rPr>
        <w:t>Enabling password complexity checking, and password expiry within the system;</w:t>
      </w:r>
    </w:p>
    <w:p w:rsidR="00115DD0" w:rsidRPr="00CD3A14" w:rsidRDefault="00115DD0" w:rsidP="0013400B">
      <w:pPr>
        <w:pStyle w:val="AGRBulletText"/>
        <w:numPr>
          <w:ilvl w:val="0"/>
          <w:numId w:val="14"/>
        </w:numPr>
        <w:rPr>
          <w:noProof w:val="0"/>
          <w:lang w:val="en-AU"/>
        </w:rPr>
      </w:pPr>
      <w:r w:rsidRPr="00CD3A14">
        <w:rPr>
          <w:noProof w:val="0"/>
          <w:lang w:val="en-AU"/>
        </w:rPr>
        <w:t>Disabling generic Administrator accounts and implementing user-specific administration accounts;</w:t>
      </w:r>
    </w:p>
    <w:p w:rsidR="00115DD0" w:rsidRPr="00CD3A14" w:rsidRDefault="00115DD0" w:rsidP="0013400B">
      <w:pPr>
        <w:pStyle w:val="AGRBulletText"/>
        <w:numPr>
          <w:ilvl w:val="0"/>
          <w:numId w:val="14"/>
        </w:numPr>
        <w:rPr>
          <w:noProof w:val="0"/>
          <w:lang w:val="en-AU"/>
        </w:rPr>
      </w:pPr>
      <w:r w:rsidRPr="00CD3A14">
        <w:rPr>
          <w:noProof w:val="0"/>
          <w:lang w:val="en-AU"/>
        </w:rPr>
        <w:t>Enabling automatic screen locking for idle remote desktop sessions;</w:t>
      </w:r>
    </w:p>
    <w:p w:rsidR="00115DD0" w:rsidRPr="00CD3A14" w:rsidRDefault="00115DD0" w:rsidP="0013400B">
      <w:pPr>
        <w:pStyle w:val="AGRBulletText"/>
        <w:numPr>
          <w:ilvl w:val="0"/>
          <w:numId w:val="14"/>
        </w:numPr>
        <w:rPr>
          <w:noProof w:val="0"/>
          <w:lang w:val="en-AU"/>
        </w:rPr>
      </w:pPr>
      <w:r w:rsidRPr="00CD3A14">
        <w:rPr>
          <w:noProof w:val="0"/>
          <w:lang w:val="en-AU"/>
        </w:rPr>
        <w:t>Disabling the ability to ‘Allow anonymous connections’ on the production server File Transfer Protocol site;</w:t>
      </w:r>
    </w:p>
    <w:p w:rsidR="00115DD0" w:rsidRPr="00CD3A14" w:rsidRDefault="00115DD0" w:rsidP="0013400B">
      <w:pPr>
        <w:pStyle w:val="AGRBulletText"/>
        <w:numPr>
          <w:ilvl w:val="0"/>
          <w:numId w:val="14"/>
        </w:numPr>
        <w:rPr>
          <w:noProof w:val="0"/>
          <w:lang w:val="en-AU"/>
        </w:rPr>
      </w:pPr>
      <w:r w:rsidRPr="00CD3A14">
        <w:rPr>
          <w:noProof w:val="0"/>
          <w:lang w:val="en-AU"/>
        </w:rPr>
        <w:t xml:space="preserve">Undertaking periodic </w:t>
      </w:r>
      <w:r w:rsidR="004B1F76">
        <w:rPr>
          <w:noProof w:val="0"/>
          <w:lang w:val="en-AU"/>
        </w:rPr>
        <w:t xml:space="preserve">review </w:t>
      </w:r>
      <w:r w:rsidRPr="00CD3A14">
        <w:rPr>
          <w:noProof w:val="0"/>
          <w:lang w:val="en-AU"/>
        </w:rPr>
        <w:t>of system users assigned the ‘verifier’ role to confirm the level of access is still appr</w:t>
      </w:r>
      <w:r w:rsidR="004B1F76">
        <w:rPr>
          <w:noProof w:val="0"/>
          <w:lang w:val="en-AU"/>
        </w:rPr>
        <w:t>o</w:t>
      </w:r>
      <w:r w:rsidRPr="00CD3A14">
        <w:rPr>
          <w:noProof w:val="0"/>
          <w:lang w:val="en-AU"/>
        </w:rPr>
        <w:t>priate and required;</w:t>
      </w:r>
    </w:p>
    <w:p w:rsidR="00392F54" w:rsidRPr="00CD3A14" w:rsidRDefault="00392F54" w:rsidP="00392F54">
      <w:pPr>
        <w:pStyle w:val="AGRHeading1"/>
      </w:pPr>
      <w:r w:rsidRPr="00CD3A14">
        <w:t xml:space="preserve">Selected Agencies </w:t>
      </w:r>
      <w:proofErr w:type="spellStart"/>
      <w:r w:rsidRPr="00CD3A14">
        <w:t>cont</w:t>
      </w:r>
      <w:proofErr w:type="spellEnd"/>
      <w:r w:rsidRPr="00CD3A14">
        <w:t>….</w:t>
      </w:r>
    </w:p>
    <w:p w:rsidR="00115DD0" w:rsidRPr="00CD3A14" w:rsidRDefault="00115DD0" w:rsidP="0013400B">
      <w:pPr>
        <w:pStyle w:val="AGRBulletText"/>
        <w:numPr>
          <w:ilvl w:val="0"/>
          <w:numId w:val="14"/>
        </w:numPr>
        <w:rPr>
          <w:noProof w:val="0"/>
          <w:lang w:val="en-AU"/>
        </w:rPr>
      </w:pPr>
      <w:r w:rsidRPr="00CD3A14">
        <w:rPr>
          <w:noProof w:val="0"/>
          <w:lang w:val="en-AU"/>
        </w:rPr>
        <w:t>Ensuring that the user’s account is cancelled when notification is received that the user is no longer employed, the credit card has been cancelled, or the user is no longer a verifier; and</w:t>
      </w:r>
    </w:p>
    <w:p w:rsidR="00226D93" w:rsidRPr="00CD3A14" w:rsidRDefault="00115DD0" w:rsidP="0013400B">
      <w:pPr>
        <w:pStyle w:val="AGRBulletText"/>
        <w:numPr>
          <w:ilvl w:val="0"/>
          <w:numId w:val="14"/>
        </w:numPr>
        <w:rPr>
          <w:noProof w:val="0"/>
          <w:lang w:val="en-AU"/>
        </w:rPr>
      </w:pPr>
      <w:r w:rsidRPr="00CD3A14">
        <w:rPr>
          <w:noProof w:val="0"/>
          <w:lang w:val="en-AU"/>
        </w:rPr>
        <w:t xml:space="preserve">Disabling administration accounts (used by the system’s vendor) by </w:t>
      </w:r>
      <w:proofErr w:type="gramStart"/>
      <w:r w:rsidRPr="00CD3A14">
        <w:rPr>
          <w:noProof w:val="0"/>
          <w:lang w:val="en-AU"/>
        </w:rPr>
        <w:t>default,</w:t>
      </w:r>
      <w:proofErr w:type="gramEnd"/>
      <w:r w:rsidRPr="00CD3A14">
        <w:rPr>
          <w:noProof w:val="0"/>
          <w:lang w:val="en-AU"/>
        </w:rPr>
        <w:t xml:space="preserve"> and only enabling administration accounts when there is an authorised support request or change.</w:t>
      </w:r>
    </w:p>
    <w:p w:rsidR="00226D93" w:rsidRPr="00CD3A14" w:rsidRDefault="00226D93" w:rsidP="00226D93">
      <w:pPr>
        <w:pStyle w:val="AGRHeading3"/>
      </w:pPr>
      <w:r w:rsidRPr="00CD3A14">
        <w:t>Analytics</w:t>
      </w:r>
    </w:p>
    <w:p w:rsidR="00226D93" w:rsidRPr="00CD3A14" w:rsidRDefault="00115DD0" w:rsidP="0013400B">
      <w:pPr>
        <w:pStyle w:val="AGRBodyText"/>
        <w:rPr>
          <w:noProof w:val="0"/>
          <w:lang w:val="en-AU"/>
        </w:rPr>
      </w:pPr>
      <w:r w:rsidRPr="00CD3A14">
        <w:rPr>
          <w:noProof w:val="0"/>
          <w:lang w:val="en-AU"/>
        </w:rPr>
        <w:t>During the period 1 January to 31 July 2014, 97,220 transactions, with a value of $29 million, were processed within the system.  The top five departments, by expenditure, were</w:t>
      </w:r>
      <w:r w:rsidR="00226D93" w:rsidRPr="00CD3A14">
        <w:rPr>
          <w:noProof w:val="0"/>
          <w:lang w:val="en-AU"/>
        </w:rPr>
        <w:t>:</w:t>
      </w:r>
    </w:p>
    <w:tbl>
      <w:tblPr>
        <w:tblStyle w:val="TableGrid"/>
        <w:tblW w:w="850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op five departments by expenditure"/>
        <w:tblDescription w:val="Department $ Transactions&#10;Northern Territory Police, Fire and Emergency Services  $5.2 million  14,883 &#10;Department of Health  $4.2 million  14,049 &#10;Department of Correctional Services  $2.0 million  6,228 &#10;Department of Primary Industry and Fisheries  $1.8 million   5,997 &#10;Department of Education  $1.7 million  4,995&#10;Total $14.9 million 46,152&#10;"/>
      </w:tblPr>
      <w:tblGrid>
        <w:gridCol w:w="5214"/>
        <w:gridCol w:w="1731"/>
        <w:gridCol w:w="1560"/>
      </w:tblGrid>
      <w:tr w:rsidR="00226D93" w:rsidRPr="00CD3A14" w:rsidTr="00492BD8">
        <w:trPr>
          <w:tblHeader/>
        </w:trPr>
        <w:tc>
          <w:tcPr>
            <w:tcW w:w="5214" w:type="dxa"/>
            <w:shd w:val="clear" w:color="auto" w:fill="F2F2F2"/>
          </w:tcPr>
          <w:p w:rsidR="00226D93" w:rsidRPr="00CD3A14" w:rsidRDefault="00226D93" w:rsidP="00226D93">
            <w:pPr>
              <w:pStyle w:val="AGRTableText"/>
              <w:spacing w:after="0"/>
              <w:jc w:val="center"/>
              <w:rPr>
                <w:b/>
                <w:bCs/>
              </w:rPr>
            </w:pPr>
            <w:r w:rsidRPr="00CD3A14">
              <w:rPr>
                <w:b/>
                <w:bCs/>
              </w:rPr>
              <w:t>Department</w:t>
            </w:r>
          </w:p>
        </w:tc>
        <w:tc>
          <w:tcPr>
            <w:tcW w:w="1731" w:type="dxa"/>
            <w:shd w:val="clear" w:color="auto" w:fill="F2F2F2"/>
          </w:tcPr>
          <w:p w:rsidR="00226D93" w:rsidRPr="00CD3A14" w:rsidRDefault="00226D93" w:rsidP="00226D93">
            <w:pPr>
              <w:pStyle w:val="AGRTableText"/>
              <w:spacing w:after="0"/>
              <w:jc w:val="center"/>
              <w:rPr>
                <w:b/>
                <w:bCs/>
              </w:rPr>
            </w:pPr>
            <w:r w:rsidRPr="00CD3A14">
              <w:rPr>
                <w:b/>
                <w:bCs/>
              </w:rPr>
              <w:t>$</w:t>
            </w:r>
          </w:p>
        </w:tc>
        <w:tc>
          <w:tcPr>
            <w:tcW w:w="1560" w:type="dxa"/>
            <w:shd w:val="clear" w:color="auto" w:fill="F2F2F2"/>
          </w:tcPr>
          <w:p w:rsidR="00226D93" w:rsidRPr="00CD3A14" w:rsidRDefault="00226D93" w:rsidP="00226D93">
            <w:pPr>
              <w:pStyle w:val="AGRTableText"/>
              <w:spacing w:after="0"/>
              <w:jc w:val="center"/>
              <w:rPr>
                <w:b/>
                <w:bCs/>
              </w:rPr>
            </w:pPr>
            <w:r w:rsidRPr="00CD3A14">
              <w:rPr>
                <w:b/>
                <w:bCs/>
              </w:rPr>
              <w:t>Transactions</w:t>
            </w:r>
          </w:p>
        </w:tc>
      </w:tr>
      <w:tr w:rsidR="00226D93" w:rsidRPr="00CD3A14" w:rsidTr="00226D93">
        <w:tc>
          <w:tcPr>
            <w:tcW w:w="5214" w:type="dxa"/>
          </w:tcPr>
          <w:p w:rsidR="00226D93" w:rsidRPr="00CD3A14" w:rsidRDefault="00226D93" w:rsidP="00226D93">
            <w:pPr>
              <w:pStyle w:val="AGRTableText"/>
            </w:pPr>
            <w:r w:rsidRPr="00CD3A14">
              <w:t>Northern Territory Police, Fire and Emergency Services</w:t>
            </w:r>
          </w:p>
        </w:tc>
        <w:tc>
          <w:tcPr>
            <w:tcW w:w="1731" w:type="dxa"/>
          </w:tcPr>
          <w:p w:rsidR="00226D93" w:rsidRPr="00CD3A14" w:rsidRDefault="00226D93" w:rsidP="00226D93">
            <w:pPr>
              <w:pStyle w:val="AGRTableText"/>
              <w:tabs>
                <w:tab w:val="decimal" w:pos="348"/>
              </w:tabs>
            </w:pPr>
            <w:r w:rsidRPr="00CD3A14">
              <w:t xml:space="preserve"> $5.2 million</w:t>
            </w:r>
          </w:p>
        </w:tc>
        <w:tc>
          <w:tcPr>
            <w:tcW w:w="1560" w:type="dxa"/>
          </w:tcPr>
          <w:p w:rsidR="00226D93" w:rsidRPr="00CD3A14" w:rsidRDefault="00226D93" w:rsidP="00226D93">
            <w:pPr>
              <w:pStyle w:val="AGRTableText"/>
              <w:tabs>
                <w:tab w:val="decimal" w:pos="1065"/>
              </w:tabs>
            </w:pPr>
            <w:r w:rsidRPr="00CD3A14">
              <w:t xml:space="preserve"> 14,883 </w:t>
            </w:r>
          </w:p>
        </w:tc>
      </w:tr>
      <w:tr w:rsidR="00226D93" w:rsidRPr="00CD3A14" w:rsidTr="00226D93">
        <w:tc>
          <w:tcPr>
            <w:tcW w:w="5214" w:type="dxa"/>
          </w:tcPr>
          <w:p w:rsidR="00226D93" w:rsidRPr="00CD3A14" w:rsidRDefault="00226D93" w:rsidP="00226D93">
            <w:pPr>
              <w:pStyle w:val="AGRTableText"/>
            </w:pPr>
            <w:r w:rsidRPr="00CD3A14">
              <w:t>Department of Health</w:t>
            </w:r>
          </w:p>
        </w:tc>
        <w:tc>
          <w:tcPr>
            <w:tcW w:w="1731" w:type="dxa"/>
          </w:tcPr>
          <w:p w:rsidR="00226D93" w:rsidRPr="00CD3A14" w:rsidRDefault="00226D93" w:rsidP="00226D93">
            <w:pPr>
              <w:pStyle w:val="AGRTableText"/>
              <w:tabs>
                <w:tab w:val="decimal" w:pos="348"/>
              </w:tabs>
            </w:pPr>
            <w:r w:rsidRPr="00CD3A14">
              <w:t xml:space="preserve"> $4.2 million</w:t>
            </w:r>
          </w:p>
        </w:tc>
        <w:tc>
          <w:tcPr>
            <w:tcW w:w="1560" w:type="dxa"/>
          </w:tcPr>
          <w:p w:rsidR="00226D93" w:rsidRPr="00CD3A14" w:rsidRDefault="00226D93" w:rsidP="00226D93">
            <w:pPr>
              <w:pStyle w:val="AGRTableText"/>
              <w:tabs>
                <w:tab w:val="decimal" w:pos="1065"/>
              </w:tabs>
            </w:pPr>
            <w:r w:rsidRPr="00CD3A14">
              <w:t xml:space="preserve"> 14,049 </w:t>
            </w:r>
          </w:p>
        </w:tc>
      </w:tr>
      <w:tr w:rsidR="00226D93" w:rsidRPr="00CD3A14" w:rsidTr="00226D93">
        <w:tc>
          <w:tcPr>
            <w:tcW w:w="5214" w:type="dxa"/>
          </w:tcPr>
          <w:p w:rsidR="00226D93" w:rsidRPr="00CD3A14" w:rsidRDefault="00226D93" w:rsidP="00226D93">
            <w:pPr>
              <w:pStyle w:val="AGRTableText"/>
            </w:pPr>
            <w:r w:rsidRPr="00CD3A14">
              <w:t>Department of Correctional Services</w:t>
            </w:r>
          </w:p>
        </w:tc>
        <w:tc>
          <w:tcPr>
            <w:tcW w:w="1731" w:type="dxa"/>
          </w:tcPr>
          <w:p w:rsidR="00226D93" w:rsidRPr="00CD3A14" w:rsidRDefault="00226D93" w:rsidP="00226D93">
            <w:pPr>
              <w:pStyle w:val="AGRTableText"/>
              <w:tabs>
                <w:tab w:val="decimal" w:pos="348"/>
              </w:tabs>
            </w:pPr>
            <w:r w:rsidRPr="00CD3A14">
              <w:t xml:space="preserve"> $2.0 million</w:t>
            </w:r>
          </w:p>
        </w:tc>
        <w:tc>
          <w:tcPr>
            <w:tcW w:w="1560" w:type="dxa"/>
          </w:tcPr>
          <w:p w:rsidR="00226D93" w:rsidRPr="00CD3A14" w:rsidRDefault="00226D93" w:rsidP="00226D93">
            <w:pPr>
              <w:pStyle w:val="AGRTableText"/>
              <w:tabs>
                <w:tab w:val="decimal" w:pos="1065"/>
              </w:tabs>
            </w:pPr>
            <w:r w:rsidRPr="00CD3A14">
              <w:t xml:space="preserve"> 6,228 </w:t>
            </w:r>
          </w:p>
        </w:tc>
      </w:tr>
      <w:tr w:rsidR="00226D93" w:rsidRPr="00CD3A14" w:rsidTr="00226D93">
        <w:tc>
          <w:tcPr>
            <w:tcW w:w="5214" w:type="dxa"/>
          </w:tcPr>
          <w:p w:rsidR="00226D93" w:rsidRPr="00CD3A14" w:rsidRDefault="00226D93" w:rsidP="00226D93">
            <w:pPr>
              <w:pStyle w:val="AGRTableText"/>
            </w:pPr>
            <w:r w:rsidRPr="00CD3A14">
              <w:t>Department of Primary Industry and Fisheries</w:t>
            </w:r>
          </w:p>
        </w:tc>
        <w:tc>
          <w:tcPr>
            <w:tcW w:w="1731" w:type="dxa"/>
          </w:tcPr>
          <w:p w:rsidR="00226D93" w:rsidRPr="00CD3A14" w:rsidRDefault="00226D93" w:rsidP="00226D93">
            <w:pPr>
              <w:pStyle w:val="AGRTableText"/>
              <w:tabs>
                <w:tab w:val="decimal" w:pos="348"/>
              </w:tabs>
            </w:pPr>
            <w:r w:rsidRPr="00CD3A14">
              <w:t xml:space="preserve"> $1.8 million </w:t>
            </w:r>
          </w:p>
        </w:tc>
        <w:tc>
          <w:tcPr>
            <w:tcW w:w="1560" w:type="dxa"/>
          </w:tcPr>
          <w:p w:rsidR="00226D93" w:rsidRPr="00CD3A14" w:rsidRDefault="00226D93" w:rsidP="00226D93">
            <w:pPr>
              <w:pStyle w:val="AGRTableText"/>
              <w:tabs>
                <w:tab w:val="decimal" w:pos="1065"/>
              </w:tabs>
            </w:pPr>
            <w:r w:rsidRPr="00CD3A14">
              <w:t xml:space="preserve"> 5,997 </w:t>
            </w:r>
          </w:p>
        </w:tc>
      </w:tr>
      <w:tr w:rsidR="00226D93" w:rsidRPr="00CD3A14" w:rsidTr="00226D93">
        <w:tc>
          <w:tcPr>
            <w:tcW w:w="5214" w:type="dxa"/>
          </w:tcPr>
          <w:p w:rsidR="00226D93" w:rsidRPr="00CD3A14" w:rsidRDefault="00226D93" w:rsidP="00226D93">
            <w:pPr>
              <w:pStyle w:val="AGRTableText"/>
            </w:pPr>
            <w:r w:rsidRPr="00CD3A14">
              <w:t>Department of Education</w:t>
            </w:r>
          </w:p>
        </w:tc>
        <w:tc>
          <w:tcPr>
            <w:tcW w:w="1731" w:type="dxa"/>
          </w:tcPr>
          <w:p w:rsidR="00226D93" w:rsidRPr="00CD3A14" w:rsidRDefault="00226D93" w:rsidP="00226D93">
            <w:pPr>
              <w:pStyle w:val="AGRTableText"/>
              <w:tabs>
                <w:tab w:val="decimal" w:pos="348"/>
              </w:tabs>
            </w:pPr>
            <w:r w:rsidRPr="00CD3A14">
              <w:t xml:space="preserve"> $1.7 million</w:t>
            </w:r>
          </w:p>
        </w:tc>
        <w:tc>
          <w:tcPr>
            <w:tcW w:w="1560" w:type="dxa"/>
          </w:tcPr>
          <w:p w:rsidR="00226D93" w:rsidRPr="00CD3A14" w:rsidRDefault="00226D93" w:rsidP="00226D93">
            <w:pPr>
              <w:pStyle w:val="AGRTableText"/>
              <w:tabs>
                <w:tab w:val="decimal" w:pos="1065"/>
              </w:tabs>
            </w:pPr>
            <w:r w:rsidRPr="00CD3A14">
              <w:t xml:space="preserve"> 4,995</w:t>
            </w:r>
          </w:p>
        </w:tc>
      </w:tr>
      <w:tr w:rsidR="00226D93" w:rsidRPr="00CD3A14" w:rsidTr="00226D93">
        <w:tc>
          <w:tcPr>
            <w:tcW w:w="5214" w:type="dxa"/>
            <w:tcBorders>
              <w:bottom w:val="single" w:sz="4" w:space="0" w:color="auto"/>
            </w:tcBorders>
          </w:tcPr>
          <w:p w:rsidR="00226D93" w:rsidRPr="004B1F76" w:rsidRDefault="00226D93" w:rsidP="00226D93">
            <w:pPr>
              <w:pStyle w:val="AGRTableText"/>
              <w:rPr>
                <w:b/>
              </w:rPr>
            </w:pPr>
            <w:r w:rsidRPr="004B1F76">
              <w:rPr>
                <w:b/>
              </w:rPr>
              <w:t>Total</w:t>
            </w:r>
          </w:p>
        </w:tc>
        <w:tc>
          <w:tcPr>
            <w:tcW w:w="1731" w:type="dxa"/>
            <w:tcBorders>
              <w:bottom w:val="single" w:sz="4" w:space="0" w:color="auto"/>
            </w:tcBorders>
          </w:tcPr>
          <w:p w:rsidR="00226D93" w:rsidRPr="00CD3A14" w:rsidRDefault="00226D93" w:rsidP="00226D93">
            <w:pPr>
              <w:pStyle w:val="AGRTableText"/>
              <w:tabs>
                <w:tab w:val="decimal" w:pos="348"/>
              </w:tabs>
              <w:rPr>
                <w:b/>
              </w:rPr>
            </w:pPr>
            <w:r w:rsidRPr="00CD3A14">
              <w:rPr>
                <w:b/>
              </w:rPr>
              <w:t>$14.9 million</w:t>
            </w:r>
          </w:p>
        </w:tc>
        <w:tc>
          <w:tcPr>
            <w:tcW w:w="1560" w:type="dxa"/>
            <w:tcBorders>
              <w:bottom w:val="single" w:sz="4" w:space="0" w:color="auto"/>
            </w:tcBorders>
          </w:tcPr>
          <w:p w:rsidR="00226D93" w:rsidRPr="00CD3A14" w:rsidRDefault="00115DD0" w:rsidP="00226D93">
            <w:pPr>
              <w:pStyle w:val="AGRTableText"/>
              <w:tabs>
                <w:tab w:val="decimal" w:pos="1065"/>
              </w:tabs>
              <w:rPr>
                <w:b/>
              </w:rPr>
            </w:pPr>
            <w:r w:rsidRPr="00CD3A14">
              <w:rPr>
                <w:b/>
              </w:rPr>
              <w:t>46</w:t>
            </w:r>
            <w:r w:rsidR="00226D93" w:rsidRPr="00CD3A14">
              <w:rPr>
                <w:b/>
              </w:rPr>
              <w:t>,152</w:t>
            </w:r>
          </w:p>
        </w:tc>
      </w:tr>
    </w:tbl>
    <w:p w:rsidR="00226D93" w:rsidRPr="00CD3A14" w:rsidRDefault="00115DD0" w:rsidP="0013400B">
      <w:pPr>
        <w:pStyle w:val="AGRBodyText"/>
        <w:rPr>
          <w:noProof w:val="0"/>
          <w:lang w:val="en-AU"/>
        </w:rPr>
      </w:pPr>
      <w:r w:rsidRPr="00CD3A14">
        <w:rPr>
          <w:noProof w:val="0"/>
          <w:lang w:val="en-AU"/>
        </w:rPr>
        <w:t>A small selection of transactions was chosen and referred to the relevant Department for further investigation.  These transactions were chosen as they displayed unusual characteristics.  Examples include</w:t>
      </w:r>
      <w:r w:rsidR="00226D93" w:rsidRPr="00CD3A14">
        <w:rPr>
          <w:noProof w:val="0"/>
          <w:lang w:val="en-AU"/>
        </w:rPr>
        <w:t xml:space="preserve">: </w:t>
      </w:r>
    </w:p>
    <w:p w:rsidR="00115DD0" w:rsidRPr="00CD3A14" w:rsidRDefault="00115DD0" w:rsidP="0013400B">
      <w:pPr>
        <w:pStyle w:val="AGRBulletText"/>
        <w:numPr>
          <w:ilvl w:val="0"/>
          <w:numId w:val="14"/>
        </w:numPr>
        <w:rPr>
          <w:noProof w:val="0"/>
          <w:lang w:val="en-AU"/>
        </w:rPr>
      </w:pPr>
      <w:r w:rsidRPr="00CD3A14">
        <w:rPr>
          <w:noProof w:val="0"/>
          <w:lang w:val="en-AU"/>
        </w:rPr>
        <w:t xml:space="preserve">Purchases that contravene Treasurer’s Directions, for example purchases of fuel on a </w:t>
      </w:r>
      <w:r w:rsidR="00991716">
        <w:rPr>
          <w:noProof w:val="0"/>
          <w:lang w:val="en-AU"/>
        </w:rPr>
        <w:t>purchasing</w:t>
      </w:r>
      <w:r w:rsidRPr="00CD3A14">
        <w:rPr>
          <w:noProof w:val="0"/>
          <w:lang w:val="en-AU"/>
        </w:rPr>
        <w:t xml:space="preserve"> card or payment of Traffic Infringement Notices;</w:t>
      </w:r>
    </w:p>
    <w:p w:rsidR="00115DD0" w:rsidRPr="00CD3A14" w:rsidRDefault="00115DD0" w:rsidP="0013400B">
      <w:pPr>
        <w:pStyle w:val="AGRBulletText"/>
        <w:numPr>
          <w:ilvl w:val="0"/>
          <w:numId w:val="14"/>
        </w:numPr>
        <w:rPr>
          <w:noProof w:val="0"/>
          <w:lang w:val="en-AU"/>
        </w:rPr>
      </w:pPr>
      <w:r w:rsidRPr="00CD3A14">
        <w:rPr>
          <w:noProof w:val="0"/>
          <w:lang w:val="en-AU"/>
        </w:rPr>
        <w:t>Purchases at well-known consumer product shops;</w:t>
      </w:r>
    </w:p>
    <w:p w:rsidR="00115DD0" w:rsidRPr="00CD3A14" w:rsidRDefault="00115DD0" w:rsidP="0013400B">
      <w:pPr>
        <w:pStyle w:val="AGRBulletText"/>
        <w:numPr>
          <w:ilvl w:val="0"/>
          <w:numId w:val="14"/>
        </w:numPr>
        <w:rPr>
          <w:noProof w:val="0"/>
          <w:lang w:val="en-AU"/>
        </w:rPr>
      </w:pPr>
      <w:r w:rsidRPr="00CD3A14">
        <w:rPr>
          <w:noProof w:val="0"/>
          <w:lang w:val="en-AU"/>
        </w:rPr>
        <w:t>Expense descriptions which contained specific words;</w:t>
      </w:r>
    </w:p>
    <w:p w:rsidR="00115DD0" w:rsidRPr="00CD3A14" w:rsidRDefault="00115DD0" w:rsidP="0013400B">
      <w:pPr>
        <w:pStyle w:val="AGRBulletText"/>
        <w:numPr>
          <w:ilvl w:val="0"/>
          <w:numId w:val="14"/>
        </w:numPr>
        <w:rPr>
          <w:noProof w:val="0"/>
          <w:lang w:val="en-AU"/>
        </w:rPr>
      </w:pPr>
      <w:r w:rsidRPr="00CD3A14">
        <w:rPr>
          <w:noProof w:val="0"/>
          <w:lang w:val="en-AU"/>
        </w:rPr>
        <w:t>Significant expense items;</w:t>
      </w:r>
    </w:p>
    <w:p w:rsidR="00115DD0" w:rsidRPr="00CD3A14" w:rsidRDefault="00115DD0" w:rsidP="0013400B">
      <w:pPr>
        <w:pStyle w:val="AGRBulletText"/>
        <w:numPr>
          <w:ilvl w:val="0"/>
          <w:numId w:val="14"/>
        </w:numPr>
        <w:rPr>
          <w:noProof w:val="0"/>
          <w:lang w:val="en-AU"/>
        </w:rPr>
      </w:pPr>
      <w:r w:rsidRPr="00CD3A14">
        <w:rPr>
          <w:noProof w:val="0"/>
          <w:lang w:val="en-AU"/>
        </w:rPr>
        <w:t>Expenditure incurred on a weekend or public holiday; and</w:t>
      </w:r>
    </w:p>
    <w:p w:rsidR="00226D93" w:rsidRPr="00CD3A14" w:rsidRDefault="00A91058" w:rsidP="0013400B">
      <w:pPr>
        <w:pStyle w:val="AGRBulletText"/>
        <w:numPr>
          <w:ilvl w:val="0"/>
          <w:numId w:val="14"/>
        </w:numPr>
        <w:rPr>
          <w:noProof w:val="0"/>
          <w:lang w:val="en-AU"/>
        </w:rPr>
      </w:pPr>
      <w:r w:rsidRPr="00CD3A14">
        <w:rPr>
          <w:noProof w:val="0"/>
          <w:lang w:val="en-AU"/>
        </w:rPr>
        <w:t>Same vendor in quick succession which could indicate p</w:t>
      </w:r>
      <w:r w:rsidR="00115DD0" w:rsidRPr="00CD3A14">
        <w:rPr>
          <w:noProof w:val="0"/>
          <w:lang w:val="en-AU"/>
        </w:rPr>
        <w:t>oten</w:t>
      </w:r>
      <w:r w:rsidRPr="00CD3A14">
        <w:rPr>
          <w:noProof w:val="0"/>
          <w:lang w:val="en-AU"/>
        </w:rPr>
        <w:t>tial splitting of payments.</w:t>
      </w:r>
    </w:p>
    <w:p w:rsidR="00392F54" w:rsidRPr="00CD3A14" w:rsidRDefault="00392F54" w:rsidP="00392F54">
      <w:pPr>
        <w:pStyle w:val="AGRHeading1"/>
      </w:pPr>
      <w:r w:rsidRPr="00CD3A14">
        <w:t xml:space="preserve">Selected Agencies </w:t>
      </w:r>
      <w:proofErr w:type="spellStart"/>
      <w:r w:rsidRPr="00CD3A14">
        <w:t>cont</w:t>
      </w:r>
      <w:proofErr w:type="spellEnd"/>
      <w:r w:rsidRPr="00CD3A14">
        <w:t>….</w:t>
      </w:r>
    </w:p>
    <w:p w:rsidR="00646C37" w:rsidRPr="00CD3A14" w:rsidRDefault="00115DD0" w:rsidP="0013400B">
      <w:pPr>
        <w:pStyle w:val="AGRBodyText"/>
        <w:rPr>
          <w:noProof w:val="0"/>
          <w:lang w:val="en-AU"/>
        </w:rPr>
      </w:pPr>
      <w:r w:rsidRPr="00CD3A14">
        <w:rPr>
          <w:noProof w:val="0"/>
          <w:lang w:val="en-AU"/>
        </w:rPr>
        <w:t>Whilst assessing the transactions identified within this report it should be remembered that the use of purchasing cards is simply a method of payment, it is not a different method of procurement, therefore all procurement procedures (quotations and authorisations for example) must occur prior to payment being made using the purchasing card</w:t>
      </w:r>
      <w:r w:rsidR="00646C37" w:rsidRPr="00CD3A14">
        <w:rPr>
          <w:noProof w:val="0"/>
          <w:lang w:val="en-AU"/>
        </w:rPr>
        <w:t>.</w:t>
      </w:r>
    </w:p>
    <w:p w:rsidR="00226D93" w:rsidRPr="00CD3A14" w:rsidRDefault="00226D93" w:rsidP="0013400B">
      <w:pPr>
        <w:pStyle w:val="AGRBodyText"/>
        <w:rPr>
          <w:noProof w:val="0"/>
          <w:lang w:val="en-AU"/>
        </w:rPr>
      </w:pPr>
      <w:r w:rsidRPr="00CD3A14">
        <w:rPr>
          <w:noProof w:val="0"/>
          <w:lang w:val="en-AU"/>
        </w:rPr>
        <w:t>The transactions were chosen from the following departments:</w:t>
      </w:r>
    </w:p>
    <w:p w:rsidR="00335F88" w:rsidRPr="00CD3A14" w:rsidRDefault="00335F88" w:rsidP="0013400B">
      <w:pPr>
        <w:pStyle w:val="AGRBulletText"/>
        <w:numPr>
          <w:ilvl w:val="0"/>
          <w:numId w:val="14"/>
        </w:numPr>
        <w:rPr>
          <w:noProof w:val="0"/>
          <w:lang w:val="en-AU"/>
        </w:rPr>
      </w:pPr>
      <w:r w:rsidRPr="00CD3A14">
        <w:rPr>
          <w:noProof w:val="0"/>
          <w:lang w:val="en-AU"/>
        </w:rPr>
        <w:t>Aboriginal Areas Protection Authority;</w:t>
      </w:r>
    </w:p>
    <w:p w:rsidR="00613356" w:rsidRPr="00CD3A14" w:rsidRDefault="00613356" w:rsidP="0013400B">
      <w:pPr>
        <w:pStyle w:val="AGRBulletText"/>
        <w:numPr>
          <w:ilvl w:val="0"/>
          <w:numId w:val="14"/>
        </w:numPr>
        <w:rPr>
          <w:noProof w:val="0"/>
          <w:lang w:val="en-AU"/>
        </w:rPr>
      </w:pPr>
      <w:r w:rsidRPr="00CD3A14">
        <w:rPr>
          <w:noProof w:val="0"/>
          <w:lang w:val="en-AU"/>
        </w:rPr>
        <w:t>Department of Corporate and Information Services;</w:t>
      </w:r>
    </w:p>
    <w:p w:rsidR="0010318C" w:rsidRPr="00CD3A14" w:rsidRDefault="0010318C" w:rsidP="0013400B">
      <w:pPr>
        <w:pStyle w:val="AGRBulletText"/>
        <w:numPr>
          <w:ilvl w:val="0"/>
          <w:numId w:val="14"/>
        </w:numPr>
        <w:rPr>
          <w:noProof w:val="0"/>
          <w:lang w:val="en-AU"/>
        </w:rPr>
      </w:pPr>
      <w:r w:rsidRPr="00CD3A14">
        <w:rPr>
          <w:noProof w:val="0"/>
          <w:lang w:val="en-AU"/>
        </w:rPr>
        <w:t>Department of Correctional Services;</w:t>
      </w:r>
    </w:p>
    <w:p w:rsidR="00226D93" w:rsidRPr="00CD3A14" w:rsidRDefault="00226D93" w:rsidP="0013400B">
      <w:pPr>
        <w:pStyle w:val="AGRBulletText"/>
        <w:numPr>
          <w:ilvl w:val="0"/>
          <w:numId w:val="14"/>
        </w:numPr>
        <w:rPr>
          <w:noProof w:val="0"/>
          <w:lang w:val="en-AU"/>
        </w:rPr>
      </w:pPr>
      <w:r w:rsidRPr="00CD3A14">
        <w:rPr>
          <w:noProof w:val="0"/>
          <w:lang w:val="en-AU"/>
        </w:rPr>
        <w:t>Department of Health;</w:t>
      </w:r>
    </w:p>
    <w:p w:rsidR="0023438A" w:rsidRPr="00CD3A14" w:rsidRDefault="0023438A" w:rsidP="0013400B">
      <w:pPr>
        <w:pStyle w:val="AGRBulletText"/>
        <w:numPr>
          <w:ilvl w:val="0"/>
          <w:numId w:val="14"/>
        </w:numPr>
        <w:rPr>
          <w:noProof w:val="0"/>
          <w:lang w:val="en-AU"/>
        </w:rPr>
      </w:pPr>
      <w:r w:rsidRPr="00CD3A14">
        <w:rPr>
          <w:noProof w:val="0"/>
          <w:lang w:val="en-AU"/>
        </w:rPr>
        <w:t>Department of the Attorney-General and Justice;</w:t>
      </w:r>
    </w:p>
    <w:p w:rsidR="00226D93" w:rsidRPr="00CD3A14" w:rsidRDefault="00226D93" w:rsidP="0013400B">
      <w:pPr>
        <w:pStyle w:val="AGRBulletText"/>
        <w:numPr>
          <w:ilvl w:val="0"/>
          <w:numId w:val="14"/>
        </w:numPr>
        <w:rPr>
          <w:noProof w:val="0"/>
          <w:lang w:val="en-AU"/>
        </w:rPr>
      </w:pPr>
      <w:r w:rsidRPr="00CD3A14">
        <w:rPr>
          <w:noProof w:val="0"/>
          <w:lang w:val="en-AU"/>
        </w:rPr>
        <w:t>Department of the Chief Minister;</w:t>
      </w:r>
      <w:r w:rsidR="00613356" w:rsidRPr="00CD3A14">
        <w:rPr>
          <w:noProof w:val="0"/>
          <w:lang w:val="en-AU"/>
        </w:rPr>
        <w:t xml:space="preserve"> </w:t>
      </w:r>
      <w:r w:rsidRPr="00CD3A14">
        <w:rPr>
          <w:noProof w:val="0"/>
          <w:lang w:val="en-AU"/>
        </w:rPr>
        <w:t>and</w:t>
      </w:r>
    </w:p>
    <w:p w:rsidR="00226D93" w:rsidRPr="00CD3A14" w:rsidRDefault="00226D93" w:rsidP="0013400B">
      <w:pPr>
        <w:pStyle w:val="AGRBulletText"/>
        <w:numPr>
          <w:ilvl w:val="0"/>
          <w:numId w:val="14"/>
        </w:numPr>
        <w:rPr>
          <w:noProof w:val="0"/>
          <w:lang w:val="en-AU"/>
        </w:rPr>
      </w:pPr>
      <w:r w:rsidRPr="00CD3A14">
        <w:rPr>
          <w:noProof w:val="0"/>
          <w:lang w:val="en-AU"/>
        </w:rPr>
        <w:t>Northern Territory Police, Fire and Emergency Services.</w:t>
      </w:r>
    </w:p>
    <w:p w:rsidR="00D86E0A" w:rsidRPr="00CD3A14" w:rsidRDefault="00D86E0A" w:rsidP="00D86E0A">
      <w:pPr>
        <w:pStyle w:val="AGRBodyText"/>
        <w:rPr>
          <w:noProof w:val="0"/>
          <w:lang w:val="en-AU"/>
        </w:rPr>
      </w:pPr>
      <w:r w:rsidRPr="00CD3A14">
        <w:rPr>
          <w:noProof w:val="0"/>
          <w:lang w:val="en-AU"/>
        </w:rPr>
        <w:t xml:space="preserve">These agencies </w:t>
      </w:r>
      <w:r w:rsidR="004B1F76">
        <w:rPr>
          <w:noProof w:val="0"/>
          <w:lang w:val="en-AU"/>
        </w:rPr>
        <w:t>were</w:t>
      </w:r>
      <w:r w:rsidRPr="00CD3A14">
        <w:rPr>
          <w:noProof w:val="0"/>
          <w:lang w:val="en-AU"/>
        </w:rPr>
        <w:t xml:space="preserve"> selected following an initial high level review of the data provided.</w:t>
      </w:r>
    </w:p>
    <w:p w:rsidR="00392F54" w:rsidRPr="00CD3A14" w:rsidRDefault="00392F54" w:rsidP="00392F54">
      <w:pPr>
        <w:pStyle w:val="AGRHeading1"/>
      </w:pPr>
      <w:r w:rsidRPr="00CD3A14">
        <w:t xml:space="preserve">Selected Agencies </w:t>
      </w:r>
      <w:proofErr w:type="spellStart"/>
      <w:r w:rsidRPr="00CD3A14">
        <w:t>cont</w:t>
      </w:r>
      <w:proofErr w:type="spellEnd"/>
      <w:r w:rsidRPr="00CD3A14">
        <w:t>….</w:t>
      </w:r>
    </w:p>
    <w:p w:rsidR="00335F88" w:rsidRPr="00CD3A14" w:rsidRDefault="00335F88" w:rsidP="00335F88">
      <w:pPr>
        <w:pStyle w:val="AGRHeading4"/>
      </w:pPr>
      <w:r w:rsidRPr="00CD3A14">
        <w:t>Aboriginal Areas Protection Authority</w:t>
      </w:r>
    </w:p>
    <w:p w:rsidR="00335F88" w:rsidRPr="00CD3A14" w:rsidRDefault="00335F88" w:rsidP="0013400B">
      <w:pPr>
        <w:pStyle w:val="AGRBodyText"/>
        <w:rPr>
          <w:noProof w:val="0"/>
          <w:lang w:val="en-AU"/>
        </w:rPr>
      </w:pPr>
      <w:r w:rsidRPr="00CD3A14">
        <w:rPr>
          <w:noProof w:val="0"/>
          <w:lang w:val="en-AU"/>
        </w:rPr>
        <w:t xml:space="preserve">There were 14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$35.60.  I also noted that one card holder initiated less than </w:t>
      </w:r>
      <w:r w:rsidR="00A52B71">
        <w:rPr>
          <w:noProof w:val="0"/>
          <w:lang w:val="en-AU"/>
        </w:rPr>
        <w:t>eight</w:t>
      </w:r>
      <w:r w:rsidR="00A52B71" w:rsidRPr="00CD3A14">
        <w:rPr>
          <w:noProof w:val="0"/>
          <w:lang w:val="en-AU"/>
        </w:rPr>
        <w:t xml:space="preserve"> </w:t>
      </w:r>
      <w:r w:rsidRPr="00CD3A14">
        <w:rPr>
          <w:noProof w:val="0"/>
          <w:lang w:val="en-AU"/>
        </w:rPr>
        <w:t>transactions within the seven months analysed and I recommended that the Aboriginal Areas Protection Authority (AAPA) consider whether retention of this card was necessary.</w:t>
      </w:r>
    </w:p>
    <w:p w:rsidR="00335F88" w:rsidRPr="00CD3A14" w:rsidRDefault="00335F88" w:rsidP="0013400B">
      <w:pPr>
        <w:pStyle w:val="AGRBodyText"/>
        <w:rPr>
          <w:noProof w:val="0"/>
          <w:lang w:val="en-AU"/>
        </w:rPr>
      </w:pPr>
      <w:r w:rsidRPr="00CD3A14">
        <w:rPr>
          <w:noProof w:val="0"/>
          <w:lang w:val="en-AU"/>
        </w:rPr>
        <w:t>In relation to the individual transactions recorded against the purchasing cards</w:t>
      </w:r>
      <w:r w:rsidR="00685E14" w:rsidRPr="00CD3A14">
        <w:rPr>
          <w:noProof w:val="0"/>
          <w:lang w:val="en-AU"/>
        </w:rPr>
        <w:t>,</w:t>
      </w:r>
      <w:r w:rsidRPr="00CD3A14">
        <w:rPr>
          <w:noProof w:val="0"/>
          <w:lang w:val="en-AU"/>
        </w:rPr>
        <w:t xml:space="preserve"> a sample of five transactions (or groups of transacti</w:t>
      </w:r>
      <w:r w:rsidR="00A91058" w:rsidRPr="00CD3A14">
        <w:rPr>
          <w:noProof w:val="0"/>
          <w:lang w:val="en-AU"/>
        </w:rPr>
        <w:t>o</w:t>
      </w:r>
      <w:r w:rsidRPr="00CD3A14">
        <w:rPr>
          <w:noProof w:val="0"/>
          <w:lang w:val="en-AU"/>
        </w:rPr>
        <w:t xml:space="preserve">ns) was selected where </w:t>
      </w:r>
      <w:r w:rsidR="00A91058" w:rsidRPr="00CD3A14">
        <w:rPr>
          <w:noProof w:val="0"/>
          <w:lang w:val="en-AU"/>
        </w:rPr>
        <w:t xml:space="preserve">AAPA </w:t>
      </w:r>
      <w:r w:rsidRPr="00CD3A14">
        <w:rPr>
          <w:noProof w:val="0"/>
          <w:lang w:val="en-AU"/>
        </w:rPr>
        <w:t xml:space="preserve">was asked to provide explanations. </w:t>
      </w:r>
      <w:r w:rsidR="00A91058" w:rsidRPr="00CD3A14">
        <w:rPr>
          <w:noProof w:val="0"/>
          <w:lang w:val="en-AU"/>
        </w:rPr>
        <w:t>AAPA</w:t>
      </w:r>
      <w:r w:rsidR="00B245C8" w:rsidRPr="00CD3A14">
        <w:rPr>
          <w:noProof w:val="0"/>
          <w:lang w:val="en-AU"/>
        </w:rPr>
        <w:t xml:space="preserve"> identified that all transactions were valid.</w:t>
      </w:r>
    </w:p>
    <w:p w:rsidR="00613356" w:rsidRPr="00CD3A14" w:rsidRDefault="00613356" w:rsidP="00613356">
      <w:pPr>
        <w:pStyle w:val="AGRHeading4"/>
      </w:pPr>
      <w:r w:rsidRPr="00CD3A14">
        <w:t>Department of Corporate and Information Services</w:t>
      </w:r>
    </w:p>
    <w:p w:rsidR="00613356" w:rsidRPr="00CD3A14" w:rsidRDefault="00613356" w:rsidP="0013400B">
      <w:pPr>
        <w:pStyle w:val="AGRBodyText"/>
        <w:rPr>
          <w:noProof w:val="0"/>
          <w:lang w:val="en-AU"/>
        </w:rPr>
      </w:pPr>
      <w:r w:rsidRPr="00CD3A14">
        <w:rPr>
          <w:noProof w:val="0"/>
          <w:lang w:val="en-AU"/>
        </w:rPr>
        <w:t xml:space="preserve">There were 24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$33.66.  I also noted that seven card holders initiated less than </w:t>
      </w:r>
      <w:r w:rsidR="00A52B71">
        <w:rPr>
          <w:noProof w:val="0"/>
          <w:lang w:val="en-AU"/>
        </w:rPr>
        <w:t>eight</w:t>
      </w:r>
      <w:r w:rsidRPr="00CD3A14">
        <w:rPr>
          <w:noProof w:val="0"/>
          <w:lang w:val="en-AU"/>
        </w:rPr>
        <w:t xml:space="preserve"> transactions within the seven months analysed and I recommended that the Department of Corporate and Information Services (DCIS) consider whether retention of these cards was necessary.</w:t>
      </w:r>
    </w:p>
    <w:p w:rsidR="00613356" w:rsidRPr="00CD3A14" w:rsidRDefault="00613356" w:rsidP="0013400B">
      <w:pPr>
        <w:pStyle w:val="AGRBodyText"/>
        <w:rPr>
          <w:noProof w:val="0"/>
          <w:lang w:val="en-AU"/>
        </w:rPr>
      </w:pPr>
      <w:r w:rsidRPr="00CD3A14">
        <w:rPr>
          <w:noProof w:val="0"/>
          <w:lang w:val="en-AU"/>
        </w:rPr>
        <w:t xml:space="preserve">In relation to the individual transactions recorded against the purchasing cards a sample of three transactions was selected where DCIS was asked to provide explanations. </w:t>
      </w:r>
      <w:r w:rsidR="00685E14" w:rsidRPr="00CD3A14">
        <w:rPr>
          <w:noProof w:val="0"/>
          <w:lang w:val="en-AU"/>
        </w:rPr>
        <w:t>DCIS</w:t>
      </w:r>
      <w:r w:rsidRPr="00CD3A14">
        <w:rPr>
          <w:noProof w:val="0"/>
          <w:lang w:val="en-AU"/>
        </w:rPr>
        <w:t xml:space="preserve"> identified that all transactions were valid.  </w:t>
      </w:r>
    </w:p>
    <w:p w:rsidR="00226D93" w:rsidRPr="00CD3A14" w:rsidRDefault="00226D93" w:rsidP="00226D93">
      <w:pPr>
        <w:pStyle w:val="AGRHeading4"/>
      </w:pPr>
      <w:r w:rsidRPr="00CD3A14">
        <w:t>Department of Correctional Services</w:t>
      </w:r>
    </w:p>
    <w:p w:rsidR="00226D93" w:rsidRPr="00CD3A14" w:rsidRDefault="00115DD0" w:rsidP="0013400B">
      <w:pPr>
        <w:pStyle w:val="AGRBodyText"/>
        <w:rPr>
          <w:noProof w:val="0"/>
          <w:lang w:val="en-AU"/>
        </w:rPr>
      </w:pPr>
      <w:r w:rsidRPr="00CD3A14">
        <w:rPr>
          <w:noProof w:val="0"/>
          <w:lang w:val="en-AU"/>
        </w:rPr>
        <w:t xml:space="preserve">There were 78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$78.85.  I also noted that 11 card holders initiated less than eight transactions within the seven months analysed and I recommended that the Department of Correctional Services (</w:t>
      </w:r>
      <w:proofErr w:type="spellStart"/>
      <w:r w:rsidRPr="00CD3A14">
        <w:rPr>
          <w:noProof w:val="0"/>
          <w:lang w:val="en-AU"/>
        </w:rPr>
        <w:t>DoCS</w:t>
      </w:r>
      <w:proofErr w:type="spellEnd"/>
      <w:r w:rsidRPr="00CD3A14">
        <w:rPr>
          <w:noProof w:val="0"/>
          <w:lang w:val="en-AU"/>
        </w:rPr>
        <w:t>) consider whether retention of these cards was necessary</w:t>
      </w:r>
      <w:r w:rsidR="00226D93" w:rsidRPr="00CD3A14">
        <w:rPr>
          <w:noProof w:val="0"/>
          <w:lang w:val="en-AU"/>
        </w:rPr>
        <w:t>.</w:t>
      </w:r>
    </w:p>
    <w:p w:rsidR="00B245C8" w:rsidRPr="00CD3A14" w:rsidRDefault="00B245C8" w:rsidP="00B245C8">
      <w:pPr>
        <w:pStyle w:val="AGRHeading1"/>
      </w:pPr>
      <w:r w:rsidRPr="00CD3A14">
        <w:t xml:space="preserve">Selected Agencies </w:t>
      </w:r>
      <w:proofErr w:type="spellStart"/>
      <w:r w:rsidRPr="00CD3A14">
        <w:t>cont</w:t>
      </w:r>
      <w:proofErr w:type="spellEnd"/>
      <w:r w:rsidRPr="00CD3A14">
        <w:t>….</w:t>
      </w:r>
    </w:p>
    <w:p w:rsidR="00226D93" w:rsidRPr="00CD3A14" w:rsidRDefault="00115DD0" w:rsidP="0013400B">
      <w:pPr>
        <w:pStyle w:val="AGRBodyText"/>
        <w:rPr>
          <w:noProof w:val="0"/>
          <w:lang w:val="en-AU"/>
        </w:rPr>
      </w:pPr>
      <w:r w:rsidRPr="00CD3A14">
        <w:rPr>
          <w:noProof w:val="0"/>
          <w:lang w:val="en-AU"/>
        </w:rPr>
        <w:t>In relation to the individual transactions recorded against the purchasing cards</w:t>
      </w:r>
      <w:r w:rsidR="00685E14" w:rsidRPr="00CD3A14">
        <w:rPr>
          <w:noProof w:val="0"/>
          <w:lang w:val="en-AU"/>
        </w:rPr>
        <w:t>,</w:t>
      </w:r>
      <w:r w:rsidRPr="00CD3A14">
        <w:rPr>
          <w:noProof w:val="0"/>
          <w:lang w:val="en-AU"/>
        </w:rPr>
        <w:t xml:space="preserve"> a sample of four transactions (or groups of transactions) was selected where </w:t>
      </w:r>
      <w:proofErr w:type="spellStart"/>
      <w:r w:rsidRPr="00CD3A14">
        <w:rPr>
          <w:noProof w:val="0"/>
          <w:lang w:val="en-AU"/>
        </w:rPr>
        <w:t>DoCS</w:t>
      </w:r>
      <w:proofErr w:type="spellEnd"/>
      <w:r w:rsidRPr="00CD3A14">
        <w:rPr>
          <w:noProof w:val="0"/>
          <w:lang w:val="en-AU"/>
        </w:rPr>
        <w:t xml:space="preserve"> was asked to provide explanations. Explanations were sought in relation to the matters listed below</w:t>
      </w:r>
      <w:r w:rsidR="00226D93" w:rsidRPr="00CD3A14">
        <w:rPr>
          <w:noProof w:val="0"/>
          <w:lang w:val="en-AU"/>
        </w:rPr>
        <w:t>:</w:t>
      </w:r>
    </w:p>
    <w:p w:rsidR="00115DD0" w:rsidRPr="00CD3A14" w:rsidRDefault="00226D93" w:rsidP="0013400B">
      <w:pPr>
        <w:pStyle w:val="AGRBulletText"/>
        <w:numPr>
          <w:ilvl w:val="0"/>
          <w:numId w:val="14"/>
        </w:numPr>
        <w:rPr>
          <w:noProof w:val="0"/>
          <w:lang w:val="en-AU"/>
        </w:rPr>
      </w:pPr>
      <w:r w:rsidRPr="00CD3A14">
        <w:rPr>
          <w:noProof w:val="0"/>
          <w:lang w:val="en-AU"/>
        </w:rPr>
        <w:t>Treasurer’s Directions C3.3.4 states “</w:t>
      </w:r>
      <w:r w:rsidRPr="00A52B71">
        <w:rPr>
          <w:i/>
          <w:noProof w:val="0"/>
          <w:lang w:val="en-AU"/>
        </w:rPr>
        <w:t>A Corporate Credit Card must only be used for official, approved purposes and must not be used for</w:t>
      </w:r>
      <w:proofErr w:type="gramStart"/>
      <w:r w:rsidRPr="00A52B71">
        <w:rPr>
          <w:i/>
          <w:noProof w:val="0"/>
          <w:lang w:val="en-AU"/>
        </w:rPr>
        <w:t>:  …</w:t>
      </w:r>
      <w:proofErr w:type="gramEnd"/>
      <w:r w:rsidRPr="00A52B71">
        <w:rPr>
          <w:i/>
          <w:noProof w:val="0"/>
          <w:lang w:val="en-AU"/>
        </w:rPr>
        <w:t xml:space="preserve"> purchase of fuel and oils other than in exceptional circumstances</w:t>
      </w:r>
      <w:r w:rsidRPr="00CD3A14">
        <w:rPr>
          <w:noProof w:val="0"/>
          <w:lang w:val="en-AU"/>
        </w:rPr>
        <w:t xml:space="preserve">”. </w:t>
      </w:r>
      <w:r w:rsidR="00115DD0" w:rsidRPr="00CD3A14">
        <w:rPr>
          <w:noProof w:val="0"/>
          <w:lang w:val="en-AU"/>
        </w:rPr>
        <w:t xml:space="preserve">There were 90 instances of fuel being purchased on a </w:t>
      </w:r>
      <w:r w:rsidR="00991716">
        <w:rPr>
          <w:noProof w:val="0"/>
          <w:lang w:val="en-AU"/>
        </w:rPr>
        <w:t>purchasing</w:t>
      </w:r>
      <w:r w:rsidR="00115DD0" w:rsidRPr="00CD3A14">
        <w:rPr>
          <w:noProof w:val="0"/>
          <w:lang w:val="en-AU"/>
        </w:rPr>
        <w:t xml:space="preserve"> card. After eliminating fuel purchases described as being for generators, motor mowers, hire cars and similar items, or where the dedicated fuel card is reported to have failed, there </w:t>
      </w:r>
      <w:r w:rsidR="00685E14" w:rsidRPr="00CD3A14">
        <w:rPr>
          <w:noProof w:val="0"/>
          <w:lang w:val="en-AU"/>
        </w:rPr>
        <w:t>we</w:t>
      </w:r>
      <w:r w:rsidR="00115DD0" w:rsidRPr="00CD3A14">
        <w:rPr>
          <w:noProof w:val="0"/>
          <w:lang w:val="en-AU"/>
        </w:rPr>
        <w:t xml:space="preserve">re at least 56 fuel related transactions remaining. </w:t>
      </w:r>
    </w:p>
    <w:p w:rsidR="00226D93" w:rsidRPr="00CD3A14" w:rsidRDefault="00115DD0" w:rsidP="00BE0AA1">
      <w:pPr>
        <w:pStyle w:val="AGRBodyText"/>
        <w:ind w:left="1211"/>
        <w:rPr>
          <w:noProof w:val="0"/>
          <w:lang w:val="en-AU"/>
        </w:rPr>
      </w:pPr>
      <w:proofErr w:type="spellStart"/>
      <w:proofErr w:type="gramStart"/>
      <w:r w:rsidRPr="00CD3A14">
        <w:rPr>
          <w:noProof w:val="0"/>
          <w:lang w:val="en-AU"/>
        </w:rPr>
        <w:t>DoCS</w:t>
      </w:r>
      <w:proofErr w:type="spellEnd"/>
      <w:r w:rsidRPr="00CD3A14">
        <w:rPr>
          <w:noProof w:val="0"/>
          <w:lang w:val="en-AU"/>
        </w:rPr>
        <w:t xml:space="preserve"> has</w:t>
      </w:r>
      <w:proofErr w:type="gramEnd"/>
      <w:r w:rsidRPr="00CD3A14">
        <w:rPr>
          <w:noProof w:val="0"/>
          <w:lang w:val="en-AU"/>
        </w:rPr>
        <w:t xml:space="preserve"> provided explanations for the use of the credit card – most of which were monthly account payments for fu</w:t>
      </w:r>
      <w:r w:rsidR="00B245C8" w:rsidRPr="00CD3A14">
        <w:rPr>
          <w:noProof w:val="0"/>
          <w:lang w:val="en-AU"/>
        </w:rPr>
        <w:t>e</w:t>
      </w:r>
      <w:r w:rsidRPr="00CD3A14">
        <w:rPr>
          <w:noProof w:val="0"/>
          <w:lang w:val="en-AU"/>
        </w:rPr>
        <w:t xml:space="preserve">l purchases in Nhulunbuy.  There was also one instance where the incorrect fuel type was purchased </w:t>
      </w:r>
      <w:r w:rsidR="00685E14" w:rsidRPr="00CD3A14">
        <w:rPr>
          <w:noProof w:val="0"/>
          <w:lang w:val="en-AU"/>
        </w:rPr>
        <w:t>following</w:t>
      </w:r>
      <w:r w:rsidRPr="00CD3A14">
        <w:rPr>
          <w:noProof w:val="0"/>
          <w:lang w:val="en-AU"/>
        </w:rPr>
        <w:t xml:space="preserve"> the usual fuel card being rejected for payment.  The only immediate option, in these instances, is payment by credit card or cash</w:t>
      </w:r>
      <w:r w:rsidR="00226D93" w:rsidRPr="00CD3A14">
        <w:rPr>
          <w:noProof w:val="0"/>
          <w:lang w:val="en-AU"/>
        </w:rPr>
        <w:t>.</w:t>
      </w:r>
    </w:p>
    <w:p w:rsidR="00226D93" w:rsidRPr="00CD3A14" w:rsidRDefault="00226D93" w:rsidP="0013400B">
      <w:pPr>
        <w:pStyle w:val="AGRBulletText"/>
        <w:numPr>
          <w:ilvl w:val="0"/>
          <w:numId w:val="14"/>
        </w:numPr>
        <w:rPr>
          <w:noProof w:val="0"/>
          <w:lang w:val="en-AU"/>
        </w:rPr>
      </w:pPr>
      <w:r w:rsidRPr="00CD3A14">
        <w:rPr>
          <w:noProof w:val="0"/>
          <w:lang w:val="en-AU"/>
        </w:rPr>
        <w:t>Two purchases from well-known consumer product shops for laptops purchased on the same day.</w:t>
      </w:r>
    </w:p>
    <w:p w:rsidR="00226D93" w:rsidRPr="00CD3A14" w:rsidRDefault="00115DD0" w:rsidP="00BE0AA1">
      <w:pPr>
        <w:pStyle w:val="AGRBodyText"/>
        <w:ind w:left="1211"/>
        <w:rPr>
          <w:noProof w:val="0"/>
          <w:lang w:val="en-AU"/>
        </w:rPr>
      </w:pPr>
      <w:proofErr w:type="spellStart"/>
      <w:proofErr w:type="gramStart"/>
      <w:r w:rsidRPr="00CD3A14">
        <w:rPr>
          <w:noProof w:val="0"/>
          <w:lang w:val="en-AU"/>
        </w:rPr>
        <w:t>DoCS</w:t>
      </w:r>
      <w:proofErr w:type="spellEnd"/>
      <w:r w:rsidRPr="00CD3A14">
        <w:rPr>
          <w:noProof w:val="0"/>
          <w:lang w:val="en-AU"/>
        </w:rPr>
        <w:t xml:space="preserve"> has</w:t>
      </w:r>
      <w:proofErr w:type="gramEnd"/>
      <w:r w:rsidRPr="00CD3A14">
        <w:rPr>
          <w:noProof w:val="0"/>
          <w:lang w:val="en-AU"/>
        </w:rPr>
        <w:t xml:space="preserve"> </w:t>
      </w:r>
      <w:r w:rsidR="00685E14" w:rsidRPr="00CD3A14">
        <w:rPr>
          <w:noProof w:val="0"/>
          <w:lang w:val="en-AU"/>
        </w:rPr>
        <w:t>responded</w:t>
      </w:r>
      <w:r w:rsidRPr="00CD3A14">
        <w:rPr>
          <w:noProof w:val="0"/>
          <w:lang w:val="en-AU"/>
        </w:rPr>
        <w:t xml:space="preserve"> that the purchase of the laptops resulted in a price that was in excess of the credit card transaction limit, therefore the transaction was processed as two separate purchases.  </w:t>
      </w:r>
      <w:r w:rsidR="00226D93" w:rsidRPr="00CD3A14">
        <w:rPr>
          <w:noProof w:val="0"/>
          <w:lang w:val="en-AU"/>
        </w:rPr>
        <w:t>This is in contravention of Treasurer’s Directions C3.3.4 that specifically state that “</w:t>
      </w:r>
      <w:r w:rsidR="00226D93" w:rsidRPr="00CD3A14">
        <w:rPr>
          <w:i/>
          <w:noProof w:val="0"/>
          <w:lang w:val="en-AU"/>
        </w:rPr>
        <w:t>A Corporate Credit Card must only be used for official, approved purposes and must not be used for: … the splitting of purchases in order to negate credit limits; ..</w:t>
      </w:r>
      <w:r w:rsidR="00226D93" w:rsidRPr="00CD3A14">
        <w:rPr>
          <w:noProof w:val="0"/>
          <w:lang w:val="en-AU"/>
        </w:rPr>
        <w:t>”</w:t>
      </w:r>
    </w:p>
    <w:p w:rsidR="00226D93" w:rsidRPr="00CD3A14" w:rsidRDefault="00226D93" w:rsidP="0013400B">
      <w:pPr>
        <w:pStyle w:val="AGRBulletText"/>
        <w:numPr>
          <w:ilvl w:val="0"/>
          <w:numId w:val="14"/>
        </w:numPr>
        <w:rPr>
          <w:noProof w:val="0"/>
          <w:lang w:val="en-AU"/>
        </w:rPr>
      </w:pPr>
      <w:r w:rsidRPr="00CD3A14">
        <w:rPr>
          <w:noProof w:val="0"/>
          <w:lang w:val="en-AU"/>
        </w:rPr>
        <w:t xml:space="preserve">One other transaction </w:t>
      </w:r>
      <w:r w:rsidR="00685E14" w:rsidRPr="00CD3A14">
        <w:rPr>
          <w:noProof w:val="0"/>
          <w:lang w:val="en-AU"/>
        </w:rPr>
        <w:t xml:space="preserve">was </w:t>
      </w:r>
      <w:r w:rsidRPr="00CD3A14">
        <w:rPr>
          <w:noProof w:val="0"/>
          <w:lang w:val="en-AU"/>
        </w:rPr>
        <w:t>chosen due to the nature of the transaction or description.</w:t>
      </w:r>
    </w:p>
    <w:p w:rsidR="00226D93" w:rsidRPr="00CD3A14" w:rsidRDefault="00226D93" w:rsidP="00BE0AA1">
      <w:pPr>
        <w:pStyle w:val="AGRBodyText"/>
        <w:ind w:left="1211"/>
        <w:rPr>
          <w:noProof w:val="0"/>
          <w:lang w:val="en-AU"/>
        </w:rPr>
      </w:pPr>
      <w:r w:rsidRPr="00CD3A14">
        <w:rPr>
          <w:noProof w:val="0"/>
          <w:lang w:val="en-AU"/>
        </w:rPr>
        <w:t xml:space="preserve">The Department </w:t>
      </w:r>
      <w:r w:rsidR="00685E14" w:rsidRPr="00CD3A14">
        <w:rPr>
          <w:noProof w:val="0"/>
          <w:lang w:val="en-AU"/>
        </w:rPr>
        <w:t>responded</w:t>
      </w:r>
      <w:r w:rsidRPr="00CD3A14">
        <w:rPr>
          <w:noProof w:val="0"/>
          <w:lang w:val="en-AU"/>
        </w:rPr>
        <w:t xml:space="preserve"> that the transaction was valid.</w:t>
      </w:r>
    </w:p>
    <w:p w:rsidR="00226D93" w:rsidRPr="00CD3A14" w:rsidRDefault="00226D93" w:rsidP="0013400B">
      <w:pPr>
        <w:pStyle w:val="AGRBodyText"/>
        <w:rPr>
          <w:noProof w:val="0"/>
          <w:lang w:val="en-AU"/>
        </w:rPr>
      </w:pPr>
    </w:p>
    <w:p w:rsidR="00226D93" w:rsidRPr="00CD3A14" w:rsidRDefault="00226D93" w:rsidP="0013400B">
      <w:pPr>
        <w:pStyle w:val="AGRBodyText"/>
        <w:rPr>
          <w:noProof w:val="0"/>
          <w:lang w:val="en-AU"/>
        </w:rPr>
      </w:pPr>
    </w:p>
    <w:p w:rsidR="0010318C" w:rsidRPr="00CD3A14" w:rsidRDefault="0010318C" w:rsidP="0010318C">
      <w:pPr>
        <w:pStyle w:val="AGRHeading1"/>
      </w:pPr>
      <w:r w:rsidRPr="00CD3A14">
        <w:t xml:space="preserve">Selected Agencies </w:t>
      </w:r>
      <w:proofErr w:type="spellStart"/>
      <w:r w:rsidRPr="00CD3A14">
        <w:t>cont</w:t>
      </w:r>
      <w:proofErr w:type="spellEnd"/>
      <w:r w:rsidRPr="00CD3A14">
        <w:t>….</w:t>
      </w:r>
    </w:p>
    <w:p w:rsidR="0010318C" w:rsidRPr="00CD3A14" w:rsidRDefault="0010318C" w:rsidP="0010318C">
      <w:pPr>
        <w:pStyle w:val="AGRHeading4"/>
      </w:pPr>
      <w:r w:rsidRPr="00CD3A14">
        <w:t>Department of Health</w:t>
      </w:r>
    </w:p>
    <w:p w:rsidR="0010318C" w:rsidRPr="00CD3A14" w:rsidRDefault="0010318C" w:rsidP="0013400B">
      <w:pPr>
        <w:pStyle w:val="AGRBodyText"/>
        <w:rPr>
          <w:noProof w:val="0"/>
          <w:lang w:val="en-AU"/>
        </w:rPr>
      </w:pPr>
      <w:r w:rsidRPr="00CD3A14">
        <w:rPr>
          <w:noProof w:val="0"/>
          <w:lang w:val="en-AU"/>
        </w:rPr>
        <w:t xml:space="preserve">There were 156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$58.25.  I also noted that 20 card holders initiated less than </w:t>
      </w:r>
      <w:r w:rsidR="00A52B71">
        <w:rPr>
          <w:noProof w:val="0"/>
          <w:lang w:val="en-AU"/>
        </w:rPr>
        <w:t>eight</w:t>
      </w:r>
      <w:r w:rsidRPr="00CD3A14">
        <w:rPr>
          <w:noProof w:val="0"/>
          <w:lang w:val="en-AU"/>
        </w:rPr>
        <w:t xml:space="preserve"> transactions within the seven months analysed and I recommended that the Department of Health (</w:t>
      </w:r>
      <w:proofErr w:type="spellStart"/>
      <w:r w:rsidRPr="00CD3A14">
        <w:rPr>
          <w:noProof w:val="0"/>
          <w:lang w:val="en-AU"/>
        </w:rPr>
        <w:t>DoH</w:t>
      </w:r>
      <w:proofErr w:type="spellEnd"/>
      <w:r w:rsidRPr="00CD3A14">
        <w:rPr>
          <w:noProof w:val="0"/>
          <w:lang w:val="en-AU"/>
        </w:rPr>
        <w:t>) consider whether retention of these cards was necessary.</w:t>
      </w:r>
    </w:p>
    <w:p w:rsidR="0010318C" w:rsidRPr="00CD3A14" w:rsidRDefault="0010318C" w:rsidP="0013400B">
      <w:pPr>
        <w:pStyle w:val="AGRBodyText"/>
        <w:rPr>
          <w:noProof w:val="0"/>
          <w:lang w:val="en-AU"/>
        </w:rPr>
      </w:pPr>
      <w:r w:rsidRPr="00CD3A14">
        <w:rPr>
          <w:noProof w:val="0"/>
          <w:lang w:val="en-AU"/>
        </w:rPr>
        <w:t>In relation to the individual transactions recorded against the purchasing cards</w:t>
      </w:r>
      <w:r w:rsidR="0030695C" w:rsidRPr="00CD3A14">
        <w:rPr>
          <w:noProof w:val="0"/>
          <w:lang w:val="en-AU"/>
        </w:rPr>
        <w:t>,</w:t>
      </w:r>
      <w:r w:rsidRPr="00CD3A14">
        <w:rPr>
          <w:noProof w:val="0"/>
          <w:lang w:val="en-AU"/>
        </w:rPr>
        <w:t xml:space="preserve"> a sample of 17 transactions (or groups of transactions) was selected where </w:t>
      </w:r>
      <w:proofErr w:type="spellStart"/>
      <w:r w:rsidRPr="00CD3A14">
        <w:rPr>
          <w:noProof w:val="0"/>
          <w:lang w:val="en-AU"/>
        </w:rPr>
        <w:t>DoH</w:t>
      </w:r>
      <w:proofErr w:type="spellEnd"/>
      <w:r w:rsidRPr="00CD3A14">
        <w:rPr>
          <w:noProof w:val="0"/>
          <w:lang w:val="en-AU"/>
        </w:rPr>
        <w:t xml:space="preserve"> was asked to provide explanations. Explanations were sought in relation to the matters listed below:</w:t>
      </w:r>
    </w:p>
    <w:p w:rsidR="0010318C" w:rsidRPr="00CD3A14" w:rsidRDefault="0010318C" w:rsidP="0013400B">
      <w:pPr>
        <w:pStyle w:val="AGRBulletText"/>
        <w:numPr>
          <w:ilvl w:val="0"/>
          <w:numId w:val="14"/>
        </w:numPr>
        <w:rPr>
          <w:noProof w:val="0"/>
          <w:lang w:val="en-AU"/>
        </w:rPr>
      </w:pPr>
      <w:r w:rsidRPr="00CD3A14">
        <w:rPr>
          <w:noProof w:val="0"/>
          <w:lang w:val="en-AU"/>
        </w:rPr>
        <w:t>Treasurer’s Directions C3.3.4 states “</w:t>
      </w:r>
      <w:r w:rsidRPr="00A52B71">
        <w:rPr>
          <w:i/>
          <w:noProof w:val="0"/>
          <w:lang w:val="en-AU"/>
        </w:rPr>
        <w:t>A Corporate Credit Card must only be used for official, approved purposes and must not be used for</w:t>
      </w:r>
      <w:proofErr w:type="gramStart"/>
      <w:r w:rsidRPr="00A52B71">
        <w:rPr>
          <w:i/>
          <w:noProof w:val="0"/>
          <w:lang w:val="en-AU"/>
        </w:rPr>
        <w:t>:  …</w:t>
      </w:r>
      <w:proofErr w:type="gramEnd"/>
      <w:r w:rsidRPr="00A52B71">
        <w:rPr>
          <w:i/>
          <w:noProof w:val="0"/>
          <w:lang w:val="en-AU"/>
        </w:rPr>
        <w:t xml:space="preserve"> purchase of fuel and oils other than in exceptional circumstances</w:t>
      </w:r>
      <w:r w:rsidRPr="00CD3A14">
        <w:rPr>
          <w:noProof w:val="0"/>
          <w:lang w:val="en-AU"/>
        </w:rPr>
        <w:t xml:space="preserve">”. </w:t>
      </w:r>
      <w:r w:rsidR="00A91058" w:rsidRPr="00CD3A14">
        <w:rPr>
          <w:noProof w:val="0"/>
          <w:lang w:val="en-AU"/>
        </w:rPr>
        <w:t>T</w:t>
      </w:r>
      <w:r w:rsidRPr="00CD3A14">
        <w:rPr>
          <w:noProof w:val="0"/>
          <w:lang w:val="en-AU"/>
        </w:rPr>
        <w:t>here were 82 instances of fuel being purchased on a corporate credit card. After eliminating fuel purchases described as being for generators, motor mowers, hire cars, and similar items, or where the dedicated fuel card is reported to have failed, there are at least 31 fuel related transactions remaining.</w:t>
      </w:r>
    </w:p>
    <w:p w:rsidR="0010318C" w:rsidRPr="00CD3A14" w:rsidRDefault="0010318C" w:rsidP="00BE0AA1">
      <w:pPr>
        <w:pStyle w:val="AGRBodyText"/>
        <w:ind w:left="1211"/>
        <w:rPr>
          <w:noProof w:val="0"/>
          <w:lang w:val="en-AU"/>
        </w:rPr>
      </w:pPr>
      <w:proofErr w:type="spellStart"/>
      <w:r w:rsidRPr="00CD3A14">
        <w:rPr>
          <w:noProof w:val="0"/>
          <w:lang w:val="en-AU"/>
        </w:rPr>
        <w:t>DoH</w:t>
      </w:r>
      <w:proofErr w:type="spellEnd"/>
      <w:r w:rsidRPr="00CD3A14">
        <w:rPr>
          <w:noProof w:val="0"/>
          <w:lang w:val="en-AU"/>
        </w:rPr>
        <w:t xml:space="preserve"> has </w:t>
      </w:r>
      <w:r w:rsidR="0030695C" w:rsidRPr="00CD3A14">
        <w:rPr>
          <w:noProof w:val="0"/>
          <w:lang w:val="en-AU"/>
        </w:rPr>
        <w:t>responded</w:t>
      </w:r>
      <w:r w:rsidRPr="00CD3A14">
        <w:rPr>
          <w:noProof w:val="0"/>
          <w:lang w:val="en-AU"/>
        </w:rPr>
        <w:t xml:space="preserve"> that the fuel purchases generally related to remote locations and this was the only option for payment.  There are also instances where an incorrect fuel type was purchased with the usual fuel card being rejected for payment.  </w:t>
      </w:r>
      <w:proofErr w:type="spellStart"/>
      <w:r w:rsidRPr="00CD3A14">
        <w:rPr>
          <w:noProof w:val="0"/>
          <w:lang w:val="en-AU"/>
        </w:rPr>
        <w:t>DoH</w:t>
      </w:r>
      <w:proofErr w:type="spellEnd"/>
      <w:r w:rsidRPr="00CD3A14">
        <w:rPr>
          <w:noProof w:val="0"/>
          <w:lang w:val="en-AU"/>
        </w:rPr>
        <w:t xml:space="preserve"> indicated that the only immediate option, in these instances, is payment by credit card or cash.</w:t>
      </w:r>
    </w:p>
    <w:p w:rsidR="0010318C" w:rsidRPr="00CD3A14" w:rsidRDefault="0010318C" w:rsidP="0013400B">
      <w:pPr>
        <w:pStyle w:val="AGRBulletText"/>
        <w:numPr>
          <w:ilvl w:val="0"/>
          <w:numId w:val="14"/>
        </w:numPr>
        <w:rPr>
          <w:noProof w:val="0"/>
          <w:lang w:val="en-AU"/>
        </w:rPr>
      </w:pPr>
      <w:r w:rsidRPr="00CD3A14">
        <w:rPr>
          <w:noProof w:val="0"/>
          <w:lang w:val="en-AU"/>
        </w:rPr>
        <w:t>Three purchases from the Apple ITunes Store.</w:t>
      </w:r>
    </w:p>
    <w:p w:rsidR="0010318C" w:rsidRPr="00CD3A14" w:rsidRDefault="0010318C" w:rsidP="00BE0AA1">
      <w:pPr>
        <w:pStyle w:val="AGRBodyText"/>
        <w:ind w:left="1211"/>
        <w:rPr>
          <w:noProof w:val="0"/>
          <w:lang w:val="en-AU"/>
        </w:rPr>
      </w:pPr>
      <w:proofErr w:type="spellStart"/>
      <w:r w:rsidRPr="00CD3A14">
        <w:rPr>
          <w:noProof w:val="0"/>
          <w:lang w:val="en-AU"/>
        </w:rPr>
        <w:t>DoH</w:t>
      </w:r>
      <w:proofErr w:type="spellEnd"/>
      <w:r w:rsidRPr="00CD3A14">
        <w:rPr>
          <w:noProof w:val="0"/>
          <w:lang w:val="en-AU"/>
        </w:rPr>
        <w:t xml:space="preserve"> has </w:t>
      </w:r>
      <w:r w:rsidR="0030695C" w:rsidRPr="00CD3A14">
        <w:rPr>
          <w:noProof w:val="0"/>
          <w:lang w:val="en-AU"/>
        </w:rPr>
        <w:t>responded</w:t>
      </w:r>
      <w:r w:rsidRPr="00CD3A14">
        <w:rPr>
          <w:noProof w:val="0"/>
          <w:lang w:val="en-AU"/>
        </w:rPr>
        <w:t xml:space="preserve"> that, although the transactions were valid, they should have been approved by a tier three delegate and endorsed by Information and Communications Technology.</w:t>
      </w:r>
    </w:p>
    <w:p w:rsidR="0010318C" w:rsidRPr="00CD3A14" w:rsidRDefault="0010318C" w:rsidP="0013400B">
      <w:pPr>
        <w:pStyle w:val="AGRBulletText"/>
        <w:numPr>
          <w:ilvl w:val="0"/>
          <w:numId w:val="14"/>
        </w:numPr>
        <w:rPr>
          <w:noProof w:val="0"/>
          <w:lang w:val="en-AU"/>
        </w:rPr>
      </w:pPr>
      <w:r w:rsidRPr="00CD3A14">
        <w:rPr>
          <w:noProof w:val="0"/>
          <w:lang w:val="en-AU"/>
        </w:rPr>
        <w:t>One purchase for the merchant “</w:t>
      </w:r>
      <w:proofErr w:type="spellStart"/>
      <w:r w:rsidRPr="00CD3A14">
        <w:rPr>
          <w:noProof w:val="0"/>
          <w:lang w:val="en-AU"/>
        </w:rPr>
        <w:t>Paypal</w:t>
      </w:r>
      <w:proofErr w:type="spellEnd"/>
      <w:r w:rsidRPr="00CD3A14">
        <w:rPr>
          <w:noProof w:val="0"/>
          <w:lang w:val="en-AU"/>
        </w:rPr>
        <w:t>” for a domain name registration.</w:t>
      </w:r>
    </w:p>
    <w:p w:rsidR="0010318C" w:rsidRPr="00CD3A14" w:rsidRDefault="0010318C" w:rsidP="00BE0AA1">
      <w:pPr>
        <w:pStyle w:val="AGRBodyText"/>
        <w:ind w:left="1211"/>
        <w:rPr>
          <w:noProof w:val="0"/>
          <w:lang w:val="en-AU"/>
        </w:rPr>
      </w:pPr>
      <w:proofErr w:type="spellStart"/>
      <w:r w:rsidRPr="00CD3A14">
        <w:rPr>
          <w:noProof w:val="0"/>
          <w:lang w:val="en-AU"/>
        </w:rPr>
        <w:t>DoH</w:t>
      </w:r>
      <w:proofErr w:type="spellEnd"/>
      <w:r w:rsidRPr="00CD3A14">
        <w:rPr>
          <w:noProof w:val="0"/>
          <w:lang w:val="en-AU"/>
        </w:rPr>
        <w:t xml:space="preserve"> has </w:t>
      </w:r>
      <w:r w:rsidR="0030695C" w:rsidRPr="00CD3A14">
        <w:rPr>
          <w:noProof w:val="0"/>
          <w:lang w:val="en-AU"/>
        </w:rPr>
        <w:t>responded</w:t>
      </w:r>
      <w:r w:rsidRPr="00CD3A14">
        <w:rPr>
          <w:noProof w:val="0"/>
          <w:lang w:val="en-AU"/>
        </w:rPr>
        <w:t xml:space="preserve"> that this purchase was a valid purchase however it should have been approved by the Chief Information Officer or the Director Information and Communications Technology.</w:t>
      </w:r>
    </w:p>
    <w:p w:rsidR="0010318C" w:rsidRPr="00CD3A14" w:rsidRDefault="0010318C" w:rsidP="0013400B">
      <w:pPr>
        <w:pStyle w:val="AGRBulletText"/>
        <w:numPr>
          <w:ilvl w:val="0"/>
          <w:numId w:val="14"/>
        </w:numPr>
        <w:rPr>
          <w:noProof w:val="0"/>
          <w:lang w:val="en-AU"/>
        </w:rPr>
      </w:pPr>
      <w:r w:rsidRPr="00CD3A14">
        <w:rPr>
          <w:noProof w:val="0"/>
          <w:lang w:val="en-AU"/>
        </w:rPr>
        <w:t>Five purchases from well-known consumer product shops.</w:t>
      </w:r>
    </w:p>
    <w:p w:rsidR="0010318C" w:rsidRPr="00CD3A14" w:rsidRDefault="0010318C" w:rsidP="00BE0AA1">
      <w:pPr>
        <w:pStyle w:val="AGRBodyText"/>
        <w:ind w:left="1211"/>
        <w:rPr>
          <w:noProof w:val="0"/>
          <w:lang w:val="en-AU"/>
        </w:rPr>
      </w:pPr>
      <w:proofErr w:type="spellStart"/>
      <w:r w:rsidRPr="00CD3A14">
        <w:rPr>
          <w:noProof w:val="0"/>
          <w:lang w:val="en-AU"/>
        </w:rPr>
        <w:t>DoH</w:t>
      </w:r>
      <w:proofErr w:type="spellEnd"/>
      <w:r w:rsidRPr="00CD3A14">
        <w:rPr>
          <w:noProof w:val="0"/>
          <w:lang w:val="en-AU"/>
        </w:rPr>
        <w:t xml:space="preserve"> has </w:t>
      </w:r>
      <w:r w:rsidR="0030695C" w:rsidRPr="00CD3A14">
        <w:rPr>
          <w:noProof w:val="0"/>
          <w:lang w:val="en-AU"/>
        </w:rPr>
        <w:t>responded</w:t>
      </w:r>
      <w:r w:rsidRPr="00CD3A14">
        <w:rPr>
          <w:noProof w:val="0"/>
          <w:lang w:val="en-AU"/>
        </w:rPr>
        <w:t xml:space="preserve"> that the transactions were valid and correctly approved with the exception of one that should have been approved by a tier three delegate and endorsed by Information and Communications Technology.</w:t>
      </w:r>
    </w:p>
    <w:p w:rsidR="0010318C" w:rsidRPr="00CD3A14" w:rsidRDefault="0010318C" w:rsidP="0010318C">
      <w:pPr>
        <w:pStyle w:val="AGRHeading1"/>
      </w:pPr>
      <w:r w:rsidRPr="00CD3A14">
        <w:t xml:space="preserve">Selected Agencies </w:t>
      </w:r>
      <w:proofErr w:type="spellStart"/>
      <w:r w:rsidRPr="00CD3A14">
        <w:t>cont</w:t>
      </w:r>
      <w:proofErr w:type="spellEnd"/>
      <w:r w:rsidRPr="00CD3A14">
        <w:t>….</w:t>
      </w:r>
    </w:p>
    <w:p w:rsidR="0010318C" w:rsidRPr="00CD3A14" w:rsidRDefault="0010318C" w:rsidP="0013400B">
      <w:pPr>
        <w:pStyle w:val="AGRBulletText"/>
        <w:numPr>
          <w:ilvl w:val="0"/>
          <w:numId w:val="14"/>
        </w:numPr>
        <w:rPr>
          <w:noProof w:val="0"/>
          <w:lang w:val="en-AU"/>
        </w:rPr>
      </w:pPr>
      <w:r w:rsidRPr="00CD3A14">
        <w:rPr>
          <w:noProof w:val="0"/>
          <w:lang w:val="en-AU"/>
        </w:rPr>
        <w:t xml:space="preserve">One parking infringement was paid by </w:t>
      </w:r>
      <w:proofErr w:type="spellStart"/>
      <w:r w:rsidR="0030695C" w:rsidRPr="00CD3A14">
        <w:rPr>
          <w:noProof w:val="0"/>
          <w:lang w:val="en-AU"/>
        </w:rPr>
        <w:t>DoH</w:t>
      </w:r>
      <w:proofErr w:type="spellEnd"/>
      <w:r w:rsidR="0030695C" w:rsidRPr="00CD3A14">
        <w:rPr>
          <w:noProof w:val="0"/>
          <w:lang w:val="en-AU"/>
        </w:rPr>
        <w:t>.</w:t>
      </w:r>
      <w:r w:rsidRPr="00CD3A14">
        <w:rPr>
          <w:noProof w:val="0"/>
          <w:lang w:val="en-AU"/>
        </w:rPr>
        <w:t xml:space="preserve"> NT Fleet policy states that “It is the driver's responsibility to pay all Traffic Infringement Notices (TINs) and fines that have resulted while the vehicle was in their use.”</w:t>
      </w:r>
    </w:p>
    <w:p w:rsidR="0010318C" w:rsidRPr="00CD3A14" w:rsidRDefault="0010318C" w:rsidP="00BE0AA1">
      <w:pPr>
        <w:pStyle w:val="AGRBodyText"/>
        <w:ind w:left="1211"/>
        <w:rPr>
          <w:noProof w:val="0"/>
          <w:lang w:val="en-AU"/>
        </w:rPr>
      </w:pPr>
      <w:proofErr w:type="spellStart"/>
      <w:r w:rsidRPr="00CD3A14">
        <w:rPr>
          <w:noProof w:val="0"/>
          <w:lang w:val="en-AU"/>
        </w:rPr>
        <w:t>DoH</w:t>
      </w:r>
      <w:proofErr w:type="spellEnd"/>
      <w:r w:rsidRPr="00CD3A14">
        <w:rPr>
          <w:noProof w:val="0"/>
          <w:lang w:val="en-AU"/>
        </w:rPr>
        <w:t xml:space="preserve"> has </w:t>
      </w:r>
      <w:r w:rsidR="0030695C" w:rsidRPr="00CD3A14">
        <w:rPr>
          <w:noProof w:val="0"/>
          <w:lang w:val="en-AU"/>
        </w:rPr>
        <w:t>responded</w:t>
      </w:r>
      <w:r w:rsidRPr="00CD3A14">
        <w:rPr>
          <w:noProof w:val="0"/>
          <w:lang w:val="en-AU"/>
        </w:rPr>
        <w:t xml:space="preserve"> that the fine should have been paid by the employee and reimbursed with Chief Executive </w:t>
      </w:r>
      <w:proofErr w:type="gramStart"/>
      <w:r w:rsidRPr="00CD3A14">
        <w:rPr>
          <w:noProof w:val="0"/>
          <w:lang w:val="en-AU"/>
        </w:rPr>
        <w:t>approval</w:t>
      </w:r>
      <w:proofErr w:type="gramEnd"/>
      <w:r w:rsidRPr="00CD3A14">
        <w:rPr>
          <w:noProof w:val="0"/>
          <w:lang w:val="en-AU"/>
        </w:rPr>
        <w:t xml:space="preserve"> only.</w:t>
      </w:r>
    </w:p>
    <w:p w:rsidR="0010318C" w:rsidRPr="00CD3A14" w:rsidRDefault="0010318C" w:rsidP="0013400B">
      <w:pPr>
        <w:pStyle w:val="AGRBulletText"/>
        <w:numPr>
          <w:ilvl w:val="0"/>
          <w:numId w:val="14"/>
        </w:numPr>
        <w:rPr>
          <w:noProof w:val="0"/>
          <w:lang w:val="en-AU"/>
        </w:rPr>
      </w:pPr>
      <w:r w:rsidRPr="00CD3A14">
        <w:rPr>
          <w:noProof w:val="0"/>
          <w:lang w:val="en-AU"/>
        </w:rPr>
        <w:t>Six other transactions were chosen due to the nature of the transaction or description.</w:t>
      </w:r>
    </w:p>
    <w:p w:rsidR="0010318C" w:rsidRPr="00CD3A14" w:rsidRDefault="0010318C" w:rsidP="0030695C">
      <w:pPr>
        <w:pStyle w:val="AGRBodyText"/>
        <w:ind w:left="1211"/>
        <w:rPr>
          <w:noProof w:val="0"/>
          <w:lang w:val="en-AU"/>
        </w:rPr>
      </w:pPr>
      <w:proofErr w:type="spellStart"/>
      <w:r w:rsidRPr="00CD3A14">
        <w:rPr>
          <w:noProof w:val="0"/>
          <w:lang w:val="en-AU"/>
        </w:rPr>
        <w:t>DoH</w:t>
      </w:r>
      <w:proofErr w:type="spellEnd"/>
      <w:r w:rsidRPr="00CD3A14">
        <w:rPr>
          <w:noProof w:val="0"/>
          <w:lang w:val="en-AU"/>
        </w:rPr>
        <w:t xml:space="preserve"> identified that one of these transactions it was an “incorrect purchase” and the “money refunded</w:t>
      </w:r>
      <w:r w:rsidR="00BB3CCC" w:rsidRPr="00CD3A14">
        <w:rPr>
          <w:noProof w:val="0"/>
          <w:lang w:val="en-AU"/>
        </w:rPr>
        <w:t>”</w:t>
      </w:r>
      <w:r w:rsidRPr="00CD3A14">
        <w:rPr>
          <w:noProof w:val="0"/>
          <w:lang w:val="en-AU"/>
        </w:rPr>
        <w:t>.</w:t>
      </w:r>
    </w:p>
    <w:p w:rsidR="0010318C" w:rsidRPr="00CD3A14" w:rsidRDefault="0010318C" w:rsidP="0010318C">
      <w:pPr>
        <w:pStyle w:val="AGRHeading4"/>
      </w:pPr>
      <w:r w:rsidRPr="00CD3A14">
        <w:t>Department of the Attorney-General and Justice</w:t>
      </w:r>
    </w:p>
    <w:p w:rsidR="0010318C" w:rsidRPr="00CD3A14" w:rsidRDefault="0010318C" w:rsidP="0013400B">
      <w:pPr>
        <w:pStyle w:val="AGRBodyText"/>
        <w:rPr>
          <w:noProof w:val="0"/>
          <w:lang w:val="en-AU"/>
        </w:rPr>
      </w:pPr>
      <w:r w:rsidRPr="00CD3A14">
        <w:rPr>
          <w:noProof w:val="0"/>
          <w:lang w:val="en-AU"/>
        </w:rPr>
        <w:t xml:space="preserve">There were 59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$293.90.  I also noted that eight card holders initiated less than eight transactions (i.e. an average of one per month) within the seven months analysed and I recommended that the Department of the Attorney-General and Justice (DAGJ) consider whether retention of these cards was necessary.</w:t>
      </w:r>
    </w:p>
    <w:p w:rsidR="0010318C" w:rsidRPr="00CD3A14" w:rsidRDefault="0010318C" w:rsidP="0013400B">
      <w:pPr>
        <w:pStyle w:val="AGRBodyText"/>
        <w:rPr>
          <w:noProof w:val="0"/>
          <w:lang w:val="en-AU"/>
        </w:rPr>
      </w:pPr>
      <w:r w:rsidRPr="00CD3A14">
        <w:rPr>
          <w:noProof w:val="0"/>
          <w:lang w:val="en-AU"/>
        </w:rPr>
        <w:t>In relation to the individual transactions recorded against the purchasing cards</w:t>
      </w:r>
      <w:r w:rsidR="00224375" w:rsidRPr="00CD3A14">
        <w:rPr>
          <w:noProof w:val="0"/>
          <w:lang w:val="en-AU"/>
        </w:rPr>
        <w:t>,</w:t>
      </w:r>
      <w:r w:rsidRPr="00CD3A14">
        <w:rPr>
          <w:noProof w:val="0"/>
          <w:lang w:val="en-AU"/>
        </w:rPr>
        <w:t xml:space="preserve"> a sample of 13 transactions (or groups of transactions) was selected where DAGJ was asked to provide explanations. Explanations were sought in relation to the matters listed below:</w:t>
      </w:r>
    </w:p>
    <w:p w:rsidR="0010318C" w:rsidRPr="00CD3A14" w:rsidRDefault="0010318C" w:rsidP="0013400B">
      <w:pPr>
        <w:pStyle w:val="AGRBulletText"/>
        <w:numPr>
          <w:ilvl w:val="0"/>
          <w:numId w:val="14"/>
        </w:numPr>
        <w:rPr>
          <w:noProof w:val="0"/>
          <w:lang w:val="en-AU"/>
        </w:rPr>
      </w:pPr>
      <w:r w:rsidRPr="00CD3A14">
        <w:rPr>
          <w:noProof w:val="0"/>
          <w:lang w:val="en-AU"/>
        </w:rPr>
        <w:t>Treasurer’s Directions C3.3.4 states “</w:t>
      </w:r>
      <w:r w:rsidRPr="00A52B71">
        <w:rPr>
          <w:i/>
          <w:noProof w:val="0"/>
          <w:lang w:val="en-AU"/>
        </w:rPr>
        <w:t>A Corporate Credit Card must only be used for official, approved purposes and must not be used for</w:t>
      </w:r>
      <w:proofErr w:type="gramStart"/>
      <w:r w:rsidRPr="00A52B71">
        <w:rPr>
          <w:i/>
          <w:noProof w:val="0"/>
          <w:lang w:val="en-AU"/>
        </w:rPr>
        <w:t>:  …</w:t>
      </w:r>
      <w:proofErr w:type="gramEnd"/>
      <w:r w:rsidRPr="00A52B71">
        <w:rPr>
          <w:i/>
          <w:noProof w:val="0"/>
          <w:lang w:val="en-AU"/>
        </w:rPr>
        <w:t xml:space="preserve"> purchase of fuel and oils other than in exceptional circumstances</w:t>
      </w:r>
      <w:r w:rsidRPr="00CD3A14">
        <w:rPr>
          <w:noProof w:val="0"/>
          <w:lang w:val="en-AU"/>
        </w:rPr>
        <w:t xml:space="preserve">”. </w:t>
      </w:r>
      <w:r w:rsidR="00A91058" w:rsidRPr="00CD3A14">
        <w:rPr>
          <w:noProof w:val="0"/>
          <w:lang w:val="en-AU"/>
        </w:rPr>
        <w:t>T</w:t>
      </w:r>
      <w:r w:rsidRPr="00CD3A14">
        <w:rPr>
          <w:noProof w:val="0"/>
          <w:lang w:val="en-AU"/>
        </w:rPr>
        <w:t>here were 6 instances of fuel being purchased on a corporate credit card.</w:t>
      </w:r>
    </w:p>
    <w:p w:rsidR="0010318C" w:rsidRPr="00CD3A14" w:rsidRDefault="00387830" w:rsidP="00BE0AA1">
      <w:pPr>
        <w:pStyle w:val="AGRBodyText"/>
        <w:ind w:left="1211"/>
        <w:rPr>
          <w:noProof w:val="0"/>
          <w:lang w:val="en-AU"/>
        </w:rPr>
      </w:pPr>
      <w:r w:rsidRPr="00387830">
        <w:rPr>
          <w:noProof w:val="0"/>
          <w:lang w:val="en-AU"/>
        </w:rPr>
        <w:t>DAGJ has responded that the fuel purchases generally related to short term hire vehicles and</w:t>
      </w:r>
      <w:r>
        <w:rPr>
          <w:noProof w:val="0"/>
          <w:lang w:val="en-AU"/>
        </w:rPr>
        <w:t>,</w:t>
      </w:r>
      <w:r w:rsidRPr="00387830">
        <w:rPr>
          <w:noProof w:val="0"/>
          <w:lang w:val="en-AU"/>
        </w:rPr>
        <w:t xml:space="preserve"> as this was the only option for payment</w:t>
      </w:r>
      <w:r>
        <w:rPr>
          <w:noProof w:val="0"/>
          <w:lang w:val="en-AU"/>
        </w:rPr>
        <w:t>,</w:t>
      </w:r>
      <w:r w:rsidRPr="00387830">
        <w:rPr>
          <w:noProof w:val="0"/>
          <w:lang w:val="en-AU"/>
        </w:rPr>
        <w:t xml:space="preserve"> it was a valid transaction that is compliant with Treasurer’s Directions</w:t>
      </w:r>
      <w:r w:rsidR="0010318C" w:rsidRPr="00CD3A14">
        <w:rPr>
          <w:noProof w:val="0"/>
          <w:lang w:val="en-AU"/>
        </w:rPr>
        <w:t xml:space="preserve">. </w:t>
      </w:r>
    </w:p>
    <w:p w:rsidR="0010318C" w:rsidRPr="00CD3A14" w:rsidRDefault="0010318C" w:rsidP="0013400B">
      <w:pPr>
        <w:pStyle w:val="AGRBulletText"/>
        <w:numPr>
          <w:ilvl w:val="0"/>
          <w:numId w:val="14"/>
        </w:numPr>
        <w:rPr>
          <w:noProof w:val="0"/>
          <w:lang w:val="en-AU"/>
        </w:rPr>
      </w:pPr>
      <w:r w:rsidRPr="00CD3A14">
        <w:rPr>
          <w:noProof w:val="0"/>
          <w:lang w:val="en-AU"/>
        </w:rPr>
        <w:t>One purchase from Saks Fifth Avenue.</w:t>
      </w:r>
    </w:p>
    <w:p w:rsidR="0010318C" w:rsidRPr="00CD3A14" w:rsidRDefault="0010318C" w:rsidP="00BE0AA1">
      <w:pPr>
        <w:pStyle w:val="AGRBodyText"/>
        <w:ind w:left="1211"/>
        <w:rPr>
          <w:noProof w:val="0"/>
          <w:lang w:val="en-AU"/>
        </w:rPr>
      </w:pPr>
      <w:r w:rsidRPr="00CD3A14">
        <w:rPr>
          <w:noProof w:val="0"/>
          <w:lang w:val="en-AU"/>
        </w:rPr>
        <w:t>A purchase of $5,400.15 was noted from Saks Fifth Avenue.  This transaction was disputed and the funds fully recovered.  DAGJ noted that “</w:t>
      </w:r>
      <w:r w:rsidRPr="00CD3A14">
        <w:rPr>
          <w:i/>
          <w:noProof w:val="0"/>
          <w:lang w:val="en-AU"/>
        </w:rPr>
        <w:t xml:space="preserve">good practice suggests that if the disputed </w:t>
      </w:r>
      <w:r w:rsidR="002A435D" w:rsidRPr="00CD3A14">
        <w:rPr>
          <w:i/>
          <w:noProof w:val="0"/>
          <w:lang w:val="en-AU"/>
        </w:rPr>
        <w:t>transaction</w:t>
      </w:r>
      <w:r w:rsidRPr="00CD3A14">
        <w:rPr>
          <w:i/>
          <w:noProof w:val="0"/>
          <w:lang w:val="en-AU"/>
        </w:rPr>
        <w:t xml:space="preserve"> is suspected of being a hack, the card should be cancelled and replaced with a new card.  This should be noted for relevant circumstances”</w:t>
      </w:r>
      <w:r w:rsidRPr="00CD3A14">
        <w:rPr>
          <w:noProof w:val="0"/>
          <w:lang w:val="en-AU"/>
        </w:rPr>
        <w:t>.</w:t>
      </w:r>
    </w:p>
    <w:p w:rsidR="008C62A3" w:rsidRPr="00CD3A14" w:rsidRDefault="008C62A3" w:rsidP="008C62A3">
      <w:pPr>
        <w:pStyle w:val="AGRHeading1"/>
      </w:pPr>
      <w:r w:rsidRPr="00CD3A14">
        <w:t xml:space="preserve">Selected Agencies </w:t>
      </w:r>
      <w:proofErr w:type="spellStart"/>
      <w:r w:rsidRPr="00CD3A14">
        <w:t>cont</w:t>
      </w:r>
      <w:proofErr w:type="spellEnd"/>
      <w:r w:rsidRPr="00CD3A14">
        <w:t>….</w:t>
      </w:r>
    </w:p>
    <w:p w:rsidR="0010318C" w:rsidRPr="00CD3A14" w:rsidRDefault="0010318C" w:rsidP="0013400B">
      <w:pPr>
        <w:pStyle w:val="AGRBulletText"/>
        <w:numPr>
          <w:ilvl w:val="0"/>
          <w:numId w:val="14"/>
        </w:numPr>
        <w:rPr>
          <w:noProof w:val="0"/>
          <w:lang w:val="en-AU"/>
        </w:rPr>
      </w:pPr>
      <w:r w:rsidRPr="00CD3A14">
        <w:rPr>
          <w:noProof w:val="0"/>
          <w:lang w:val="en-AU"/>
        </w:rPr>
        <w:t xml:space="preserve">One parking infringement was paid by the </w:t>
      </w:r>
      <w:r w:rsidR="00BB3CCC" w:rsidRPr="00CD3A14">
        <w:rPr>
          <w:noProof w:val="0"/>
          <w:lang w:val="en-AU"/>
        </w:rPr>
        <w:t xml:space="preserve">DAGJ </w:t>
      </w:r>
      <w:r w:rsidRPr="00CD3A14">
        <w:rPr>
          <w:noProof w:val="0"/>
          <w:lang w:val="en-AU"/>
        </w:rPr>
        <w:t>- NT Fleet policy states that “</w:t>
      </w:r>
      <w:r w:rsidRPr="00CD3A14">
        <w:rPr>
          <w:i/>
          <w:noProof w:val="0"/>
          <w:lang w:val="en-AU"/>
        </w:rPr>
        <w:t>It is the driver's responsibility to pay all Traffic Infringement Notices (TINs) and fines that have resulted while the vehicle was in their use</w:t>
      </w:r>
      <w:r w:rsidRPr="00CD3A14">
        <w:rPr>
          <w:noProof w:val="0"/>
          <w:lang w:val="en-AU"/>
        </w:rPr>
        <w:t>.”</w:t>
      </w:r>
    </w:p>
    <w:p w:rsidR="008C62A3" w:rsidRPr="00CD3A14" w:rsidRDefault="00BB3CCC" w:rsidP="00BE0AA1">
      <w:pPr>
        <w:pStyle w:val="AGRBodyText"/>
        <w:ind w:left="1211"/>
        <w:rPr>
          <w:noProof w:val="0"/>
          <w:lang w:val="en-AU"/>
        </w:rPr>
      </w:pPr>
      <w:r w:rsidRPr="00CD3A14">
        <w:rPr>
          <w:noProof w:val="0"/>
          <w:lang w:val="en-AU"/>
        </w:rPr>
        <w:t xml:space="preserve">DAGJ </w:t>
      </w:r>
      <w:r w:rsidR="00224375" w:rsidRPr="00CD3A14">
        <w:rPr>
          <w:noProof w:val="0"/>
          <w:lang w:val="en-AU"/>
        </w:rPr>
        <w:t>responded</w:t>
      </w:r>
      <w:r w:rsidRPr="00CD3A14">
        <w:rPr>
          <w:noProof w:val="0"/>
          <w:lang w:val="en-AU"/>
        </w:rPr>
        <w:t xml:space="preserve"> that “t</w:t>
      </w:r>
      <w:r w:rsidRPr="00CD3A14">
        <w:rPr>
          <w:i/>
          <w:noProof w:val="0"/>
          <w:lang w:val="en-AU"/>
        </w:rPr>
        <w:t>he payment was not a ‘parking infringement’ but was an amount imposed by a building lessor when a staff member inadvertently parked an official vehicle in the wrong bay</w:t>
      </w:r>
      <w:r w:rsidRPr="00CD3A14">
        <w:rPr>
          <w:noProof w:val="0"/>
          <w:lang w:val="en-AU"/>
        </w:rPr>
        <w:t>”</w:t>
      </w:r>
      <w:r w:rsidR="0010318C" w:rsidRPr="00CD3A14">
        <w:rPr>
          <w:noProof w:val="0"/>
          <w:lang w:val="en-AU"/>
        </w:rPr>
        <w:t>.</w:t>
      </w:r>
      <w:r w:rsidR="008C62A3" w:rsidRPr="00CD3A14">
        <w:rPr>
          <w:noProof w:val="0"/>
          <w:lang w:val="en-AU"/>
        </w:rPr>
        <w:t xml:space="preserve">  </w:t>
      </w:r>
    </w:p>
    <w:p w:rsidR="0010318C" w:rsidRPr="00CD3A14" w:rsidRDefault="008C62A3" w:rsidP="00BE0AA1">
      <w:pPr>
        <w:pStyle w:val="AGRBodyText"/>
        <w:ind w:left="1211"/>
        <w:rPr>
          <w:noProof w:val="0"/>
          <w:lang w:val="en-AU"/>
        </w:rPr>
      </w:pPr>
      <w:r w:rsidRPr="00CD3A14">
        <w:rPr>
          <w:noProof w:val="0"/>
          <w:lang w:val="en-AU"/>
        </w:rPr>
        <w:t>The documents provided to me by DAGJ indicated that the payment was for a “</w:t>
      </w:r>
      <w:r w:rsidRPr="00CD3A14">
        <w:rPr>
          <w:i/>
          <w:noProof w:val="0"/>
          <w:lang w:val="en-AU"/>
        </w:rPr>
        <w:t>parking breach notice</w:t>
      </w:r>
      <w:r w:rsidRPr="00CD3A14">
        <w:rPr>
          <w:noProof w:val="0"/>
          <w:lang w:val="en-AU"/>
        </w:rPr>
        <w:t>”, and that “</w:t>
      </w:r>
      <w:r w:rsidRPr="00CD3A14">
        <w:rPr>
          <w:i/>
          <w:noProof w:val="0"/>
          <w:lang w:val="en-AU"/>
        </w:rPr>
        <w:t xml:space="preserve">they </w:t>
      </w:r>
      <w:r w:rsidRPr="00CD3A14">
        <w:rPr>
          <w:noProof w:val="0"/>
          <w:lang w:val="en-AU"/>
        </w:rPr>
        <w:t>(the drivers)</w:t>
      </w:r>
      <w:r w:rsidRPr="00CD3A14">
        <w:rPr>
          <w:i/>
          <w:noProof w:val="0"/>
          <w:lang w:val="en-AU"/>
        </w:rPr>
        <w:t xml:space="preserve"> all know now where to park as to not get fined again</w:t>
      </w:r>
      <w:r w:rsidRPr="00CD3A14">
        <w:rPr>
          <w:noProof w:val="0"/>
          <w:lang w:val="en-AU"/>
        </w:rPr>
        <w:t>”.  The payment by DAGJ was paid through the “</w:t>
      </w:r>
      <w:r w:rsidRPr="00CD3A14">
        <w:rPr>
          <w:i/>
          <w:noProof w:val="0"/>
          <w:lang w:val="en-AU"/>
        </w:rPr>
        <w:t>Parking Enforcements Services</w:t>
      </w:r>
      <w:r w:rsidRPr="00CD3A14">
        <w:rPr>
          <w:noProof w:val="0"/>
          <w:lang w:val="en-AU"/>
        </w:rPr>
        <w:t>” system with the annotation of “</w:t>
      </w:r>
      <w:r w:rsidRPr="00CD3A14">
        <w:rPr>
          <w:i/>
          <w:noProof w:val="0"/>
          <w:lang w:val="en-AU"/>
        </w:rPr>
        <w:t>Infringement Payment Complete</w:t>
      </w:r>
      <w:r w:rsidRPr="00CD3A14">
        <w:rPr>
          <w:noProof w:val="0"/>
          <w:lang w:val="en-AU"/>
        </w:rPr>
        <w:t xml:space="preserve">”.  </w:t>
      </w:r>
    </w:p>
    <w:p w:rsidR="0010318C" w:rsidRPr="00CD3A14" w:rsidRDefault="006C614B" w:rsidP="0013400B">
      <w:pPr>
        <w:pStyle w:val="AGRBulletText"/>
        <w:numPr>
          <w:ilvl w:val="0"/>
          <w:numId w:val="14"/>
        </w:numPr>
        <w:rPr>
          <w:noProof w:val="0"/>
          <w:lang w:val="en-AU"/>
        </w:rPr>
      </w:pPr>
      <w:r w:rsidRPr="00CD3A14">
        <w:rPr>
          <w:noProof w:val="0"/>
          <w:lang w:val="en-AU"/>
        </w:rPr>
        <w:t>Five</w:t>
      </w:r>
      <w:r w:rsidR="0010318C" w:rsidRPr="00CD3A14">
        <w:rPr>
          <w:noProof w:val="0"/>
          <w:lang w:val="en-AU"/>
        </w:rPr>
        <w:t xml:space="preserve"> other transactions were chosen due to the nature of the transaction or description.</w:t>
      </w:r>
    </w:p>
    <w:p w:rsidR="0010318C" w:rsidRPr="00CD3A14" w:rsidRDefault="00224375" w:rsidP="00BE0AA1">
      <w:pPr>
        <w:pStyle w:val="AGRBodyText"/>
        <w:ind w:left="1211"/>
        <w:rPr>
          <w:noProof w:val="0"/>
          <w:lang w:val="en-AU"/>
        </w:rPr>
      </w:pPr>
      <w:r w:rsidRPr="00CD3A14">
        <w:rPr>
          <w:noProof w:val="0"/>
          <w:lang w:val="en-AU"/>
        </w:rPr>
        <w:t>DAGJ responded</w:t>
      </w:r>
      <w:r w:rsidR="004313D6" w:rsidRPr="00CD3A14">
        <w:rPr>
          <w:noProof w:val="0"/>
          <w:lang w:val="en-AU"/>
        </w:rPr>
        <w:t xml:space="preserve"> that four of the transactions were valid </w:t>
      </w:r>
      <w:r w:rsidR="008C62A3" w:rsidRPr="00CD3A14">
        <w:rPr>
          <w:noProof w:val="0"/>
          <w:lang w:val="en-AU"/>
        </w:rPr>
        <w:t>whilst</w:t>
      </w:r>
      <w:r w:rsidR="004313D6" w:rsidRPr="00CD3A14">
        <w:rPr>
          <w:noProof w:val="0"/>
          <w:lang w:val="en-AU"/>
        </w:rPr>
        <w:t xml:space="preserve"> on</w:t>
      </w:r>
      <w:r w:rsidR="0010318C" w:rsidRPr="00CD3A14">
        <w:rPr>
          <w:noProof w:val="0"/>
          <w:lang w:val="en-AU"/>
        </w:rPr>
        <w:t xml:space="preserve">e transaction was </w:t>
      </w:r>
      <w:r w:rsidR="004313D6" w:rsidRPr="00CD3A14">
        <w:rPr>
          <w:noProof w:val="0"/>
          <w:lang w:val="en-AU"/>
        </w:rPr>
        <w:t>disputed and fully refunded with</w:t>
      </w:r>
      <w:r w:rsidR="0010318C" w:rsidRPr="00CD3A14">
        <w:rPr>
          <w:noProof w:val="0"/>
          <w:lang w:val="en-AU"/>
        </w:rPr>
        <w:t xml:space="preserve"> th</w:t>
      </w:r>
      <w:r w:rsidR="004313D6" w:rsidRPr="00CD3A14">
        <w:rPr>
          <w:noProof w:val="0"/>
          <w:lang w:val="en-AU"/>
        </w:rPr>
        <w:t>e “</w:t>
      </w:r>
      <w:r w:rsidR="004313D6" w:rsidRPr="00CD3A14">
        <w:rPr>
          <w:i/>
          <w:noProof w:val="0"/>
          <w:lang w:val="en-AU"/>
        </w:rPr>
        <w:t>supplier acknowledged their error</w:t>
      </w:r>
      <w:r w:rsidR="004313D6" w:rsidRPr="00CD3A14">
        <w:rPr>
          <w:noProof w:val="0"/>
          <w:lang w:val="en-AU"/>
        </w:rPr>
        <w:t>”</w:t>
      </w:r>
      <w:r w:rsidR="0010318C" w:rsidRPr="00CD3A14">
        <w:rPr>
          <w:noProof w:val="0"/>
          <w:lang w:val="en-AU"/>
        </w:rPr>
        <w:t>.</w:t>
      </w:r>
    </w:p>
    <w:p w:rsidR="0010318C" w:rsidRPr="00CD3A14" w:rsidRDefault="0010318C" w:rsidP="0010318C">
      <w:pPr>
        <w:pStyle w:val="AGRHeading4"/>
      </w:pPr>
      <w:r w:rsidRPr="00CD3A14">
        <w:t>Department of the Chief Minister</w:t>
      </w:r>
    </w:p>
    <w:p w:rsidR="000456E6" w:rsidRPr="00CD3A14" w:rsidRDefault="000456E6" w:rsidP="0013400B">
      <w:pPr>
        <w:pStyle w:val="AGRBodyText"/>
        <w:rPr>
          <w:noProof w:val="0"/>
          <w:lang w:val="en-AU"/>
        </w:rPr>
      </w:pPr>
      <w:r w:rsidRPr="00CD3A14">
        <w:rPr>
          <w:noProof w:val="0"/>
          <w:lang w:val="en-AU"/>
        </w:rPr>
        <w:t xml:space="preserve">There were 48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$64.00.  I also noted that six card holders initiated less than eight transactions</w:t>
      </w:r>
      <w:r w:rsidR="00A52B71">
        <w:rPr>
          <w:noProof w:val="0"/>
          <w:lang w:val="en-AU"/>
        </w:rPr>
        <w:t xml:space="preserve"> </w:t>
      </w:r>
      <w:r w:rsidRPr="00CD3A14">
        <w:rPr>
          <w:noProof w:val="0"/>
          <w:lang w:val="en-AU"/>
        </w:rPr>
        <w:t>within the seven months analysed and I recommended that the Department of the Chief Minister (DCM) consider whether retention of these cards was necessary.</w:t>
      </w:r>
    </w:p>
    <w:p w:rsidR="000456E6" w:rsidRPr="00CD3A14" w:rsidRDefault="000456E6" w:rsidP="0013400B">
      <w:pPr>
        <w:pStyle w:val="AGRBodyText"/>
        <w:rPr>
          <w:noProof w:val="0"/>
          <w:lang w:val="en-AU"/>
        </w:rPr>
      </w:pPr>
      <w:r w:rsidRPr="00CD3A14">
        <w:rPr>
          <w:noProof w:val="0"/>
          <w:lang w:val="en-AU"/>
        </w:rPr>
        <w:t>In relation to the individual transactions recorded against the purchasing cards</w:t>
      </w:r>
      <w:r w:rsidR="003A7E18" w:rsidRPr="00CD3A14">
        <w:rPr>
          <w:noProof w:val="0"/>
          <w:lang w:val="en-AU"/>
        </w:rPr>
        <w:t>,</w:t>
      </w:r>
      <w:r w:rsidRPr="00CD3A14">
        <w:rPr>
          <w:noProof w:val="0"/>
          <w:lang w:val="en-AU"/>
        </w:rPr>
        <w:t xml:space="preserve"> a sample of six transactions was selected where DCM was asked to provide explanations. The Department identified that all transactions were valid.  </w:t>
      </w:r>
    </w:p>
    <w:p w:rsidR="00B245C8" w:rsidRPr="00CD3A14" w:rsidRDefault="00B245C8" w:rsidP="00B245C8">
      <w:pPr>
        <w:pStyle w:val="AGRHeading1"/>
      </w:pPr>
      <w:r w:rsidRPr="00CD3A14">
        <w:t xml:space="preserve">Selected Agencies </w:t>
      </w:r>
      <w:proofErr w:type="spellStart"/>
      <w:r w:rsidRPr="00CD3A14">
        <w:t>cont</w:t>
      </w:r>
      <w:proofErr w:type="spellEnd"/>
      <w:r w:rsidRPr="00CD3A14">
        <w:t>….</w:t>
      </w:r>
    </w:p>
    <w:p w:rsidR="00226D93" w:rsidRPr="00CD3A14" w:rsidRDefault="0010318C" w:rsidP="0010318C">
      <w:pPr>
        <w:pStyle w:val="AGRHeading4"/>
      </w:pPr>
      <w:r w:rsidRPr="00CD3A14">
        <w:t>Northern Territory Police, Fire and Emergency Services</w:t>
      </w:r>
    </w:p>
    <w:p w:rsidR="00B245C8" w:rsidRPr="00CD3A14" w:rsidRDefault="00B245C8" w:rsidP="0013400B">
      <w:pPr>
        <w:pStyle w:val="AGRBodyText"/>
        <w:rPr>
          <w:noProof w:val="0"/>
          <w:lang w:val="en-AU"/>
        </w:rPr>
      </w:pPr>
      <w:r w:rsidRPr="00CD3A14">
        <w:rPr>
          <w:noProof w:val="0"/>
          <w:lang w:val="en-AU"/>
        </w:rPr>
        <w:t xml:space="preserve">There were 303 card holders initiating transactions during the period of the assessment.  The lowest total expense amount on a particular card (i.e. the </w:t>
      </w:r>
      <w:proofErr w:type="gramStart"/>
      <w:r w:rsidRPr="00CD3A14">
        <w:rPr>
          <w:noProof w:val="0"/>
          <w:lang w:val="en-AU"/>
        </w:rPr>
        <w:t>total spend</w:t>
      </w:r>
      <w:proofErr w:type="gramEnd"/>
      <w:r w:rsidRPr="00CD3A14">
        <w:rPr>
          <w:noProof w:val="0"/>
          <w:lang w:val="en-AU"/>
        </w:rPr>
        <w:t xml:space="preserve"> for that card for the 7 month period) was $12.00.  I also noted that 78 card holders initiate</w:t>
      </w:r>
      <w:r w:rsidR="00A52B71">
        <w:rPr>
          <w:noProof w:val="0"/>
          <w:lang w:val="en-AU"/>
        </w:rPr>
        <w:t xml:space="preserve">d less than eight transactions </w:t>
      </w:r>
      <w:r w:rsidRPr="00CD3A14">
        <w:rPr>
          <w:noProof w:val="0"/>
          <w:lang w:val="en-AU"/>
        </w:rPr>
        <w:t>within the seven months analysed and I recommended that the Northern Territory Police, Fire and Emergency Services (NTPFES) consider whether retention of these cards was necessary.</w:t>
      </w:r>
    </w:p>
    <w:p w:rsidR="00B245C8" w:rsidRPr="00CD3A14" w:rsidRDefault="00B245C8" w:rsidP="0013400B">
      <w:pPr>
        <w:pStyle w:val="AGRBodyText"/>
        <w:rPr>
          <w:noProof w:val="0"/>
          <w:lang w:val="en-AU"/>
        </w:rPr>
      </w:pPr>
      <w:r w:rsidRPr="00CD3A14">
        <w:rPr>
          <w:noProof w:val="0"/>
          <w:lang w:val="en-AU"/>
        </w:rPr>
        <w:t xml:space="preserve">In relation to the individual transactions recorded against the purchasing cards a sample of 17 transactions (or groups of transactions) was selected where the </w:t>
      </w:r>
      <w:r w:rsidR="00137639" w:rsidRPr="00CD3A14">
        <w:rPr>
          <w:noProof w:val="0"/>
          <w:lang w:val="en-AU"/>
        </w:rPr>
        <w:t>NTPFES</w:t>
      </w:r>
      <w:r w:rsidRPr="00CD3A14">
        <w:rPr>
          <w:noProof w:val="0"/>
          <w:lang w:val="en-AU"/>
        </w:rPr>
        <w:t xml:space="preserve"> was asked to provide explanations. Explanations were sought in relation to the matters listed below:</w:t>
      </w:r>
    </w:p>
    <w:p w:rsidR="00B245C8" w:rsidRPr="00CD3A14" w:rsidRDefault="00B245C8" w:rsidP="0013400B">
      <w:pPr>
        <w:pStyle w:val="AGRBulletText"/>
        <w:numPr>
          <w:ilvl w:val="0"/>
          <w:numId w:val="14"/>
        </w:numPr>
        <w:rPr>
          <w:noProof w:val="0"/>
          <w:lang w:val="en-AU"/>
        </w:rPr>
      </w:pPr>
      <w:r w:rsidRPr="00CD3A14">
        <w:rPr>
          <w:noProof w:val="0"/>
          <w:lang w:val="en-AU"/>
        </w:rPr>
        <w:t>Treasurer’s Directions C3.3.4 states “A Corporate Credit Card must only be used for official, approved purposes and must not be used for</w:t>
      </w:r>
      <w:proofErr w:type="gramStart"/>
      <w:r w:rsidRPr="00CD3A14">
        <w:rPr>
          <w:noProof w:val="0"/>
          <w:lang w:val="en-AU"/>
        </w:rPr>
        <w:t>:  …</w:t>
      </w:r>
      <w:proofErr w:type="gramEnd"/>
      <w:r w:rsidRPr="00CD3A14">
        <w:rPr>
          <w:noProof w:val="0"/>
          <w:lang w:val="en-AU"/>
        </w:rPr>
        <w:t xml:space="preserve"> purchase of fuel and oils other than in exceptional circumstances”. </w:t>
      </w:r>
      <w:r w:rsidR="00137639" w:rsidRPr="00CD3A14">
        <w:rPr>
          <w:noProof w:val="0"/>
          <w:lang w:val="en-AU"/>
        </w:rPr>
        <w:t>T</w:t>
      </w:r>
      <w:r w:rsidRPr="00CD3A14">
        <w:rPr>
          <w:noProof w:val="0"/>
          <w:lang w:val="en-AU"/>
        </w:rPr>
        <w:t xml:space="preserve">here were </w:t>
      </w:r>
      <w:r w:rsidR="00137639" w:rsidRPr="00CD3A14">
        <w:rPr>
          <w:noProof w:val="0"/>
          <w:lang w:val="en-AU"/>
        </w:rPr>
        <w:t xml:space="preserve">over 200 </w:t>
      </w:r>
      <w:r w:rsidRPr="00CD3A14">
        <w:rPr>
          <w:noProof w:val="0"/>
          <w:lang w:val="en-AU"/>
        </w:rPr>
        <w:t>instances of fuel being purchased on a corporate credit card. After eliminating fuel purchases described as being for generators, motor mowers, hire cars, and similar items, or where the dedicated fuel card is reported to h</w:t>
      </w:r>
      <w:r w:rsidR="00137639" w:rsidRPr="00CD3A14">
        <w:rPr>
          <w:noProof w:val="0"/>
          <w:lang w:val="en-AU"/>
        </w:rPr>
        <w:t>ave failed, there are at least 151</w:t>
      </w:r>
      <w:r w:rsidRPr="00CD3A14">
        <w:rPr>
          <w:noProof w:val="0"/>
          <w:lang w:val="en-AU"/>
        </w:rPr>
        <w:t xml:space="preserve"> fuel related transactions remaining.</w:t>
      </w:r>
    </w:p>
    <w:p w:rsidR="00B245C8" w:rsidRPr="00CD3A14" w:rsidRDefault="00137639" w:rsidP="00BE0AA1">
      <w:pPr>
        <w:pStyle w:val="AGRBodyText"/>
        <w:ind w:left="1211"/>
        <w:rPr>
          <w:noProof w:val="0"/>
          <w:lang w:val="en-AU"/>
        </w:rPr>
      </w:pPr>
      <w:r w:rsidRPr="00CD3A14">
        <w:rPr>
          <w:noProof w:val="0"/>
          <w:lang w:val="en-AU"/>
        </w:rPr>
        <w:t>NTPFES</w:t>
      </w:r>
      <w:r w:rsidR="00B245C8" w:rsidRPr="00CD3A14">
        <w:rPr>
          <w:noProof w:val="0"/>
          <w:lang w:val="en-AU"/>
        </w:rPr>
        <w:t xml:space="preserve"> has indicated that the fuel purchases generally related to remote locations and </w:t>
      </w:r>
      <w:r w:rsidRPr="00CD3A14">
        <w:rPr>
          <w:noProof w:val="0"/>
          <w:lang w:val="en-AU"/>
        </w:rPr>
        <w:t>covert operations</w:t>
      </w:r>
      <w:r w:rsidR="00B245C8" w:rsidRPr="00CD3A14">
        <w:rPr>
          <w:noProof w:val="0"/>
          <w:lang w:val="en-AU"/>
        </w:rPr>
        <w:t>.  There are also instances where an incorrect fuel type was purchased with the usual fuel card being rejected for payment</w:t>
      </w:r>
      <w:r w:rsidRPr="00CD3A14">
        <w:rPr>
          <w:noProof w:val="0"/>
          <w:lang w:val="en-AU"/>
        </w:rPr>
        <w:t>, hire cars, other ancillary equipment and incorrect ledger coding</w:t>
      </w:r>
      <w:r w:rsidR="00B245C8" w:rsidRPr="00CD3A14">
        <w:rPr>
          <w:noProof w:val="0"/>
          <w:lang w:val="en-AU"/>
        </w:rPr>
        <w:t xml:space="preserve">.  </w:t>
      </w:r>
    </w:p>
    <w:p w:rsidR="00115E65" w:rsidRPr="00CD3A14" w:rsidRDefault="00115E65" w:rsidP="0013400B">
      <w:pPr>
        <w:pStyle w:val="AGRBulletText"/>
        <w:numPr>
          <w:ilvl w:val="0"/>
          <w:numId w:val="14"/>
        </w:numPr>
        <w:rPr>
          <w:noProof w:val="0"/>
          <w:lang w:val="en-AU"/>
        </w:rPr>
      </w:pPr>
      <w:r w:rsidRPr="00CD3A14">
        <w:rPr>
          <w:noProof w:val="0"/>
          <w:lang w:val="en-AU"/>
        </w:rPr>
        <w:t>One transaction was undertaken on 16 January with a reversal being recorded on 9 May.</w:t>
      </w:r>
    </w:p>
    <w:p w:rsidR="00115E65" w:rsidRPr="00CD3A14" w:rsidRDefault="00115E65" w:rsidP="00BE0AA1">
      <w:pPr>
        <w:pStyle w:val="AGRBodyText"/>
        <w:ind w:left="1211"/>
        <w:rPr>
          <w:noProof w:val="0"/>
          <w:lang w:val="en-AU"/>
        </w:rPr>
      </w:pPr>
      <w:r w:rsidRPr="00CD3A14">
        <w:rPr>
          <w:noProof w:val="0"/>
          <w:lang w:val="en-AU"/>
        </w:rPr>
        <w:t>NTPFES has indicated that this was a one-off transaction that was made as a pre</w:t>
      </w:r>
      <w:r w:rsidRPr="00CD3A14">
        <w:rPr>
          <w:noProof w:val="0"/>
          <w:lang w:val="en-AU"/>
        </w:rPr>
        <w:noBreakHyphen/>
        <w:t>payment for software which the company subsequently could not provide.  The individual who initiated the pre</w:t>
      </w:r>
      <w:r w:rsidRPr="00CD3A14">
        <w:rPr>
          <w:noProof w:val="0"/>
          <w:lang w:val="en-AU"/>
        </w:rPr>
        <w:noBreakHyphen/>
        <w:t xml:space="preserve">payment has received counselling about the </w:t>
      </w:r>
      <w:r w:rsidR="00C16175" w:rsidRPr="00CD3A14">
        <w:rPr>
          <w:noProof w:val="0"/>
          <w:lang w:val="en-AU"/>
        </w:rPr>
        <w:t>inappropriateness</w:t>
      </w:r>
      <w:r w:rsidRPr="00CD3A14">
        <w:rPr>
          <w:noProof w:val="0"/>
          <w:lang w:val="en-AU"/>
        </w:rPr>
        <w:t xml:space="preserve"> of pre-payments.</w:t>
      </w:r>
    </w:p>
    <w:p w:rsidR="00115E65" w:rsidRPr="00CD3A14" w:rsidRDefault="00C16175" w:rsidP="0013400B">
      <w:pPr>
        <w:pStyle w:val="AGRBulletText"/>
        <w:numPr>
          <w:ilvl w:val="0"/>
          <w:numId w:val="14"/>
        </w:numPr>
        <w:rPr>
          <w:noProof w:val="0"/>
          <w:lang w:val="en-AU"/>
        </w:rPr>
      </w:pPr>
      <w:r w:rsidRPr="00CD3A14">
        <w:rPr>
          <w:noProof w:val="0"/>
          <w:lang w:val="en-AU"/>
        </w:rPr>
        <w:t>Multiple purchases from Appl</w:t>
      </w:r>
      <w:r w:rsidR="00115E65" w:rsidRPr="00CD3A14">
        <w:rPr>
          <w:noProof w:val="0"/>
          <w:lang w:val="en-AU"/>
        </w:rPr>
        <w:t>e ITunes Store for ‘TN3270 apps’.</w:t>
      </w:r>
    </w:p>
    <w:p w:rsidR="00115E65" w:rsidRPr="00CD3A14" w:rsidRDefault="00115E65" w:rsidP="00BE0AA1">
      <w:pPr>
        <w:pStyle w:val="AGRBodyText"/>
        <w:ind w:left="1211"/>
        <w:rPr>
          <w:noProof w:val="0"/>
          <w:lang w:val="en-AU"/>
        </w:rPr>
      </w:pPr>
      <w:r w:rsidRPr="00CD3A14">
        <w:rPr>
          <w:noProof w:val="0"/>
          <w:lang w:val="en-AU"/>
        </w:rPr>
        <w:t>NTPFES has identified that these were valid transactions as only 100 licences could be purchased at one time</w:t>
      </w:r>
      <w:r w:rsidR="00A535B0" w:rsidRPr="00CD3A14">
        <w:rPr>
          <w:noProof w:val="0"/>
          <w:lang w:val="en-AU"/>
        </w:rPr>
        <w:t>,</w:t>
      </w:r>
      <w:r w:rsidRPr="00CD3A14">
        <w:rPr>
          <w:noProof w:val="0"/>
          <w:lang w:val="en-AU"/>
        </w:rPr>
        <w:t xml:space="preserve"> hence the multiple purchases.</w:t>
      </w:r>
    </w:p>
    <w:p w:rsidR="00137639" w:rsidRPr="00CD3A14" w:rsidRDefault="00115E65" w:rsidP="0013400B">
      <w:pPr>
        <w:pStyle w:val="AGRBulletText"/>
        <w:numPr>
          <w:ilvl w:val="0"/>
          <w:numId w:val="14"/>
        </w:numPr>
        <w:rPr>
          <w:noProof w:val="0"/>
          <w:lang w:val="en-AU"/>
        </w:rPr>
      </w:pPr>
      <w:r w:rsidRPr="00CD3A14">
        <w:rPr>
          <w:noProof w:val="0"/>
          <w:lang w:val="en-AU"/>
        </w:rPr>
        <w:t>Four</w:t>
      </w:r>
      <w:r w:rsidR="00137639" w:rsidRPr="00CD3A14">
        <w:rPr>
          <w:noProof w:val="0"/>
          <w:lang w:val="en-AU"/>
        </w:rPr>
        <w:t xml:space="preserve"> </w:t>
      </w:r>
      <w:r w:rsidR="00C16175" w:rsidRPr="00CD3A14">
        <w:rPr>
          <w:noProof w:val="0"/>
          <w:lang w:val="en-AU"/>
        </w:rPr>
        <w:t>purchases were chosen</w:t>
      </w:r>
      <w:r w:rsidR="00571C2A" w:rsidRPr="00CD3A14">
        <w:rPr>
          <w:noProof w:val="0"/>
          <w:lang w:val="en-AU"/>
        </w:rPr>
        <w:t xml:space="preserve"> due to the nature of the transaction or des</w:t>
      </w:r>
      <w:r w:rsidR="00C16175" w:rsidRPr="00CD3A14">
        <w:rPr>
          <w:noProof w:val="0"/>
          <w:lang w:val="en-AU"/>
        </w:rPr>
        <w:t>c</w:t>
      </w:r>
      <w:r w:rsidR="00571C2A" w:rsidRPr="00CD3A14">
        <w:rPr>
          <w:noProof w:val="0"/>
          <w:lang w:val="en-AU"/>
        </w:rPr>
        <w:t>ription</w:t>
      </w:r>
      <w:r w:rsidR="00137639" w:rsidRPr="00CD3A14">
        <w:rPr>
          <w:noProof w:val="0"/>
          <w:lang w:val="en-AU"/>
        </w:rPr>
        <w:t>.</w:t>
      </w:r>
    </w:p>
    <w:p w:rsidR="00137639" w:rsidRPr="00CD3A14" w:rsidRDefault="00137639" w:rsidP="00BE0AA1">
      <w:pPr>
        <w:pStyle w:val="AGRBodyText"/>
        <w:ind w:left="1211"/>
        <w:rPr>
          <w:noProof w:val="0"/>
          <w:lang w:val="en-AU"/>
        </w:rPr>
      </w:pPr>
      <w:r w:rsidRPr="00CD3A14">
        <w:rPr>
          <w:noProof w:val="0"/>
          <w:lang w:val="en-AU"/>
        </w:rPr>
        <w:t>NTPFES has indicated the purchase</w:t>
      </w:r>
      <w:r w:rsidR="00571C2A" w:rsidRPr="00CD3A14">
        <w:rPr>
          <w:noProof w:val="0"/>
          <w:lang w:val="en-AU"/>
        </w:rPr>
        <w:t>s</w:t>
      </w:r>
      <w:r w:rsidRPr="00CD3A14">
        <w:rPr>
          <w:noProof w:val="0"/>
          <w:lang w:val="en-AU"/>
        </w:rPr>
        <w:t xml:space="preserve"> </w:t>
      </w:r>
      <w:r w:rsidR="00571C2A" w:rsidRPr="00CD3A14">
        <w:rPr>
          <w:noProof w:val="0"/>
          <w:lang w:val="en-AU"/>
        </w:rPr>
        <w:t>were</w:t>
      </w:r>
      <w:r w:rsidRPr="00CD3A14">
        <w:rPr>
          <w:noProof w:val="0"/>
          <w:lang w:val="en-AU"/>
        </w:rPr>
        <w:t xml:space="preserve"> valid however no Industry Capability Network NT (ICNNT) check was conducted.</w:t>
      </w:r>
    </w:p>
    <w:p w:rsidR="002B4486" w:rsidRPr="00CD3A14" w:rsidRDefault="002B4486" w:rsidP="002B4486">
      <w:pPr>
        <w:pStyle w:val="AGRHeading1"/>
      </w:pPr>
      <w:r w:rsidRPr="00CD3A14">
        <w:t xml:space="preserve">Selected Agencies </w:t>
      </w:r>
      <w:proofErr w:type="spellStart"/>
      <w:r w:rsidRPr="00CD3A14">
        <w:t>cont</w:t>
      </w:r>
      <w:proofErr w:type="spellEnd"/>
      <w:r w:rsidRPr="00CD3A14">
        <w:t>….</w:t>
      </w:r>
    </w:p>
    <w:p w:rsidR="00571C2A" w:rsidRPr="00CD3A14" w:rsidRDefault="00115E65" w:rsidP="0013400B">
      <w:pPr>
        <w:pStyle w:val="AGRBulletText"/>
        <w:numPr>
          <w:ilvl w:val="0"/>
          <w:numId w:val="14"/>
        </w:numPr>
        <w:rPr>
          <w:noProof w:val="0"/>
          <w:lang w:val="en-AU"/>
        </w:rPr>
      </w:pPr>
      <w:r w:rsidRPr="00CD3A14">
        <w:rPr>
          <w:noProof w:val="0"/>
          <w:lang w:val="en-AU"/>
        </w:rPr>
        <w:t>Eight</w:t>
      </w:r>
      <w:r w:rsidR="00571C2A" w:rsidRPr="00CD3A14">
        <w:rPr>
          <w:noProof w:val="0"/>
          <w:lang w:val="en-AU"/>
        </w:rPr>
        <w:t xml:space="preserve"> other transactions were chosen due to the nature of the transaction or description.</w:t>
      </w:r>
    </w:p>
    <w:p w:rsidR="00571C2A" w:rsidRPr="00CD3A14" w:rsidRDefault="00571C2A" w:rsidP="00BE0AA1">
      <w:pPr>
        <w:pStyle w:val="AGRBodyText"/>
        <w:ind w:left="1211"/>
        <w:rPr>
          <w:noProof w:val="0"/>
          <w:lang w:val="en-AU"/>
        </w:rPr>
      </w:pPr>
      <w:r w:rsidRPr="00CD3A14">
        <w:rPr>
          <w:noProof w:val="0"/>
          <w:lang w:val="en-AU"/>
        </w:rPr>
        <w:t>NTPFES has identified that the transactions were valid.</w:t>
      </w:r>
    </w:p>
    <w:p w:rsidR="00226D93" w:rsidRPr="00CD3A14" w:rsidRDefault="00226D93" w:rsidP="0013400B">
      <w:pPr>
        <w:pStyle w:val="AGRBodyText"/>
        <w:rPr>
          <w:noProof w:val="0"/>
          <w:lang w:val="en-AU"/>
        </w:rPr>
      </w:pPr>
    </w:p>
    <w:p w:rsidR="00226D93" w:rsidRPr="00CD3A14" w:rsidRDefault="00226D93" w:rsidP="00226D93">
      <w:pPr>
        <w:pStyle w:val="AGRHeading1"/>
      </w:pPr>
      <w:r w:rsidRPr="00CD3A14">
        <w:t xml:space="preserve">Selected Agencies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B61EDF" w:rsidRPr="0018172D" w:rsidTr="00492BD8">
        <w:trPr>
          <w:tblHeader/>
        </w:trPr>
        <w:tc>
          <w:tcPr>
            <w:tcW w:w="8151" w:type="dxa"/>
            <w:shd w:val="clear" w:color="auto" w:fill="F2F2F2" w:themeFill="background1" w:themeFillShade="F2"/>
          </w:tcPr>
          <w:p w:rsidR="00B61EDF" w:rsidRPr="00516156" w:rsidRDefault="00B61EDF" w:rsidP="00492BD8">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Corporate and Information Services has commented:</w:t>
            </w:r>
          </w:p>
        </w:tc>
      </w:tr>
      <w:tr w:rsidR="00B61EDF" w:rsidRPr="0018172D" w:rsidTr="00492BD8">
        <w:tc>
          <w:tcPr>
            <w:tcW w:w="8151" w:type="dxa"/>
            <w:shd w:val="clear" w:color="auto" w:fill="F2F2F2" w:themeFill="background1" w:themeFillShade="F2"/>
          </w:tcPr>
          <w:p w:rsidR="00B61EDF" w:rsidRPr="0018172D" w:rsidRDefault="002A3C5B" w:rsidP="002A3C5B">
            <w:pPr>
              <w:pStyle w:val="StyleAGRBodyCommentJustifiedLeft0cmPatternClearBa"/>
              <w:rPr>
                <w:sz w:val="21"/>
                <w:szCs w:val="21"/>
              </w:rPr>
            </w:pPr>
            <w:r>
              <w:rPr>
                <w:sz w:val="21"/>
                <w:szCs w:val="21"/>
              </w:rPr>
              <w:t>DCI</w:t>
            </w:r>
            <w:r w:rsidR="002E1CB5" w:rsidRPr="002E1CB5">
              <w:rPr>
                <w:sz w:val="21"/>
                <w:szCs w:val="21"/>
              </w:rPr>
              <w:t>S confirms that the identified card transactions were appropriate and in</w:t>
            </w:r>
            <w:r w:rsidR="002E1CB5">
              <w:rPr>
                <w:sz w:val="21"/>
                <w:szCs w:val="21"/>
              </w:rPr>
              <w:t xml:space="preserve"> </w:t>
            </w:r>
            <w:r w:rsidR="002E1CB5" w:rsidRPr="002E1CB5">
              <w:rPr>
                <w:sz w:val="21"/>
                <w:szCs w:val="21"/>
              </w:rPr>
              <w:t>accord with procedures and that card usage and business requirements</w:t>
            </w:r>
            <w:r w:rsidR="002E1CB5">
              <w:rPr>
                <w:sz w:val="21"/>
                <w:szCs w:val="21"/>
              </w:rPr>
              <w:t xml:space="preserve"> </w:t>
            </w:r>
            <w:r w:rsidR="002E1CB5" w:rsidRPr="002E1CB5">
              <w:rPr>
                <w:sz w:val="21"/>
                <w:szCs w:val="21"/>
              </w:rPr>
              <w:t xml:space="preserve">have been </w:t>
            </w:r>
            <w:r w:rsidR="002E1CB5">
              <w:rPr>
                <w:sz w:val="21"/>
                <w:szCs w:val="21"/>
              </w:rPr>
              <w:t>c</w:t>
            </w:r>
            <w:r w:rsidR="002E1CB5" w:rsidRPr="002E1CB5">
              <w:rPr>
                <w:sz w:val="21"/>
                <w:szCs w:val="21"/>
              </w:rPr>
              <w:t>onsidered. In relation to system enhancements identified, action</w:t>
            </w:r>
            <w:r>
              <w:rPr>
                <w:sz w:val="21"/>
                <w:szCs w:val="21"/>
              </w:rPr>
              <w:t xml:space="preserve"> i</w:t>
            </w:r>
            <w:r w:rsidR="002E1CB5" w:rsidRPr="002E1CB5">
              <w:rPr>
                <w:sz w:val="21"/>
                <w:szCs w:val="21"/>
              </w:rPr>
              <w:t>s being progressed to improve system security</w:t>
            </w:r>
            <w:r w:rsidR="00B61EDF" w:rsidRPr="0018172D">
              <w:rPr>
                <w:sz w:val="21"/>
                <w:szCs w:val="21"/>
              </w:rPr>
              <w:t>.</w:t>
            </w:r>
          </w:p>
        </w:tc>
      </w:tr>
    </w:tbl>
    <w:p w:rsidR="001E5E5C" w:rsidRDefault="001E5E5C" w:rsidP="000B351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1E5E5C">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Health has commented:</w:t>
            </w:r>
          </w:p>
        </w:tc>
      </w:tr>
      <w:tr w:rsidR="001E5E5C" w:rsidRPr="0018172D" w:rsidTr="005E1FE4">
        <w:tc>
          <w:tcPr>
            <w:tcW w:w="8151" w:type="dxa"/>
            <w:shd w:val="clear" w:color="auto" w:fill="F2F2F2" w:themeFill="background1" w:themeFillShade="F2"/>
          </w:tcPr>
          <w:p w:rsidR="001E5E5C" w:rsidRPr="0018172D" w:rsidRDefault="004C233A" w:rsidP="005E1FE4">
            <w:pPr>
              <w:pStyle w:val="StyleAGRBodyCommentJustifiedLeft0cmPatternClearBa"/>
              <w:rPr>
                <w:sz w:val="21"/>
                <w:szCs w:val="21"/>
              </w:rPr>
            </w:pPr>
            <w:proofErr w:type="spellStart"/>
            <w:r w:rsidRPr="004C233A">
              <w:rPr>
                <w:sz w:val="21"/>
                <w:szCs w:val="21"/>
              </w:rPr>
              <w:t>DoH</w:t>
            </w:r>
            <w:proofErr w:type="spellEnd"/>
            <w:r w:rsidRPr="004C233A">
              <w:rPr>
                <w:sz w:val="21"/>
                <w:szCs w:val="21"/>
              </w:rPr>
              <w:t xml:space="preserve"> acknowledges that there have been exceptions to Corporate Credit Card processing procedures and is proactively taking steps to increase compliance through follow up and education</w:t>
            </w:r>
            <w:r w:rsidR="001E5E5C" w:rsidRPr="0018172D">
              <w:rPr>
                <w:sz w:val="21"/>
                <w:szCs w:val="21"/>
              </w:rPr>
              <w:t>.</w:t>
            </w:r>
          </w:p>
        </w:tc>
      </w:tr>
    </w:tbl>
    <w:p w:rsidR="001E5E5C" w:rsidRDefault="001E5E5C" w:rsidP="001E5E5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B61EDF" w:rsidRPr="0018172D" w:rsidTr="00492BD8">
        <w:trPr>
          <w:tblHeader/>
        </w:trPr>
        <w:tc>
          <w:tcPr>
            <w:tcW w:w="8151" w:type="dxa"/>
            <w:shd w:val="clear" w:color="auto" w:fill="F2F2F2" w:themeFill="background1" w:themeFillShade="F2"/>
          </w:tcPr>
          <w:p w:rsidR="00B61EDF" w:rsidRPr="00516156" w:rsidRDefault="00B61EDF" w:rsidP="00492BD8">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Attorney-General and Justice has commented:</w:t>
            </w:r>
          </w:p>
        </w:tc>
      </w:tr>
      <w:tr w:rsidR="00B61EDF" w:rsidRPr="0018172D" w:rsidTr="00492BD8">
        <w:tc>
          <w:tcPr>
            <w:tcW w:w="8151" w:type="dxa"/>
            <w:shd w:val="clear" w:color="auto" w:fill="F2F2F2" w:themeFill="background1" w:themeFillShade="F2"/>
          </w:tcPr>
          <w:p w:rsidR="00B61EDF" w:rsidRPr="0018172D" w:rsidRDefault="003E7D92" w:rsidP="003E7D92">
            <w:pPr>
              <w:pStyle w:val="StyleAGRBodyCommentJustifiedLeft0cmPatternClearBa"/>
              <w:rPr>
                <w:sz w:val="21"/>
                <w:szCs w:val="21"/>
              </w:rPr>
            </w:pPr>
            <w:r w:rsidRPr="003E7D92">
              <w:rPr>
                <w:sz w:val="21"/>
                <w:szCs w:val="21"/>
              </w:rPr>
              <w:t>In relation to the parking charge the Department's view remains that despite the terminology</w:t>
            </w:r>
            <w:r>
              <w:rPr>
                <w:sz w:val="21"/>
                <w:szCs w:val="21"/>
              </w:rPr>
              <w:t xml:space="preserve"> </w:t>
            </w:r>
            <w:r w:rsidRPr="003E7D92">
              <w:rPr>
                <w:sz w:val="21"/>
                <w:szCs w:val="21"/>
              </w:rPr>
              <w:t>used, the charge was neither a Traffic Infringement Notice, nor a fine but was a contractual</w:t>
            </w:r>
            <w:r>
              <w:rPr>
                <w:sz w:val="21"/>
                <w:szCs w:val="21"/>
              </w:rPr>
              <w:t xml:space="preserve"> </w:t>
            </w:r>
            <w:r w:rsidRPr="003E7D92">
              <w:rPr>
                <w:sz w:val="21"/>
                <w:szCs w:val="21"/>
              </w:rPr>
              <w:t>parking charge imposed by a landlord's car park manager. Notwithstanding this, AG</w:t>
            </w:r>
            <w:r>
              <w:rPr>
                <w:sz w:val="21"/>
                <w:szCs w:val="21"/>
              </w:rPr>
              <w:t>D</w:t>
            </w:r>
            <w:r w:rsidRPr="003E7D92">
              <w:rPr>
                <w:sz w:val="21"/>
                <w:szCs w:val="21"/>
              </w:rPr>
              <w:t xml:space="preserve"> will</w:t>
            </w:r>
            <w:r>
              <w:rPr>
                <w:sz w:val="21"/>
                <w:szCs w:val="21"/>
              </w:rPr>
              <w:t xml:space="preserve"> </w:t>
            </w:r>
            <w:r w:rsidRPr="003E7D92">
              <w:rPr>
                <w:sz w:val="21"/>
                <w:szCs w:val="21"/>
              </w:rPr>
              <w:t>take steps to ensure these types of payments are not made in future</w:t>
            </w:r>
            <w:r w:rsidR="00B61EDF" w:rsidRPr="0018172D">
              <w:rPr>
                <w:sz w:val="21"/>
                <w:szCs w:val="21"/>
              </w:rPr>
              <w:t>.</w:t>
            </w:r>
          </w:p>
        </w:tc>
      </w:tr>
    </w:tbl>
    <w:p w:rsidR="00B61EDF" w:rsidRDefault="00B61EDF" w:rsidP="001E5E5C">
      <w:pPr>
        <w:rPr>
          <w:i/>
          <w:iCs/>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B61EDF" w:rsidRPr="0018172D" w:rsidTr="00492BD8">
        <w:trPr>
          <w:tblHeader/>
        </w:trPr>
        <w:tc>
          <w:tcPr>
            <w:tcW w:w="8151" w:type="dxa"/>
            <w:shd w:val="clear" w:color="auto" w:fill="F2F2F2" w:themeFill="background1" w:themeFillShade="F2"/>
          </w:tcPr>
          <w:p w:rsidR="00B61EDF" w:rsidRPr="00516156" w:rsidRDefault="00B61EDF" w:rsidP="00492BD8">
            <w:pPr>
              <w:pStyle w:val="StyleAGRHeadingCommentJustifiedLeft0cm"/>
              <w:jc w:val="left"/>
              <w:rPr>
                <w:rFonts w:ascii="Arial" w:hAnsi="Arial" w:cs="Arial"/>
                <w:sz w:val="22"/>
                <w:szCs w:val="22"/>
                <w:lang w:val="en-AU"/>
              </w:rPr>
            </w:pPr>
            <w:r w:rsidRPr="00516156">
              <w:rPr>
                <w:rFonts w:ascii="Arial" w:hAnsi="Arial" w:cs="Arial"/>
                <w:sz w:val="22"/>
                <w:szCs w:val="22"/>
                <w:lang w:val="en-AU"/>
              </w:rPr>
              <w:t>The Department of the Chief Minister has commented:</w:t>
            </w:r>
          </w:p>
        </w:tc>
      </w:tr>
      <w:tr w:rsidR="00B61EDF" w:rsidRPr="0018172D" w:rsidTr="00492BD8">
        <w:tc>
          <w:tcPr>
            <w:tcW w:w="8151" w:type="dxa"/>
            <w:shd w:val="clear" w:color="auto" w:fill="F2F2F2" w:themeFill="background1" w:themeFillShade="F2"/>
          </w:tcPr>
          <w:p w:rsidR="00B61EDF" w:rsidRPr="0018172D" w:rsidRDefault="00B61EDF" w:rsidP="00492BD8">
            <w:pPr>
              <w:pStyle w:val="StyleAGRBodyCommentJustifiedLeft0cmPatternClearBa"/>
              <w:rPr>
                <w:sz w:val="21"/>
                <w:szCs w:val="21"/>
              </w:rPr>
            </w:pPr>
            <w:r w:rsidRPr="0018172D">
              <w:rPr>
                <w:sz w:val="21"/>
                <w:szCs w:val="21"/>
              </w:rPr>
              <w:t>Findings from the Purchasing Cards audit of the department have been noted.</w:t>
            </w:r>
          </w:p>
        </w:tc>
      </w:tr>
    </w:tbl>
    <w:p w:rsidR="00B61EDF" w:rsidRDefault="00B61EDF" w:rsidP="001E5E5C">
      <w:pPr>
        <w:rPr>
          <w:i/>
          <w:iCs/>
        </w:rPr>
      </w:pPr>
    </w:p>
    <w:p w:rsidR="000F4C1B" w:rsidRPr="00CD3A14" w:rsidRDefault="000F4C1B" w:rsidP="000F4C1B">
      <w:pPr>
        <w:pStyle w:val="AGRHeading1"/>
      </w:pPr>
      <w:r w:rsidRPr="00CD3A14">
        <w:t xml:space="preserve">Selected Agencies </w:t>
      </w:r>
      <w:proofErr w:type="spellStart"/>
      <w:r w:rsidRPr="00CD3A14">
        <w:t>cont</w:t>
      </w:r>
      <w:proofErr w:type="spellEnd"/>
      <w:r w:rsidRPr="00CD3A14">
        <w: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1E5E5C" w:rsidRPr="0018172D" w:rsidTr="005E1FE4">
        <w:trPr>
          <w:tblHeader/>
        </w:trPr>
        <w:tc>
          <w:tcPr>
            <w:tcW w:w="8151" w:type="dxa"/>
            <w:shd w:val="clear" w:color="auto" w:fill="F2F2F2" w:themeFill="background1" w:themeFillShade="F2"/>
          </w:tcPr>
          <w:p w:rsidR="001E5E5C" w:rsidRPr="00516156" w:rsidRDefault="001E5E5C" w:rsidP="005E1FE4">
            <w:pPr>
              <w:pStyle w:val="StyleAGRHeadingCommentJustifiedLeft0cm"/>
              <w:jc w:val="left"/>
              <w:rPr>
                <w:rFonts w:ascii="Arial" w:hAnsi="Arial" w:cs="Arial"/>
                <w:sz w:val="22"/>
                <w:szCs w:val="22"/>
                <w:lang w:val="en-AU"/>
              </w:rPr>
            </w:pPr>
            <w:r w:rsidRPr="00516156">
              <w:rPr>
                <w:rFonts w:ascii="Arial" w:hAnsi="Arial" w:cs="Arial"/>
                <w:sz w:val="22"/>
                <w:szCs w:val="22"/>
                <w:lang w:val="en-AU"/>
              </w:rPr>
              <w:t>Northern Territory P</w:t>
            </w:r>
            <w:r w:rsidR="00B61EDF" w:rsidRPr="00516156">
              <w:rPr>
                <w:rFonts w:ascii="Arial" w:hAnsi="Arial" w:cs="Arial"/>
                <w:sz w:val="22"/>
                <w:szCs w:val="22"/>
                <w:lang w:val="en-AU"/>
              </w:rPr>
              <w:t>olice, Fire and Emergency Servi</w:t>
            </w:r>
            <w:r w:rsidRPr="00516156">
              <w:rPr>
                <w:rFonts w:ascii="Arial" w:hAnsi="Arial" w:cs="Arial"/>
                <w:sz w:val="22"/>
                <w:szCs w:val="22"/>
                <w:lang w:val="en-AU"/>
              </w:rPr>
              <w:t>ces has commented:</w:t>
            </w:r>
          </w:p>
        </w:tc>
      </w:tr>
      <w:tr w:rsidR="001E5E5C" w:rsidRPr="0018172D" w:rsidTr="005E1FE4">
        <w:tc>
          <w:tcPr>
            <w:tcW w:w="8151" w:type="dxa"/>
            <w:shd w:val="clear" w:color="auto" w:fill="F2F2F2" w:themeFill="background1" w:themeFillShade="F2"/>
          </w:tcPr>
          <w:p w:rsidR="001E5E5C" w:rsidRPr="0018172D" w:rsidRDefault="0076572A" w:rsidP="005E1FE4">
            <w:pPr>
              <w:pStyle w:val="StyleAGRBodyCommentJustifiedLeft0cmPatternClearBa"/>
              <w:rPr>
                <w:sz w:val="21"/>
                <w:szCs w:val="21"/>
              </w:rPr>
            </w:pPr>
            <w:r w:rsidRPr="0076572A">
              <w:rPr>
                <w:sz w:val="21"/>
                <w:szCs w:val="21"/>
              </w:rPr>
              <w:t xml:space="preserve">The Northern Territory Police, Fire and Emergency Services (NTPFES) acknowledge the key findings of the Purchasing Card Audit, and have implemented the audit’s key </w:t>
            </w:r>
            <w:r w:rsidR="00013427" w:rsidRPr="00013427">
              <w:rPr>
                <w:sz w:val="21"/>
                <w:szCs w:val="21"/>
              </w:rPr>
              <w:t>recommendations. The NTPFES continue to audit these functions internally and provide education to employees on the compliance requirements of the Treasurer’s Directions</w:t>
            </w:r>
            <w:r w:rsidR="001E5E5C" w:rsidRPr="0018172D">
              <w:rPr>
                <w:sz w:val="21"/>
                <w:szCs w:val="21"/>
              </w:rPr>
              <w:t>.</w:t>
            </w:r>
          </w:p>
        </w:tc>
      </w:tr>
    </w:tbl>
    <w:p w:rsidR="001E5E5C" w:rsidRDefault="001E5E5C" w:rsidP="001E5E5C">
      <w:pPr>
        <w:rPr>
          <w:i/>
          <w:iCs/>
        </w:rPr>
      </w:pPr>
    </w:p>
    <w:p w:rsidR="00F9424A" w:rsidRPr="00CD3A14" w:rsidRDefault="005841B9" w:rsidP="005841B9">
      <w:pPr>
        <w:pStyle w:val="AGRHeading1"/>
      </w:pPr>
      <w:r w:rsidRPr="00CD3A14">
        <w:t>Territory Insurance Office</w:t>
      </w:r>
    </w:p>
    <w:p w:rsidR="005841B9" w:rsidRPr="00CD3A14" w:rsidRDefault="00806C20" w:rsidP="005841B9">
      <w:pPr>
        <w:pStyle w:val="AGRHeading2"/>
      </w:pPr>
      <w:bookmarkStart w:id="34" w:name="tio"/>
      <w:r w:rsidRPr="00CD3A14">
        <w:t>Special Purpose Financial Reports</w:t>
      </w:r>
      <w:r w:rsidR="005841B9" w:rsidRPr="00CD3A14">
        <w:t xml:space="preserve"> at 31 December 2014</w:t>
      </w:r>
      <w:bookmarkEnd w:id="34"/>
    </w:p>
    <w:p w:rsidR="005841B9" w:rsidRPr="00CD3A14" w:rsidRDefault="005841B9" w:rsidP="005841B9">
      <w:pPr>
        <w:pStyle w:val="AGRHeading3"/>
      </w:pPr>
      <w:r w:rsidRPr="00CD3A14">
        <w:t>Background</w:t>
      </w:r>
    </w:p>
    <w:p w:rsidR="005841B9" w:rsidRPr="00CD3A14" w:rsidRDefault="005841B9" w:rsidP="005841B9">
      <w:pPr>
        <w:pStyle w:val="AGRBodyText"/>
        <w:rPr>
          <w:noProof w:val="0"/>
          <w:lang w:val="en-AU"/>
        </w:rPr>
      </w:pPr>
      <w:r w:rsidRPr="00CD3A14">
        <w:rPr>
          <w:noProof w:val="0"/>
          <w:lang w:val="en-AU"/>
        </w:rPr>
        <w:t xml:space="preserve">The Territory Insurance Office (TIO) was established under the </w:t>
      </w:r>
      <w:r w:rsidRPr="00CD3A14">
        <w:rPr>
          <w:i/>
          <w:noProof w:val="0"/>
          <w:lang w:val="en-AU"/>
        </w:rPr>
        <w:t>Territory Insurance Office Act</w:t>
      </w:r>
      <w:r w:rsidRPr="00CD3A14">
        <w:rPr>
          <w:noProof w:val="0"/>
          <w:lang w:val="en-AU"/>
        </w:rPr>
        <w:t xml:space="preserve"> however the Banking and Insurance businesses of TIO were sold to People</w:t>
      </w:r>
      <w:r w:rsidR="007336FD">
        <w:rPr>
          <w:noProof w:val="0"/>
          <w:lang w:val="en-AU"/>
        </w:rPr>
        <w:t>’</w:t>
      </w:r>
      <w:r w:rsidRPr="00CD3A14">
        <w:rPr>
          <w:noProof w:val="0"/>
          <w:lang w:val="en-AU"/>
        </w:rPr>
        <w:t>s Choice Credit Union and Allianz, respectively, on 1 January 2015</w:t>
      </w:r>
      <w:r w:rsidR="00F76C2B" w:rsidRPr="00CD3A14">
        <w:rPr>
          <w:noProof w:val="0"/>
          <w:lang w:val="en-AU"/>
        </w:rPr>
        <w:t>.  The related</w:t>
      </w:r>
      <w:r w:rsidRPr="00CD3A14">
        <w:rPr>
          <w:noProof w:val="0"/>
          <w:lang w:val="en-AU"/>
        </w:rPr>
        <w:t xml:space="preserve"> sale agreements for the businesses requir</w:t>
      </w:r>
      <w:r w:rsidR="00F76C2B" w:rsidRPr="00CD3A14">
        <w:rPr>
          <w:noProof w:val="0"/>
          <w:lang w:val="en-AU"/>
        </w:rPr>
        <w:t>ed</w:t>
      </w:r>
      <w:r w:rsidRPr="00CD3A14">
        <w:rPr>
          <w:noProof w:val="0"/>
          <w:lang w:val="en-AU"/>
        </w:rPr>
        <w:t xml:space="preserve"> the preparation and audit of </w:t>
      </w:r>
      <w:r w:rsidR="00806C20" w:rsidRPr="00CD3A14">
        <w:rPr>
          <w:noProof w:val="0"/>
          <w:lang w:val="en-AU"/>
        </w:rPr>
        <w:t>special purpose financial reports</w:t>
      </w:r>
      <w:r w:rsidR="00F76C2B" w:rsidRPr="00CD3A14">
        <w:rPr>
          <w:noProof w:val="0"/>
          <w:lang w:val="en-AU"/>
        </w:rPr>
        <w:t>, known as completion accounts,</w:t>
      </w:r>
      <w:r w:rsidRPr="00CD3A14">
        <w:rPr>
          <w:noProof w:val="0"/>
          <w:lang w:val="en-AU"/>
        </w:rPr>
        <w:t xml:space="preserve"> to verify the value of assets and liabilities at the time of sale. </w:t>
      </w:r>
    </w:p>
    <w:p w:rsidR="005841B9" w:rsidRPr="00CD3A14" w:rsidRDefault="005841B9" w:rsidP="005841B9">
      <w:pPr>
        <w:pStyle w:val="AGRBodyText"/>
        <w:rPr>
          <w:noProof w:val="0"/>
          <w:lang w:val="en-AU"/>
        </w:rPr>
      </w:pPr>
      <w:r w:rsidRPr="00CD3A14">
        <w:rPr>
          <w:noProof w:val="0"/>
          <w:lang w:val="en-AU"/>
        </w:rPr>
        <w:t xml:space="preserve">This audit </w:t>
      </w:r>
      <w:r w:rsidR="008C3D15" w:rsidRPr="00CD3A14">
        <w:rPr>
          <w:noProof w:val="0"/>
          <w:lang w:val="en-AU"/>
        </w:rPr>
        <w:t>was</w:t>
      </w:r>
      <w:r w:rsidRPr="00CD3A14">
        <w:rPr>
          <w:noProof w:val="0"/>
          <w:lang w:val="en-AU"/>
        </w:rPr>
        <w:t xml:space="preserve"> conducted in accordance with the direction given</w:t>
      </w:r>
      <w:r w:rsidR="008C3D15" w:rsidRPr="00CD3A14">
        <w:rPr>
          <w:noProof w:val="0"/>
          <w:lang w:val="en-AU"/>
        </w:rPr>
        <w:t xml:space="preserve"> to me</w:t>
      </w:r>
      <w:r w:rsidRPr="00CD3A14">
        <w:rPr>
          <w:noProof w:val="0"/>
          <w:lang w:val="en-AU"/>
        </w:rPr>
        <w:t xml:space="preserve"> by the Chief Minister of the Northern Territory dated 19 December 2014.</w:t>
      </w:r>
    </w:p>
    <w:p w:rsidR="005841B9" w:rsidRPr="00CD3A14" w:rsidRDefault="005841B9" w:rsidP="005841B9">
      <w:pPr>
        <w:pStyle w:val="AGRHeading3"/>
      </w:pPr>
      <w:r w:rsidRPr="00CD3A14">
        <w:t>Audit Opinion</w:t>
      </w:r>
    </w:p>
    <w:p w:rsidR="005841B9" w:rsidRPr="00CD3A14" w:rsidRDefault="005841B9" w:rsidP="005841B9">
      <w:pPr>
        <w:pStyle w:val="AGRBodyText"/>
        <w:rPr>
          <w:noProof w:val="0"/>
          <w:lang w:val="en-AU"/>
        </w:rPr>
      </w:pPr>
      <w:r w:rsidRPr="00CD3A14">
        <w:rPr>
          <w:noProof w:val="0"/>
          <w:lang w:val="en-AU"/>
        </w:rPr>
        <w:t>The audit</w:t>
      </w:r>
      <w:r w:rsidR="00806C20" w:rsidRPr="00CD3A14">
        <w:rPr>
          <w:noProof w:val="0"/>
          <w:lang w:val="en-AU"/>
        </w:rPr>
        <w:t>s</w:t>
      </w:r>
      <w:r w:rsidRPr="00CD3A14">
        <w:rPr>
          <w:noProof w:val="0"/>
          <w:lang w:val="en-AU"/>
        </w:rPr>
        <w:t xml:space="preserve"> of the </w:t>
      </w:r>
      <w:r w:rsidR="00806C20" w:rsidRPr="00CD3A14">
        <w:rPr>
          <w:noProof w:val="0"/>
          <w:lang w:val="en-AU"/>
        </w:rPr>
        <w:t xml:space="preserve">special purpose financial reports </w:t>
      </w:r>
      <w:r w:rsidRPr="00CD3A14">
        <w:rPr>
          <w:noProof w:val="0"/>
          <w:lang w:val="en-AU"/>
        </w:rPr>
        <w:t xml:space="preserve">of </w:t>
      </w:r>
      <w:r w:rsidR="00806C20" w:rsidRPr="00CD3A14">
        <w:rPr>
          <w:noProof w:val="0"/>
          <w:lang w:val="en-AU"/>
        </w:rPr>
        <w:t xml:space="preserve">the </w:t>
      </w:r>
      <w:r w:rsidRPr="00CD3A14">
        <w:rPr>
          <w:noProof w:val="0"/>
          <w:lang w:val="en-AU"/>
        </w:rPr>
        <w:t xml:space="preserve">Territory Insurance Office – Insurance Business and </w:t>
      </w:r>
      <w:r w:rsidR="00806C20" w:rsidRPr="00CD3A14">
        <w:rPr>
          <w:noProof w:val="0"/>
          <w:lang w:val="en-AU"/>
        </w:rPr>
        <w:t xml:space="preserve">the </w:t>
      </w:r>
      <w:r w:rsidRPr="00CD3A14">
        <w:rPr>
          <w:noProof w:val="0"/>
          <w:lang w:val="en-AU"/>
        </w:rPr>
        <w:t xml:space="preserve">Territory Insurance Office – Banking Business for the </w:t>
      </w:r>
      <w:r w:rsidR="00806C20" w:rsidRPr="00CD3A14">
        <w:rPr>
          <w:noProof w:val="0"/>
          <w:lang w:val="en-AU"/>
        </w:rPr>
        <w:t>six months</w:t>
      </w:r>
      <w:r w:rsidRPr="00CD3A14">
        <w:rPr>
          <w:noProof w:val="0"/>
          <w:lang w:val="en-AU"/>
        </w:rPr>
        <w:t xml:space="preserve"> ended 31 December 2014 resulted in unmodified audit opinion</w:t>
      </w:r>
      <w:r w:rsidR="00806C20" w:rsidRPr="00CD3A14">
        <w:rPr>
          <w:noProof w:val="0"/>
          <w:lang w:val="en-AU"/>
        </w:rPr>
        <w:t>s</w:t>
      </w:r>
      <w:r w:rsidRPr="00CD3A14">
        <w:rPr>
          <w:noProof w:val="0"/>
          <w:lang w:val="en-AU"/>
        </w:rPr>
        <w:t xml:space="preserve">.  </w:t>
      </w:r>
      <w:r w:rsidR="00806C20" w:rsidRPr="00CD3A14">
        <w:rPr>
          <w:noProof w:val="0"/>
          <w:lang w:val="en-AU"/>
        </w:rPr>
        <w:t>The</w:t>
      </w:r>
      <w:r w:rsidRPr="00CD3A14">
        <w:rPr>
          <w:noProof w:val="0"/>
          <w:lang w:val="en-AU"/>
        </w:rPr>
        <w:t xml:space="preserve"> opinion</w:t>
      </w:r>
      <w:r w:rsidR="00806C20" w:rsidRPr="00CD3A14">
        <w:rPr>
          <w:noProof w:val="0"/>
          <w:lang w:val="en-AU"/>
        </w:rPr>
        <w:t>s</w:t>
      </w:r>
      <w:r w:rsidRPr="00CD3A14">
        <w:rPr>
          <w:noProof w:val="0"/>
          <w:lang w:val="en-AU"/>
        </w:rPr>
        <w:t xml:space="preserve"> w</w:t>
      </w:r>
      <w:r w:rsidR="00806C20" w:rsidRPr="00CD3A14">
        <w:rPr>
          <w:noProof w:val="0"/>
          <w:lang w:val="en-AU"/>
        </w:rPr>
        <w:t>ere</w:t>
      </w:r>
      <w:r w:rsidRPr="00CD3A14">
        <w:rPr>
          <w:noProof w:val="0"/>
          <w:lang w:val="en-AU"/>
        </w:rPr>
        <w:t xml:space="preserve"> issued on </w:t>
      </w:r>
      <w:r w:rsidR="00806C20" w:rsidRPr="00CD3A14">
        <w:rPr>
          <w:noProof w:val="0"/>
          <w:lang w:val="en-AU"/>
        </w:rPr>
        <w:t>7 April</w:t>
      </w:r>
      <w:r w:rsidRPr="00CD3A14">
        <w:rPr>
          <w:noProof w:val="0"/>
          <w:lang w:val="en-AU"/>
        </w:rPr>
        <w:t xml:space="preserve"> 2015.</w:t>
      </w:r>
    </w:p>
    <w:p w:rsidR="00DD5A3B" w:rsidRDefault="00DD5A3B">
      <w:pPr>
        <w:keepLines w:val="0"/>
        <w:spacing w:after="0" w:line="240" w:lineRule="auto"/>
        <w:ind w:left="0"/>
        <w:rPr>
          <w:rFonts w:cs="Arial"/>
          <w:color w:val="000000" w:themeColor="text1"/>
          <w:sz w:val="20"/>
          <w:szCs w:val="20"/>
          <w:lang w:eastAsia="en-AU"/>
        </w:rPr>
      </w:pPr>
      <w:r>
        <w:br w:type="page"/>
      </w:r>
    </w:p>
    <w:p w:rsidR="005841B9" w:rsidRPr="00CD3A14" w:rsidRDefault="00DD5A3B" w:rsidP="005841B9">
      <w:pPr>
        <w:pStyle w:val="AGRBodyText"/>
        <w:rPr>
          <w:noProof w:val="0"/>
          <w:lang w:val="en-AU"/>
        </w:rPr>
      </w:pPr>
      <w:r w:rsidRPr="00CD3A14">
        <w:rPr>
          <w:lang w:val="en-AU"/>
        </w:rPr>
        <mc:AlternateContent>
          <mc:Choice Requires="wps">
            <w:drawing>
              <wp:anchor distT="0" distB="0" distL="114300" distR="114300" simplePos="0" relativeHeight="251712512" behindDoc="0" locked="0" layoutInCell="1" allowOverlap="1" wp14:anchorId="62A5BB1E" wp14:editId="0B08609E">
                <wp:simplePos x="0" y="0"/>
                <wp:positionH relativeFrom="page">
                  <wp:align>center</wp:align>
                </wp:positionH>
                <wp:positionV relativeFrom="page">
                  <wp:align>center</wp:align>
                </wp:positionV>
                <wp:extent cx="1836000" cy="291600"/>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DD5A3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0" style="position:absolute;left:0;text-align:left;margin-left:0;margin-top:0;width:144.55pt;height:22.95pt;z-index:2517125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" stroked="f" strokeweight="1pt">
                <v:textbox inset="0,0,0,0">
                  <w:txbxContent>
                    <w:p w:rsidR="002A3C5B" w:rsidRDefault="002A3C5B" w:rsidP="00DD5A3B">
                      <w:pPr>
                        <w:pStyle w:val="AGRTableText"/>
                      </w:pPr>
                      <w:r>
                        <w:t>This page deliberately left blank.</w:t>
                      </w:r>
                    </w:p>
                  </w:txbxContent>
                </v:textbox>
                <w10:wrap anchorx="page" anchory="page"/>
              </v:rect>
            </w:pict>
          </mc:Fallback>
        </mc:AlternateContent>
      </w:r>
    </w:p>
    <w:p w:rsidR="00BB1EAA" w:rsidRPr="00CD3A14" w:rsidRDefault="005764BC" w:rsidP="005764BC">
      <w:pPr>
        <w:pStyle w:val="AGRHeading1"/>
      </w:pPr>
      <w:r w:rsidRPr="00CD3A14">
        <w:t xml:space="preserve">Matters Referred to the Auditor-General Pursuant to Section 6 of the </w:t>
      </w:r>
      <w:bookmarkStart w:id="35" w:name="PIA"/>
      <w:r w:rsidR="00BB1EAA" w:rsidRPr="00CD3A14">
        <w:t>Public Information Act</w:t>
      </w:r>
      <w:bookmarkEnd w:id="35"/>
    </w:p>
    <w:p w:rsidR="00F34528" w:rsidRPr="00CD3A14" w:rsidRDefault="00C86532" w:rsidP="00015E27">
      <w:pPr>
        <w:pStyle w:val="AGRHeading2"/>
      </w:pPr>
      <w:r w:rsidRPr="00CD3A14">
        <w:t>Background</w:t>
      </w:r>
    </w:p>
    <w:p w:rsidR="00F34528" w:rsidRPr="00CD3A14" w:rsidRDefault="00C86532" w:rsidP="0013400B">
      <w:pPr>
        <w:pStyle w:val="AGRBodyText"/>
        <w:rPr>
          <w:noProof w:val="0"/>
          <w:lang w:val="en-AU"/>
        </w:rPr>
      </w:pPr>
      <w:r w:rsidRPr="00CD3A14">
        <w:rPr>
          <w:noProof w:val="0"/>
          <w:lang w:val="en-AU"/>
        </w:rPr>
        <w:t xml:space="preserve">The </w:t>
      </w:r>
      <w:r w:rsidRPr="00CD3A14">
        <w:rPr>
          <w:i/>
          <w:noProof w:val="0"/>
          <w:lang w:val="en-AU"/>
        </w:rPr>
        <w:t xml:space="preserve">Public Information Act </w:t>
      </w:r>
      <w:r w:rsidRPr="00CD3A14">
        <w:rPr>
          <w:noProof w:val="0"/>
          <w:lang w:val="en-AU"/>
        </w:rPr>
        <w:t>(the Act), which came into effect in 2010, seeks to achieve a transparent and accountable mechanism for the review of public information produced by public authorities.  A public a</w:t>
      </w:r>
      <w:r w:rsidR="0014511E" w:rsidRPr="00CD3A14">
        <w:rPr>
          <w:noProof w:val="0"/>
          <w:lang w:val="en-AU"/>
        </w:rPr>
        <w:t>uthority is defined in section 5</w:t>
      </w:r>
      <w:r w:rsidRPr="00CD3A14">
        <w:rPr>
          <w:noProof w:val="0"/>
          <w:lang w:val="en-AU"/>
        </w:rPr>
        <w:t xml:space="preserve"> of the Act and that definition is broad, capturing any:</w:t>
      </w:r>
    </w:p>
    <w:p w:rsidR="00C86532" w:rsidRPr="00CD3A14" w:rsidRDefault="00C86532" w:rsidP="0013400B">
      <w:pPr>
        <w:pStyle w:val="AGRBulletText"/>
        <w:numPr>
          <w:ilvl w:val="0"/>
          <w:numId w:val="9"/>
        </w:numPr>
        <w:rPr>
          <w:noProof w:val="0"/>
          <w:lang w:val="en-AU"/>
        </w:rPr>
      </w:pPr>
      <w:r w:rsidRPr="00CD3A14">
        <w:rPr>
          <w:noProof w:val="0"/>
          <w:lang w:val="en-AU"/>
        </w:rPr>
        <w:t>Member of the Legislative Assembly or the holder of any office of the Legislative Assembly;</w:t>
      </w:r>
    </w:p>
    <w:p w:rsidR="00C86532" w:rsidRPr="00CD3A14" w:rsidRDefault="00C86532" w:rsidP="0013400B">
      <w:pPr>
        <w:pStyle w:val="AGRBulletText"/>
        <w:numPr>
          <w:ilvl w:val="0"/>
          <w:numId w:val="9"/>
        </w:numPr>
        <w:rPr>
          <w:noProof w:val="0"/>
          <w:lang w:val="en-AU"/>
        </w:rPr>
      </w:pPr>
      <w:r w:rsidRPr="00CD3A14">
        <w:rPr>
          <w:noProof w:val="0"/>
          <w:lang w:val="en-AU"/>
        </w:rPr>
        <w:t>Agency or body corporate established under a law of the Territory;</w:t>
      </w:r>
    </w:p>
    <w:p w:rsidR="00C86532" w:rsidRPr="00CD3A14" w:rsidRDefault="00C86532" w:rsidP="0013400B">
      <w:pPr>
        <w:pStyle w:val="AGRBulletText"/>
        <w:numPr>
          <w:ilvl w:val="0"/>
          <w:numId w:val="9"/>
        </w:numPr>
        <w:rPr>
          <w:noProof w:val="0"/>
          <w:lang w:val="en-AU"/>
        </w:rPr>
      </w:pPr>
      <w:r w:rsidRPr="00CD3A14">
        <w:rPr>
          <w:noProof w:val="0"/>
          <w:lang w:val="en-AU"/>
        </w:rPr>
        <w:t>body corporate that is held to be controlled by a public authority; and</w:t>
      </w:r>
    </w:p>
    <w:p w:rsidR="00F34528" w:rsidRPr="00CD3A14" w:rsidRDefault="00C86532" w:rsidP="0013400B">
      <w:pPr>
        <w:pStyle w:val="AGRBulletText"/>
        <w:numPr>
          <w:ilvl w:val="0"/>
          <w:numId w:val="9"/>
        </w:numPr>
        <w:rPr>
          <w:noProof w:val="0"/>
          <w:lang w:val="en-AU"/>
        </w:rPr>
      </w:pPr>
      <w:proofErr w:type="gramStart"/>
      <w:r w:rsidRPr="00CD3A14">
        <w:rPr>
          <w:noProof w:val="0"/>
          <w:lang w:val="en-AU"/>
        </w:rPr>
        <w:t>person</w:t>
      </w:r>
      <w:proofErr w:type="gramEnd"/>
      <w:r w:rsidRPr="00CD3A14">
        <w:rPr>
          <w:noProof w:val="0"/>
          <w:lang w:val="en-AU"/>
        </w:rPr>
        <w:t xml:space="preserve"> appointed or engaged to perform work for a public authority.</w:t>
      </w:r>
    </w:p>
    <w:p w:rsidR="00C86532" w:rsidRPr="00CD3A14" w:rsidRDefault="00C86532" w:rsidP="0013400B">
      <w:pPr>
        <w:pStyle w:val="AGRBodyText"/>
        <w:rPr>
          <w:noProof w:val="0"/>
          <w:lang w:val="en-AU"/>
        </w:rPr>
      </w:pPr>
      <w:r w:rsidRPr="00CD3A14">
        <w:rPr>
          <w:noProof w:val="0"/>
          <w:lang w:val="en-AU"/>
        </w:rPr>
        <w:t>Excluded from the definition are holders or occupiers of:</w:t>
      </w:r>
    </w:p>
    <w:p w:rsidR="00C86532" w:rsidRPr="00CD3A14" w:rsidRDefault="00C86532" w:rsidP="0013400B">
      <w:pPr>
        <w:pStyle w:val="AGRBulletText"/>
        <w:numPr>
          <w:ilvl w:val="0"/>
          <w:numId w:val="9"/>
        </w:numPr>
        <w:rPr>
          <w:noProof w:val="0"/>
          <w:lang w:val="en-AU"/>
        </w:rPr>
      </w:pPr>
      <w:r w:rsidRPr="00CD3A14">
        <w:rPr>
          <w:noProof w:val="0"/>
          <w:lang w:val="en-AU"/>
        </w:rPr>
        <w:t>judicial office;</w:t>
      </w:r>
    </w:p>
    <w:p w:rsidR="00C86532" w:rsidRPr="00CD3A14" w:rsidRDefault="00C86532" w:rsidP="0013400B">
      <w:pPr>
        <w:pStyle w:val="AGRBulletText"/>
        <w:numPr>
          <w:ilvl w:val="0"/>
          <w:numId w:val="9"/>
        </w:numPr>
        <w:rPr>
          <w:noProof w:val="0"/>
          <w:lang w:val="en-AU"/>
        </w:rPr>
      </w:pPr>
      <w:r w:rsidRPr="00CD3A14">
        <w:rPr>
          <w:noProof w:val="0"/>
          <w:lang w:val="en-AU"/>
        </w:rPr>
        <w:t>an office as a member of a tribunal established under a law of the Territory;</w:t>
      </w:r>
    </w:p>
    <w:p w:rsidR="00C86532" w:rsidRPr="00CD3A14" w:rsidRDefault="00C86532" w:rsidP="0013400B">
      <w:pPr>
        <w:pStyle w:val="AGRBulletText"/>
        <w:numPr>
          <w:ilvl w:val="0"/>
          <w:numId w:val="9"/>
        </w:numPr>
        <w:rPr>
          <w:noProof w:val="0"/>
          <w:lang w:val="en-AU"/>
        </w:rPr>
      </w:pPr>
      <w:r w:rsidRPr="00CD3A14">
        <w:rPr>
          <w:noProof w:val="0"/>
          <w:lang w:val="en-AU"/>
        </w:rPr>
        <w:t>the Auditor-General;</w:t>
      </w:r>
    </w:p>
    <w:p w:rsidR="00C86532" w:rsidRPr="00CD3A14" w:rsidRDefault="00C86532" w:rsidP="0013400B">
      <w:pPr>
        <w:pStyle w:val="AGRBulletText"/>
        <w:numPr>
          <w:ilvl w:val="0"/>
          <w:numId w:val="9"/>
        </w:numPr>
        <w:rPr>
          <w:noProof w:val="0"/>
          <w:lang w:val="en-AU"/>
        </w:rPr>
      </w:pPr>
      <w:r w:rsidRPr="00CD3A14">
        <w:rPr>
          <w:noProof w:val="0"/>
          <w:lang w:val="en-AU"/>
        </w:rPr>
        <w:t xml:space="preserve">a council constituted pursuant to the </w:t>
      </w:r>
      <w:r w:rsidRPr="00CD3A14">
        <w:rPr>
          <w:i/>
          <w:noProof w:val="0"/>
          <w:lang w:val="en-AU"/>
        </w:rPr>
        <w:t>Local Government Act</w:t>
      </w:r>
      <w:r w:rsidRPr="00CD3A14">
        <w:rPr>
          <w:noProof w:val="0"/>
          <w:lang w:val="en-AU"/>
        </w:rPr>
        <w:t>;</w:t>
      </w:r>
    </w:p>
    <w:p w:rsidR="00C86532" w:rsidRPr="00CD3A14" w:rsidRDefault="00C86532" w:rsidP="0013400B">
      <w:pPr>
        <w:pStyle w:val="AGRBulletText"/>
        <w:numPr>
          <w:ilvl w:val="0"/>
          <w:numId w:val="9"/>
        </w:numPr>
        <w:rPr>
          <w:noProof w:val="0"/>
          <w:lang w:val="en-AU"/>
        </w:rPr>
      </w:pPr>
      <w:r w:rsidRPr="00CD3A14">
        <w:rPr>
          <w:noProof w:val="0"/>
          <w:lang w:val="en-AU"/>
        </w:rPr>
        <w:t>the Territory Insurance Office;</w:t>
      </w:r>
    </w:p>
    <w:p w:rsidR="00C86532" w:rsidRPr="00CD3A14" w:rsidRDefault="00C86532" w:rsidP="0013400B">
      <w:pPr>
        <w:pStyle w:val="AGRBulletText"/>
        <w:numPr>
          <w:ilvl w:val="0"/>
          <w:numId w:val="9"/>
        </w:numPr>
        <w:rPr>
          <w:noProof w:val="0"/>
          <w:lang w:val="en-AU"/>
        </w:rPr>
      </w:pPr>
      <w:r w:rsidRPr="00CD3A14">
        <w:rPr>
          <w:noProof w:val="0"/>
          <w:lang w:val="en-AU"/>
        </w:rPr>
        <w:t>the Power and Water Corporation; and</w:t>
      </w:r>
    </w:p>
    <w:p w:rsidR="00F34528" w:rsidRPr="00CD3A14" w:rsidRDefault="00C86532" w:rsidP="0013400B">
      <w:pPr>
        <w:pStyle w:val="AGRBulletText"/>
        <w:numPr>
          <w:ilvl w:val="0"/>
          <w:numId w:val="9"/>
        </w:numPr>
        <w:rPr>
          <w:noProof w:val="0"/>
          <w:lang w:val="en-AU"/>
        </w:rPr>
      </w:pPr>
      <w:proofErr w:type="gramStart"/>
      <w:r w:rsidRPr="00CD3A14">
        <w:rPr>
          <w:noProof w:val="0"/>
          <w:lang w:val="en-AU"/>
        </w:rPr>
        <w:t>a</w:t>
      </w:r>
      <w:proofErr w:type="gramEnd"/>
      <w:r w:rsidRPr="00CD3A14">
        <w:rPr>
          <w:noProof w:val="0"/>
          <w:lang w:val="en-AU"/>
        </w:rPr>
        <w:t xml:space="preserve"> person or body prescribed by regulation.</w:t>
      </w:r>
    </w:p>
    <w:p w:rsidR="00F34528" w:rsidRPr="00CD3A14" w:rsidRDefault="00C86532" w:rsidP="0013400B">
      <w:pPr>
        <w:pStyle w:val="AGRBodyText"/>
        <w:rPr>
          <w:noProof w:val="0"/>
          <w:lang w:val="en-AU"/>
        </w:rPr>
      </w:pPr>
      <w:r w:rsidRPr="00CD3A14">
        <w:rPr>
          <w:noProof w:val="0"/>
          <w:lang w:val="en-AU"/>
        </w:rPr>
        <w:t>The definition of what constitutes public information is equally broad and is defined as “</w:t>
      </w:r>
      <w:r w:rsidRPr="00CD3A14">
        <w:rPr>
          <w:i/>
          <w:noProof w:val="0"/>
          <w:lang w:val="en-AU"/>
        </w:rPr>
        <w:t>information given by a public authority to the public by using money or other property of the Territory…</w:t>
      </w:r>
      <w:proofErr w:type="gramStart"/>
      <w:r w:rsidRPr="00CD3A14">
        <w:rPr>
          <w:noProof w:val="0"/>
          <w:lang w:val="en-AU"/>
        </w:rPr>
        <w:t>”.</w:t>
      </w:r>
      <w:proofErr w:type="gramEnd"/>
      <w:r w:rsidRPr="00CD3A14">
        <w:rPr>
          <w:noProof w:val="0"/>
          <w:lang w:val="en-AU"/>
        </w:rPr>
        <w:t xml:space="preserve">  Exemptions from this definition are:</w:t>
      </w:r>
    </w:p>
    <w:p w:rsidR="00C86532" w:rsidRPr="00CD3A14" w:rsidRDefault="00C86532" w:rsidP="0013400B">
      <w:pPr>
        <w:pStyle w:val="AGRBulletText"/>
        <w:numPr>
          <w:ilvl w:val="0"/>
          <w:numId w:val="9"/>
        </w:numPr>
        <w:rPr>
          <w:noProof w:val="0"/>
          <w:lang w:val="en-AU"/>
        </w:rPr>
      </w:pPr>
      <w:r w:rsidRPr="00CD3A14">
        <w:rPr>
          <w:noProof w:val="0"/>
          <w:lang w:val="en-AU"/>
        </w:rPr>
        <w:t>information provided by a Member of the Legislative Assembly to members of his or her electorate if the preparation and giving of the information is funded by an allowance payable to the Member for the electorate under a law of the Territory;</w:t>
      </w:r>
    </w:p>
    <w:p w:rsidR="00C86532" w:rsidRPr="00CD3A14" w:rsidRDefault="00C86532" w:rsidP="0013400B">
      <w:pPr>
        <w:pStyle w:val="AGRBulletText"/>
        <w:numPr>
          <w:ilvl w:val="0"/>
          <w:numId w:val="9"/>
        </w:numPr>
        <w:rPr>
          <w:noProof w:val="0"/>
          <w:lang w:val="en-AU"/>
        </w:rPr>
      </w:pPr>
      <w:r w:rsidRPr="00CD3A14">
        <w:rPr>
          <w:noProof w:val="0"/>
          <w:lang w:val="en-AU"/>
        </w:rPr>
        <w:t>a media release of a Member of the Legislative Assembly; and</w:t>
      </w:r>
    </w:p>
    <w:p w:rsidR="00F34528" w:rsidRPr="00CD3A14" w:rsidRDefault="00C86532" w:rsidP="0013400B">
      <w:pPr>
        <w:pStyle w:val="AGRBulletText"/>
        <w:numPr>
          <w:ilvl w:val="0"/>
          <w:numId w:val="9"/>
        </w:numPr>
        <w:rPr>
          <w:noProof w:val="0"/>
          <w:lang w:val="en-AU"/>
        </w:rPr>
      </w:pPr>
      <w:proofErr w:type="gramStart"/>
      <w:r w:rsidRPr="00CD3A14">
        <w:rPr>
          <w:noProof w:val="0"/>
          <w:lang w:val="en-AU"/>
        </w:rPr>
        <w:t>information</w:t>
      </w:r>
      <w:proofErr w:type="gramEnd"/>
      <w:r w:rsidRPr="00CD3A14">
        <w:rPr>
          <w:noProof w:val="0"/>
          <w:lang w:val="en-AU"/>
        </w:rPr>
        <w:t xml:space="preserve"> prescribed by regulation.</w:t>
      </w:r>
    </w:p>
    <w:p w:rsidR="00015E27" w:rsidRPr="00CD3A14" w:rsidRDefault="00015E27" w:rsidP="00C67DA8">
      <w:pPr>
        <w:pStyle w:val="AGRHeading1"/>
      </w:pPr>
      <w:r w:rsidRPr="00CD3A14">
        <w:t xml:space="preserve">Matters Referred to </w:t>
      </w:r>
      <w:r w:rsidR="00AE2E56" w:rsidRPr="00CD3A14">
        <w:t xml:space="preserve">the </w:t>
      </w:r>
      <w:r w:rsidRPr="00CD3A14">
        <w:t>Auditor-General Pursuant to Section 6 of the Public</w:t>
      </w:r>
      <w:r w:rsidRPr="00CD3A14">
        <w:rPr>
          <w:highlight w:val="yellow"/>
        </w:rPr>
        <w:t xml:space="preserve"> </w:t>
      </w:r>
      <w:r w:rsidRPr="00CD3A14">
        <w:t xml:space="preserve">Information Act </w:t>
      </w:r>
      <w:proofErr w:type="spellStart"/>
      <w:r w:rsidRPr="00CD3A14">
        <w:t>cont</w:t>
      </w:r>
      <w:proofErr w:type="spellEnd"/>
      <w:r w:rsidRPr="00CD3A14">
        <w:t>…</w:t>
      </w:r>
    </w:p>
    <w:p w:rsidR="00CE3521" w:rsidRPr="00CD3A14" w:rsidRDefault="00CE3521" w:rsidP="00CE3521">
      <w:pPr>
        <w:rPr>
          <w:rFonts w:cs="Arial"/>
          <w:color w:val="000000" w:themeColor="text1"/>
          <w:sz w:val="20"/>
          <w:szCs w:val="20"/>
          <w:lang w:eastAsia="en-AU"/>
        </w:rPr>
      </w:pPr>
      <w:r w:rsidRPr="00CD3A14">
        <w:rPr>
          <w:rFonts w:cs="Arial"/>
          <w:color w:val="000000" w:themeColor="text1"/>
          <w:sz w:val="20"/>
          <w:szCs w:val="20"/>
          <w:lang w:eastAsia="en-AU"/>
        </w:rPr>
        <w:t xml:space="preserve">The Act </w:t>
      </w:r>
      <w:r w:rsidR="00C678A8" w:rsidRPr="00CD3A14">
        <w:rPr>
          <w:rFonts w:cs="Arial"/>
          <w:color w:val="000000" w:themeColor="text1"/>
          <w:sz w:val="20"/>
          <w:szCs w:val="20"/>
          <w:lang w:eastAsia="en-AU"/>
        </w:rPr>
        <w:t>does place a limit on</w:t>
      </w:r>
      <w:r w:rsidRPr="00CD3A14">
        <w:rPr>
          <w:rFonts w:cs="Arial"/>
          <w:color w:val="000000" w:themeColor="text1"/>
          <w:sz w:val="20"/>
          <w:szCs w:val="20"/>
          <w:lang w:eastAsia="en-AU"/>
        </w:rPr>
        <w:t xml:space="preserve"> the scope of what might be considered to be public information in that section 4(2) provides that a “</w:t>
      </w:r>
      <w:r w:rsidRPr="00CD3A14">
        <w:rPr>
          <w:rFonts w:cs="Arial"/>
          <w:i/>
          <w:color w:val="000000" w:themeColor="text1"/>
          <w:sz w:val="20"/>
          <w:szCs w:val="20"/>
          <w:lang w:eastAsia="en-AU"/>
        </w:rPr>
        <w:t>public authority gives information to the public when it makes the information available to the public generally (rather than any particular members of the public) through any medium</w:t>
      </w:r>
      <w:r w:rsidRPr="00CD3A14">
        <w:rPr>
          <w:rFonts w:cs="Arial"/>
          <w:color w:val="000000" w:themeColor="text1"/>
          <w:sz w:val="20"/>
          <w:szCs w:val="20"/>
          <w:lang w:eastAsia="en-AU"/>
        </w:rPr>
        <w:t>”.</w:t>
      </w:r>
    </w:p>
    <w:p w:rsidR="00C86532" w:rsidRPr="00CD3A14" w:rsidRDefault="00C86532" w:rsidP="0013400B">
      <w:pPr>
        <w:pStyle w:val="AGRBodyText"/>
        <w:rPr>
          <w:noProof w:val="0"/>
          <w:lang w:val="en-AU"/>
        </w:rPr>
      </w:pPr>
      <w:r w:rsidRPr="00CD3A14">
        <w:rPr>
          <w:noProof w:val="0"/>
          <w:lang w:val="en-AU"/>
        </w:rPr>
        <w:t>Section 6(1) of the Act provides that the Auditor-General must, upon the receipt of a written request of a Member of the Legislative Assembly, conduct a review of that information to determine whether the provisions of the Act have been contravened.</w:t>
      </w:r>
    </w:p>
    <w:p w:rsidR="00F34528" w:rsidRPr="00CD3A14" w:rsidRDefault="00C86532" w:rsidP="0013400B">
      <w:pPr>
        <w:pStyle w:val="AGRBodyText"/>
        <w:rPr>
          <w:noProof w:val="0"/>
          <w:lang w:val="en-AU"/>
        </w:rPr>
      </w:pPr>
      <w:r w:rsidRPr="00CD3A14">
        <w:rPr>
          <w:noProof w:val="0"/>
          <w:lang w:val="en-AU"/>
        </w:rPr>
        <w:t>The Auditor-General may determine that the Act has been contravened if the material that is the subject of the review contravenes section 6(2) of the Act in that it:</w:t>
      </w:r>
    </w:p>
    <w:p w:rsidR="00C86532" w:rsidRPr="00CD3A14" w:rsidRDefault="00C86532" w:rsidP="0013400B">
      <w:pPr>
        <w:pStyle w:val="AGRBulletText"/>
        <w:numPr>
          <w:ilvl w:val="0"/>
          <w:numId w:val="9"/>
        </w:numPr>
        <w:rPr>
          <w:noProof w:val="0"/>
          <w:lang w:val="en-AU"/>
        </w:rPr>
      </w:pPr>
      <w:r w:rsidRPr="00CD3A14">
        <w:rPr>
          <w:noProof w:val="0"/>
          <w:lang w:val="en-AU"/>
        </w:rPr>
        <w:t>promotes particular party interests;</w:t>
      </w:r>
    </w:p>
    <w:p w:rsidR="00C86532" w:rsidRPr="00CD3A14" w:rsidRDefault="00C86532" w:rsidP="0013400B">
      <w:pPr>
        <w:pStyle w:val="AGRBulletText"/>
        <w:numPr>
          <w:ilvl w:val="0"/>
          <w:numId w:val="9"/>
        </w:numPr>
        <w:rPr>
          <w:noProof w:val="0"/>
          <w:lang w:val="en-AU"/>
        </w:rPr>
      </w:pPr>
      <w:r w:rsidRPr="00CD3A14">
        <w:rPr>
          <w:noProof w:val="0"/>
          <w:lang w:val="en-AU"/>
        </w:rPr>
        <w:t>includes statements that are misleading or factually inaccurate; or</w:t>
      </w:r>
    </w:p>
    <w:p w:rsidR="00F34528" w:rsidRPr="00CD3A14" w:rsidRDefault="00C86532" w:rsidP="0013400B">
      <w:pPr>
        <w:pStyle w:val="AGRBulletText"/>
        <w:numPr>
          <w:ilvl w:val="0"/>
          <w:numId w:val="9"/>
        </w:numPr>
        <w:rPr>
          <w:noProof w:val="0"/>
          <w:lang w:val="en-AU"/>
        </w:rPr>
      </w:pPr>
      <w:proofErr w:type="gramStart"/>
      <w:r w:rsidRPr="00CD3A14">
        <w:rPr>
          <w:noProof w:val="0"/>
          <w:lang w:val="en-AU"/>
        </w:rPr>
        <w:t>does</w:t>
      </w:r>
      <w:proofErr w:type="gramEnd"/>
      <w:r w:rsidRPr="00CD3A14">
        <w:rPr>
          <w:noProof w:val="0"/>
          <w:lang w:val="en-AU"/>
        </w:rPr>
        <w:t xml:space="preserve"> not clearly distinguish a statement of facts from a statement of comments.</w:t>
      </w:r>
    </w:p>
    <w:p w:rsidR="002B4486" w:rsidRPr="00CD3A14" w:rsidRDefault="002B4486" w:rsidP="0013400B">
      <w:pPr>
        <w:pStyle w:val="AGRBodyText"/>
        <w:rPr>
          <w:noProof w:val="0"/>
          <w:lang w:val="en-AU"/>
        </w:rPr>
      </w:pPr>
      <w:r w:rsidRPr="00CD3A14">
        <w:rPr>
          <w:noProof w:val="0"/>
          <w:lang w:val="en-AU"/>
        </w:rPr>
        <w:t>There have been no matters referred since my February 2015 Report to the Legislative Assembly.</w:t>
      </w:r>
    </w:p>
    <w:p w:rsidR="002B4486" w:rsidRPr="00CD3A14" w:rsidRDefault="002B4486" w:rsidP="0013400B">
      <w:pPr>
        <w:pStyle w:val="AGRBodyText"/>
        <w:rPr>
          <w:noProof w:val="0"/>
          <w:lang w:val="en-AU"/>
        </w:rPr>
      </w:pPr>
    </w:p>
    <w:p w:rsidR="00CE3521" w:rsidRPr="00CD3A14" w:rsidRDefault="00CE3521" w:rsidP="0013400B">
      <w:pPr>
        <w:pStyle w:val="AGRBodyText"/>
        <w:rPr>
          <w:noProof w:val="0"/>
          <w:lang w:val="en-AU"/>
        </w:rPr>
      </w:pPr>
    </w:p>
    <w:p w:rsidR="00015E27" w:rsidRPr="00CD3A14" w:rsidRDefault="00015E27" w:rsidP="00E266E4">
      <w:pPr>
        <w:pStyle w:val="AGRHeading3"/>
        <w:sectPr w:rsidR="00015E27" w:rsidRPr="00CD3A14" w:rsidSect="00E0428E">
          <w:headerReference w:type="even" r:id="rId36"/>
          <w:headerReference w:type="default" r:id="rId37"/>
          <w:headerReference w:type="first" r:id="rId38"/>
          <w:pgSz w:w="11906" w:h="16838" w:code="9"/>
          <w:pgMar w:top="3119" w:right="1418" w:bottom="1134" w:left="1418" w:header="340" w:footer="567" w:gutter="284"/>
          <w:cols w:space="708"/>
          <w:docGrid w:linePitch="360"/>
        </w:sectPr>
      </w:pPr>
    </w:p>
    <w:p w:rsidR="00D73ABE" w:rsidRPr="00CD3A14" w:rsidRDefault="0035002A" w:rsidP="00F17534">
      <w:pPr>
        <w:pStyle w:val="AGRHeading1"/>
        <w:jc w:val="center"/>
      </w:pPr>
      <w:r w:rsidRPr="00CD3A14">
        <w:t>Appendices</w:t>
      </w:r>
    </w:p>
    <w:p w:rsidR="0035002A" w:rsidRPr="00CD3A14" w:rsidRDefault="0035002A" w:rsidP="00C67DA8">
      <w:pPr>
        <w:pStyle w:val="AGRHeading1"/>
        <w:sectPr w:rsidR="0035002A" w:rsidRPr="00CD3A14" w:rsidSect="00E0428E">
          <w:headerReference w:type="even" r:id="rId39"/>
          <w:headerReference w:type="default" r:id="rId40"/>
          <w:headerReference w:type="first" r:id="rId41"/>
          <w:pgSz w:w="11906" w:h="16838" w:code="9"/>
          <w:pgMar w:top="1287" w:right="1418" w:bottom="1134" w:left="1418" w:header="340" w:footer="567" w:gutter="284"/>
          <w:cols w:space="708"/>
          <w:vAlign w:val="center"/>
          <w:docGrid w:linePitch="360"/>
        </w:sectPr>
      </w:pPr>
    </w:p>
    <w:p w:rsidR="0035002A" w:rsidRPr="00CD3A14" w:rsidRDefault="00F5017F" w:rsidP="00C67DA8">
      <w:pPr>
        <w:pStyle w:val="AGRHeading1"/>
      </w:pPr>
      <w:r w:rsidRPr="00CD3A14">
        <w:rPr>
          <w:noProof/>
          <w:lang w:eastAsia="en-AU"/>
        </w:rPr>
        <mc:AlternateContent>
          <mc:Choice Requires="wps">
            <w:drawing>
              <wp:anchor distT="0" distB="0" distL="114300" distR="114300" simplePos="0" relativeHeight="251657216" behindDoc="0" locked="0" layoutInCell="1" allowOverlap="1" wp14:anchorId="30E0BE8A" wp14:editId="38FA83B6">
                <wp:simplePos x="0" y="0"/>
                <wp:positionH relativeFrom="page">
                  <wp:align>center</wp:align>
                </wp:positionH>
                <wp:positionV relativeFrom="page">
                  <wp:align>center</wp:align>
                </wp:positionV>
                <wp:extent cx="1837055" cy="292735"/>
                <wp:effectExtent l="1905"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0;margin-top:0;width:144.65pt;height:23.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HfQIAAAA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P6RHfQIAAAAFAAAO&#10;AAAAAAAAAAAAAAAAAC4CAABkcnMvZTJvRG9jLnhtbFBLAQItABQABgAIAAAAIQBAtcdy2gAAAAQB&#10;AAAPAAAAAAAAAAAAAAAAANcEAABkcnMvZG93bnJldi54bWxQSwUGAAAAAAQABADzAAAA3gUAAAAA&#10;" stroked="f" strokeweight="1pt">
                <v:textbox inset="0,0,0,0">
                  <w:txbxContent>
                    <w:p w:rsidR="002A3C5B" w:rsidRDefault="002A3C5B" w:rsidP="0035002A">
                      <w:pPr>
                        <w:pStyle w:val="AGRTableText"/>
                      </w:pPr>
                      <w:r>
                        <w:t>This page deliberately left blank.</w:t>
                      </w:r>
                    </w:p>
                  </w:txbxContent>
                </v:textbox>
                <w10:wrap anchorx="page" anchory="page"/>
              </v:rect>
            </w:pict>
          </mc:Fallback>
        </mc:AlternateContent>
      </w:r>
    </w:p>
    <w:p w:rsidR="00CE3C75" w:rsidRPr="00CD3A14" w:rsidRDefault="00CE3C75" w:rsidP="00C67DA8">
      <w:pPr>
        <w:pStyle w:val="AGRHeading1"/>
      </w:pPr>
      <w:bookmarkStart w:id="36" w:name="appendix_1"/>
      <w:r w:rsidRPr="00CD3A14">
        <w:t xml:space="preserve">Appendix 1: Audit Opinion </w:t>
      </w:r>
      <w:r w:rsidR="006E2C29" w:rsidRPr="00CD3A14">
        <w:t>R</w:t>
      </w:r>
      <w:r w:rsidRPr="00CD3A14">
        <w:t xml:space="preserve">eports </w:t>
      </w:r>
      <w:r w:rsidR="006E2C29" w:rsidRPr="00CD3A14">
        <w:t>I</w:t>
      </w:r>
      <w:r w:rsidR="004A41C8" w:rsidRPr="00CD3A14">
        <w:t xml:space="preserve">ssued </w:t>
      </w:r>
      <w:r w:rsidR="006E2C29" w:rsidRPr="00CD3A14">
        <w:t>S</w:t>
      </w:r>
      <w:r w:rsidR="00B51735" w:rsidRPr="00CD3A14">
        <w:t>i</w:t>
      </w:r>
      <w:r w:rsidR="007F13E1" w:rsidRPr="00CD3A14">
        <w:t>nc</w:t>
      </w:r>
      <w:r w:rsidRPr="00CD3A14">
        <w:t xml:space="preserve">e </w:t>
      </w:r>
      <w:r w:rsidR="00C64B1A" w:rsidRPr="00CD3A14">
        <w:t>31 December 2014</w:t>
      </w:r>
      <w:bookmarkEnd w:id="36"/>
    </w:p>
    <w:p w:rsidR="00293C4C" w:rsidRPr="00CD3A14" w:rsidRDefault="00293C4C" w:rsidP="00293C4C">
      <w:pPr>
        <w:pStyle w:val="AGRHeading2"/>
        <w:ind w:left="0"/>
      </w:pPr>
      <w:r w:rsidRPr="00CD3A14">
        <w:t xml:space="preserve">Financial Statements for the year ended </w:t>
      </w:r>
      <w:r w:rsidR="00C64B1A" w:rsidRPr="00CD3A14">
        <w:t>31 December 2014</w:t>
      </w:r>
    </w:p>
    <w:tbl>
      <w:tblPr>
        <w:tblW w:w="9108" w:type="dxa"/>
        <w:tblLayout w:type="fixed"/>
        <w:tblLook w:val="01E0" w:firstRow="1" w:lastRow="1" w:firstColumn="1" w:lastColumn="1" w:noHBand="0" w:noVBand="0"/>
      </w:tblPr>
      <w:tblGrid>
        <w:gridCol w:w="3708"/>
        <w:gridCol w:w="1800"/>
        <w:gridCol w:w="1800"/>
        <w:gridCol w:w="1800"/>
      </w:tblGrid>
      <w:tr w:rsidR="00293C4C" w:rsidRPr="00CD3A14" w:rsidTr="00387B93">
        <w:tc>
          <w:tcPr>
            <w:tcW w:w="3708" w:type="dxa"/>
            <w:tcBorders>
              <w:bottom w:val="single" w:sz="4" w:space="0" w:color="auto"/>
            </w:tcBorders>
            <w:vAlign w:val="bottom"/>
          </w:tcPr>
          <w:p w:rsidR="00293C4C" w:rsidRPr="00CD3A14" w:rsidRDefault="00293C4C" w:rsidP="00293C4C">
            <w:pPr>
              <w:pStyle w:val="AGRTOC"/>
            </w:pPr>
          </w:p>
        </w:tc>
        <w:tc>
          <w:tcPr>
            <w:tcW w:w="1800" w:type="dxa"/>
            <w:tcBorders>
              <w:bottom w:val="single" w:sz="4" w:space="0" w:color="auto"/>
            </w:tcBorders>
            <w:vAlign w:val="bottom"/>
          </w:tcPr>
          <w:p w:rsidR="00293C4C" w:rsidRPr="00CD3A14" w:rsidRDefault="00293C4C" w:rsidP="001357AC">
            <w:pPr>
              <w:pStyle w:val="AGRTableText"/>
              <w:jc w:val="center"/>
            </w:pPr>
            <w:r w:rsidRPr="00CD3A14">
              <w:t xml:space="preserve">Date </w:t>
            </w:r>
            <w:r w:rsidR="00313635" w:rsidRPr="00CD3A14">
              <w:t>201</w:t>
            </w:r>
            <w:r w:rsidR="002A3C5B">
              <w:t>4</w:t>
            </w:r>
            <w:r w:rsidRPr="00CD3A14">
              <w:t xml:space="preserve"> Financial Statements tabled to Legislative Assembly</w:t>
            </w:r>
          </w:p>
        </w:tc>
        <w:tc>
          <w:tcPr>
            <w:tcW w:w="1800" w:type="dxa"/>
            <w:tcBorders>
              <w:bottom w:val="single" w:sz="4" w:space="0" w:color="auto"/>
            </w:tcBorders>
            <w:vAlign w:val="bottom"/>
          </w:tcPr>
          <w:p w:rsidR="00293C4C" w:rsidRPr="00CD3A14" w:rsidRDefault="00293C4C" w:rsidP="00036669">
            <w:pPr>
              <w:pStyle w:val="AGRTableText"/>
              <w:jc w:val="center"/>
            </w:pPr>
            <w:r w:rsidRPr="00CD3A14">
              <w:t xml:space="preserve">Date of Audit report Year ended </w:t>
            </w:r>
            <w:r w:rsidR="00C64B1A" w:rsidRPr="00CD3A14">
              <w:t>31 December 2014</w:t>
            </w:r>
          </w:p>
        </w:tc>
        <w:tc>
          <w:tcPr>
            <w:tcW w:w="1800" w:type="dxa"/>
            <w:tcBorders>
              <w:bottom w:val="single" w:sz="4" w:space="0" w:color="auto"/>
            </w:tcBorders>
            <w:vAlign w:val="bottom"/>
          </w:tcPr>
          <w:p w:rsidR="00293C4C" w:rsidRPr="00CD3A14" w:rsidRDefault="00293C4C" w:rsidP="008D0827">
            <w:pPr>
              <w:pStyle w:val="AGRTableText"/>
              <w:jc w:val="center"/>
            </w:pPr>
            <w:r w:rsidRPr="00CD3A14">
              <w:t xml:space="preserve">Date of Audit report Year ended </w:t>
            </w:r>
            <w:r w:rsidR="00C64B1A" w:rsidRPr="00CD3A14">
              <w:t>31 December</w:t>
            </w:r>
            <w:r w:rsidRPr="00CD3A14">
              <w:t xml:space="preserve"> </w:t>
            </w:r>
            <w:r w:rsidR="00982C76" w:rsidRPr="00CD3A14">
              <w:t>201</w:t>
            </w:r>
            <w:r w:rsidR="008D0827" w:rsidRPr="00CD3A14">
              <w:t>3</w:t>
            </w:r>
          </w:p>
        </w:tc>
      </w:tr>
      <w:tr w:rsidR="008D0827" w:rsidRPr="00CD3A14" w:rsidTr="00387B93">
        <w:tc>
          <w:tcPr>
            <w:tcW w:w="3708" w:type="dxa"/>
          </w:tcPr>
          <w:p w:rsidR="008D0827" w:rsidRPr="00CD3A14" w:rsidRDefault="008D0827" w:rsidP="00293C4C">
            <w:pPr>
              <w:pStyle w:val="AGRTableText"/>
            </w:pPr>
            <w:r w:rsidRPr="00CD3A14">
              <w:t>Batchelor Institute of Indigenous Tertiary Education</w:t>
            </w:r>
          </w:p>
        </w:tc>
        <w:tc>
          <w:tcPr>
            <w:tcW w:w="1800" w:type="dxa"/>
            <w:tcBorders>
              <w:top w:val="single" w:sz="4" w:space="0" w:color="auto"/>
            </w:tcBorders>
            <w:shd w:val="clear" w:color="auto" w:fill="auto"/>
            <w:vAlign w:val="bottom"/>
          </w:tcPr>
          <w:p w:rsidR="008D0827" w:rsidRPr="00CD3A14" w:rsidRDefault="008D0827" w:rsidP="00293C4C">
            <w:pPr>
              <w:pStyle w:val="AGRTableNumbers"/>
              <w:jc w:val="right"/>
            </w:pPr>
            <w:r w:rsidRPr="00CD3A14">
              <w:t>Not yet tabled</w:t>
            </w:r>
          </w:p>
        </w:tc>
        <w:tc>
          <w:tcPr>
            <w:tcW w:w="1800" w:type="dxa"/>
            <w:tcBorders>
              <w:top w:val="single" w:sz="4" w:space="0" w:color="auto"/>
            </w:tcBorders>
            <w:shd w:val="clear" w:color="auto" w:fill="auto"/>
            <w:vAlign w:val="bottom"/>
          </w:tcPr>
          <w:p w:rsidR="008D0827" w:rsidRPr="00CD3A14" w:rsidRDefault="0013400B" w:rsidP="00293C4C">
            <w:pPr>
              <w:pStyle w:val="AGRTableNumbers"/>
              <w:jc w:val="right"/>
            </w:pPr>
            <w:r w:rsidRPr="00CD3A14">
              <w:t>30 June 15</w:t>
            </w:r>
          </w:p>
        </w:tc>
        <w:tc>
          <w:tcPr>
            <w:tcW w:w="1800" w:type="dxa"/>
            <w:vAlign w:val="bottom"/>
          </w:tcPr>
          <w:p w:rsidR="008D0827" w:rsidRPr="00CD3A14" w:rsidRDefault="008D0827" w:rsidP="008D0827">
            <w:pPr>
              <w:pStyle w:val="AGRTableNumbers"/>
              <w:jc w:val="right"/>
            </w:pPr>
            <w:r w:rsidRPr="00CD3A14">
              <w:t>2 June 14</w:t>
            </w:r>
          </w:p>
        </w:tc>
      </w:tr>
      <w:tr w:rsidR="008D0827" w:rsidRPr="00CD3A14" w:rsidTr="00387B93">
        <w:tc>
          <w:tcPr>
            <w:tcW w:w="3708" w:type="dxa"/>
          </w:tcPr>
          <w:p w:rsidR="008D0827" w:rsidRPr="00CD3A14" w:rsidRDefault="008D0827" w:rsidP="00293C4C">
            <w:pPr>
              <w:pStyle w:val="AGRTableText"/>
            </w:pPr>
            <w:r w:rsidRPr="00CD3A14">
              <w:t>CDU Amenities Limited</w:t>
            </w:r>
          </w:p>
        </w:tc>
        <w:tc>
          <w:tcPr>
            <w:tcW w:w="1800" w:type="dxa"/>
            <w:shd w:val="clear" w:color="auto" w:fill="auto"/>
            <w:vAlign w:val="bottom"/>
          </w:tcPr>
          <w:p w:rsidR="008D0827" w:rsidRPr="00CD3A14" w:rsidRDefault="008D0827" w:rsidP="001D7A16">
            <w:pPr>
              <w:pStyle w:val="AGRTableNumbers"/>
              <w:jc w:val="right"/>
            </w:pPr>
            <w:r w:rsidRPr="00CD3A14">
              <w:t>Not required</w:t>
            </w:r>
          </w:p>
        </w:tc>
        <w:tc>
          <w:tcPr>
            <w:tcW w:w="1800" w:type="dxa"/>
            <w:shd w:val="clear" w:color="auto" w:fill="auto"/>
            <w:vAlign w:val="bottom"/>
          </w:tcPr>
          <w:p w:rsidR="001A2D5E" w:rsidRPr="00CD3A14" w:rsidRDefault="001A2D5E" w:rsidP="001A2D5E">
            <w:pPr>
              <w:pStyle w:val="AGRTableNumbers"/>
              <w:jc w:val="right"/>
            </w:pPr>
            <w:r w:rsidRPr="00CD3A14">
              <w:t>22 April 15</w:t>
            </w:r>
          </w:p>
        </w:tc>
        <w:tc>
          <w:tcPr>
            <w:tcW w:w="1800" w:type="dxa"/>
            <w:vAlign w:val="bottom"/>
          </w:tcPr>
          <w:p w:rsidR="008D0827" w:rsidRPr="00CD3A14" w:rsidRDefault="008D0827" w:rsidP="008D0827">
            <w:pPr>
              <w:pStyle w:val="AGRTableNumbers"/>
              <w:jc w:val="right"/>
            </w:pPr>
            <w:r w:rsidRPr="00CD3A14">
              <w:t>6 May 14</w:t>
            </w:r>
          </w:p>
        </w:tc>
      </w:tr>
      <w:tr w:rsidR="008D0827" w:rsidRPr="00CD3A14" w:rsidTr="00387B93">
        <w:tc>
          <w:tcPr>
            <w:tcW w:w="3708" w:type="dxa"/>
          </w:tcPr>
          <w:p w:rsidR="008D0827" w:rsidRPr="00CD3A14" w:rsidRDefault="008D0827" w:rsidP="00293C4C">
            <w:pPr>
              <w:pStyle w:val="AGRTableText"/>
            </w:pPr>
            <w:r w:rsidRPr="00CD3A14">
              <w:t>Charles Darwin University</w:t>
            </w:r>
          </w:p>
        </w:tc>
        <w:tc>
          <w:tcPr>
            <w:tcW w:w="1800" w:type="dxa"/>
            <w:shd w:val="clear" w:color="auto" w:fill="auto"/>
            <w:vAlign w:val="bottom"/>
          </w:tcPr>
          <w:p w:rsidR="008D0827" w:rsidRPr="00CD3A14" w:rsidRDefault="008D0827" w:rsidP="00A03618">
            <w:pPr>
              <w:pStyle w:val="AGRTableNumbers"/>
              <w:jc w:val="right"/>
            </w:pPr>
            <w:r w:rsidRPr="00CD3A14">
              <w:t>Not yet tabled</w:t>
            </w:r>
          </w:p>
        </w:tc>
        <w:tc>
          <w:tcPr>
            <w:tcW w:w="1800" w:type="dxa"/>
            <w:shd w:val="clear" w:color="auto" w:fill="auto"/>
            <w:vAlign w:val="bottom"/>
          </w:tcPr>
          <w:p w:rsidR="008D0827" w:rsidRPr="00CD3A14" w:rsidRDefault="0013400B" w:rsidP="00293C4C">
            <w:pPr>
              <w:pStyle w:val="AGRTableNumbers"/>
              <w:jc w:val="right"/>
            </w:pPr>
            <w:r w:rsidRPr="00CD3A14">
              <w:t>29 May 15</w:t>
            </w:r>
          </w:p>
        </w:tc>
        <w:tc>
          <w:tcPr>
            <w:tcW w:w="1800" w:type="dxa"/>
            <w:vAlign w:val="bottom"/>
          </w:tcPr>
          <w:p w:rsidR="008D0827" w:rsidRPr="00CD3A14" w:rsidRDefault="008D0827" w:rsidP="008D0827">
            <w:pPr>
              <w:pStyle w:val="AGRTableNumbers"/>
              <w:jc w:val="right"/>
            </w:pPr>
            <w:r w:rsidRPr="00CD3A14">
              <w:t>15 May 14</w:t>
            </w:r>
          </w:p>
        </w:tc>
      </w:tr>
      <w:tr w:rsidR="008D0827" w:rsidRPr="00CD3A14" w:rsidTr="004B3E0E">
        <w:tc>
          <w:tcPr>
            <w:tcW w:w="3708" w:type="dxa"/>
          </w:tcPr>
          <w:p w:rsidR="008D0827" w:rsidRPr="00CD3A14" w:rsidRDefault="008D0827" w:rsidP="00293C4C">
            <w:pPr>
              <w:pStyle w:val="AGRTableText"/>
            </w:pPr>
            <w:r w:rsidRPr="00CD3A14">
              <w:t xml:space="preserve">Charles Darwin University Foundation </w:t>
            </w:r>
            <w:r w:rsidRPr="00CD3A14">
              <w:br/>
              <w:t>(a company limited by guarantee)</w:t>
            </w:r>
          </w:p>
        </w:tc>
        <w:tc>
          <w:tcPr>
            <w:tcW w:w="1800" w:type="dxa"/>
            <w:shd w:val="clear" w:color="auto" w:fill="auto"/>
            <w:vAlign w:val="bottom"/>
          </w:tcPr>
          <w:p w:rsidR="008D0827" w:rsidRPr="00CD3A14" w:rsidRDefault="008D0827" w:rsidP="001D7A16">
            <w:pPr>
              <w:pStyle w:val="AGRTableNumbers"/>
              <w:jc w:val="right"/>
            </w:pPr>
            <w:r w:rsidRPr="00CD3A14">
              <w:t>Not required</w:t>
            </w:r>
          </w:p>
        </w:tc>
        <w:tc>
          <w:tcPr>
            <w:tcW w:w="1800" w:type="dxa"/>
            <w:vAlign w:val="bottom"/>
          </w:tcPr>
          <w:p w:rsidR="008D0827" w:rsidRPr="00CD3A14" w:rsidRDefault="006F556F" w:rsidP="00293C4C">
            <w:pPr>
              <w:pStyle w:val="AGRTableNumbers"/>
              <w:jc w:val="right"/>
            </w:pPr>
            <w:r w:rsidRPr="00CD3A14">
              <w:t>29 April 15</w:t>
            </w:r>
          </w:p>
        </w:tc>
        <w:tc>
          <w:tcPr>
            <w:tcW w:w="1800" w:type="dxa"/>
            <w:vAlign w:val="bottom"/>
          </w:tcPr>
          <w:p w:rsidR="008D0827" w:rsidRPr="00CD3A14" w:rsidRDefault="008D0827" w:rsidP="008D0827">
            <w:pPr>
              <w:pStyle w:val="AGRTableNumbers"/>
              <w:jc w:val="right"/>
            </w:pPr>
            <w:r w:rsidRPr="00CD3A14">
              <w:t>6 May 14</w:t>
            </w:r>
          </w:p>
        </w:tc>
      </w:tr>
      <w:tr w:rsidR="008D0827" w:rsidRPr="00CD3A14" w:rsidTr="004B3E0E">
        <w:tc>
          <w:tcPr>
            <w:tcW w:w="3708" w:type="dxa"/>
          </w:tcPr>
          <w:p w:rsidR="008D0827" w:rsidRPr="00CD3A14" w:rsidRDefault="008D0827" w:rsidP="00293C4C">
            <w:pPr>
              <w:pStyle w:val="AGRTableText"/>
            </w:pPr>
            <w:r w:rsidRPr="00CD3A14">
              <w:t>Charles Darwin University Foundation Trust</w:t>
            </w:r>
          </w:p>
        </w:tc>
        <w:tc>
          <w:tcPr>
            <w:tcW w:w="1800" w:type="dxa"/>
            <w:shd w:val="clear" w:color="auto" w:fill="auto"/>
            <w:vAlign w:val="bottom"/>
          </w:tcPr>
          <w:p w:rsidR="008D0827" w:rsidRPr="00CD3A14" w:rsidRDefault="008D0827" w:rsidP="001D7A16">
            <w:pPr>
              <w:pStyle w:val="AGRTableNumbers"/>
              <w:jc w:val="right"/>
            </w:pPr>
            <w:r w:rsidRPr="00CD3A14">
              <w:t>Not required</w:t>
            </w:r>
          </w:p>
        </w:tc>
        <w:tc>
          <w:tcPr>
            <w:tcW w:w="1800" w:type="dxa"/>
            <w:vAlign w:val="bottom"/>
          </w:tcPr>
          <w:p w:rsidR="008D0827" w:rsidRPr="00CD3A14" w:rsidRDefault="006F556F" w:rsidP="00293C4C">
            <w:pPr>
              <w:pStyle w:val="AGRTableNumbers"/>
              <w:jc w:val="right"/>
            </w:pPr>
            <w:r w:rsidRPr="00CD3A14">
              <w:t>29 April 15</w:t>
            </w:r>
          </w:p>
        </w:tc>
        <w:tc>
          <w:tcPr>
            <w:tcW w:w="1800" w:type="dxa"/>
            <w:vAlign w:val="bottom"/>
          </w:tcPr>
          <w:p w:rsidR="008D0827" w:rsidRPr="00CD3A14" w:rsidRDefault="008D0827" w:rsidP="008D0827">
            <w:pPr>
              <w:pStyle w:val="AGRTableNumbers"/>
              <w:jc w:val="right"/>
            </w:pPr>
            <w:r w:rsidRPr="00CD3A14">
              <w:t>6 May 14</w:t>
            </w:r>
          </w:p>
        </w:tc>
      </w:tr>
      <w:tr w:rsidR="008D0827" w:rsidRPr="00CD3A14" w:rsidTr="004B3E0E">
        <w:tc>
          <w:tcPr>
            <w:tcW w:w="3708" w:type="dxa"/>
            <w:tcBorders>
              <w:bottom w:val="single" w:sz="4" w:space="0" w:color="auto"/>
            </w:tcBorders>
          </w:tcPr>
          <w:p w:rsidR="008D0827" w:rsidRPr="00CD3A14" w:rsidRDefault="008D0827" w:rsidP="00293C4C">
            <w:pPr>
              <w:pStyle w:val="AGRTableText"/>
            </w:pPr>
            <w:r w:rsidRPr="00CD3A14">
              <w:t>Menzies School of Health Research</w:t>
            </w:r>
          </w:p>
        </w:tc>
        <w:tc>
          <w:tcPr>
            <w:tcW w:w="1800" w:type="dxa"/>
            <w:tcBorders>
              <w:bottom w:val="single" w:sz="4" w:space="0" w:color="auto"/>
            </w:tcBorders>
            <w:shd w:val="clear" w:color="auto" w:fill="auto"/>
            <w:vAlign w:val="bottom"/>
          </w:tcPr>
          <w:p w:rsidR="008D0827" w:rsidRPr="00CD3A14" w:rsidRDefault="008D0827" w:rsidP="001D7A16">
            <w:pPr>
              <w:pStyle w:val="AGRTableNumbers"/>
              <w:jc w:val="right"/>
            </w:pPr>
            <w:r w:rsidRPr="00CD3A14">
              <w:t>Not required</w:t>
            </w:r>
          </w:p>
        </w:tc>
        <w:tc>
          <w:tcPr>
            <w:tcW w:w="1800" w:type="dxa"/>
            <w:tcBorders>
              <w:bottom w:val="single" w:sz="4" w:space="0" w:color="auto"/>
            </w:tcBorders>
            <w:vAlign w:val="bottom"/>
          </w:tcPr>
          <w:p w:rsidR="008D0827" w:rsidRPr="00CD3A14" w:rsidRDefault="006F556F" w:rsidP="00293C4C">
            <w:pPr>
              <w:pStyle w:val="AGRTableNumbers"/>
              <w:jc w:val="right"/>
            </w:pPr>
            <w:r w:rsidRPr="00CD3A14">
              <w:t>27 April 15</w:t>
            </w:r>
          </w:p>
        </w:tc>
        <w:tc>
          <w:tcPr>
            <w:tcW w:w="1800" w:type="dxa"/>
            <w:tcBorders>
              <w:bottom w:val="single" w:sz="4" w:space="0" w:color="auto"/>
            </w:tcBorders>
            <w:vAlign w:val="bottom"/>
          </w:tcPr>
          <w:p w:rsidR="008D0827" w:rsidRPr="00CD3A14" w:rsidRDefault="008D0827" w:rsidP="008D0827">
            <w:pPr>
              <w:pStyle w:val="AGRTableNumbers"/>
              <w:jc w:val="right"/>
            </w:pPr>
            <w:r w:rsidRPr="00CD3A14">
              <w:t>14 May 14</w:t>
            </w:r>
          </w:p>
        </w:tc>
      </w:tr>
    </w:tbl>
    <w:p w:rsidR="00EC75C3" w:rsidRPr="00CD3A14" w:rsidRDefault="00387B93" w:rsidP="0013400B">
      <w:pPr>
        <w:pStyle w:val="AGRBodyText"/>
        <w:rPr>
          <w:noProof w:val="0"/>
          <w:lang w:val="en-AU"/>
        </w:rPr>
      </w:pPr>
      <w:r w:rsidRPr="00CD3A14">
        <w:rPr>
          <w:noProof w:val="0"/>
          <w:lang w:val="en-AU"/>
        </w:rPr>
        <w:t xml:space="preserve">Not required </w:t>
      </w:r>
      <w:r w:rsidR="00EC75C3" w:rsidRPr="00CD3A14">
        <w:rPr>
          <w:noProof w:val="0"/>
          <w:lang w:val="en-AU"/>
        </w:rPr>
        <w:t xml:space="preserve">– </w:t>
      </w:r>
      <w:r w:rsidRPr="00CD3A14">
        <w:rPr>
          <w:noProof w:val="0"/>
          <w:lang w:val="en-AU"/>
        </w:rPr>
        <w:t>Financial statements are not required to be tabled</w:t>
      </w:r>
    </w:p>
    <w:p w:rsidR="00387B93" w:rsidRPr="00CD3A14" w:rsidRDefault="00387B93" w:rsidP="0013400B">
      <w:pPr>
        <w:pStyle w:val="AGRBodyText"/>
        <w:rPr>
          <w:noProof w:val="0"/>
          <w:lang w:val="en-AU"/>
        </w:rPr>
      </w:pPr>
      <w:r w:rsidRPr="00CD3A14">
        <w:rPr>
          <w:noProof w:val="0"/>
          <w:lang w:val="en-AU"/>
        </w:rPr>
        <w:t xml:space="preserve">Not yet tabled – as at </w:t>
      </w:r>
      <w:r w:rsidR="00C64B1A" w:rsidRPr="00CD3A14">
        <w:rPr>
          <w:noProof w:val="0"/>
          <w:lang w:val="en-AU"/>
        </w:rPr>
        <w:t>30 July 2015</w:t>
      </w:r>
    </w:p>
    <w:p w:rsidR="00293C4C" w:rsidRPr="00CD3A14" w:rsidRDefault="00293C4C" w:rsidP="0013400B">
      <w:pPr>
        <w:pStyle w:val="AGRBodyText"/>
        <w:rPr>
          <w:noProof w:val="0"/>
          <w:lang w:val="en-AU"/>
        </w:rPr>
      </w:pPr>
    </w:p>
    <w:p w:rsidR="00FE30FB" w:rsidRPr="00CD3A14" w:rsidRDefault="00FE30FB" w:rsidP="00C67DA8">
      <w:pPr>
        <w:pStyle w:val="AGRHeading1"/>
      </w:pPr>
      <w:r w:rsidRPr="00CD3A14">
        <w:t>App</w:t>
      </w:r>
      <w:r w:rsidR="006E2C29" w:rsidRPr="00CD3A14">
        <w:t>endix 1: Audit Opinion R</w:t>
      </w:r>
      <w:r w:rsidR="003D21F8" w:rsidRPr="00CD3A14">
        <w:t xml:space="preserve">eports </w:t>
      </w:r>
      <w:r w:rsidR="006E2C29" w:rsidRPr="00CD3A14">
        <w:t xml:space="preserve">Issued </w:t>
      </w:r>
      <w:proofErr w:type="gramStart"/>
      <w:r w:rsidR="006E2C29" w:rsidRPr="00CD3A14">
        <w:t>S</w:t>
      </w:r>
      <w:r w:rsidR="00B51735" w:rsidRPr="00CD3A14">
        <w:t>i</w:t>
      </w:r>
      <w:r w:rsidR="007F13E1" w:rsidRPr="00CD3A14">
        <w:t>nc</w:t>
      </w:r>
      <w:r w:rsidRPr="00CD3A14">
        <w:t>e</w:t>
      </w:r>
      <w:proofErr w:type="gramEnd"/>
      <w:r w:rsidRPr="00CD3A14">
        <w:t xml:space="preserve"> </w:t>
      </w:r>
      <w:r w:rsidR="00C64B1A" w:rsidRPr="00CD3A14">
        <w:t>31 December 2014</w:t>
      </w:r>
      <w:r w:rsidRPr="00CD3A14">
        <w:t xml:space="preserve"> </w:t>
      </w:r>
      <w:proofErr w:type="spellStart"/>
      <w:r w:rsidRPr="00CD3A14">
        <w:t>cont</w:t>
      </w:r>
      <w:proofErr w:type="spellEnd"/>
      <w:r w:rsidRPr="00CD3A14">
        <w:t>…</w:t>
      </w:r>
    </w:p>
    <w:p w:rsidR="00A57158" w:rsidRPr="00CD3A14" w:rsidRDefault="00A57158" w:rsidP="00A57158">
      <w:pPr>
        <w:pStyle w:val="AGRHeading2"/>
        <w:ind w:left="0"/>
      </w:pPr>
      <w:r w:rsidRPr="00CD3A14">
        <w:t xml:space="preserve">Acquittals or other returns – for the year ended </w:t>
      </w:r>
      <w:r w:rsidR="00C64B1A" w:rsidRPr="00CD3A14">
        <w:t>31 December 2014</w:t>
      </w:r>
    </w:p>
    <w:tbl>
      <w:tblPr>
        <w:tblW w:w="9108" w:type="dxa"/>
        <w:tblLayout w:type="fixed"/>
        <w:tblLook w:val="01E0" w:firstRow="1" w:lastRow="1" w:firstColumn="1" w:lastColumn="1" w:noHBand="0" w:noVBand="0"/>
      </w:tblPr>
      <w:tblGrid>
        <w:gridCol w:w="3708"/>
        <w:gridCol w:w="1800"/>
        <w:gridCol w:w="1800"/>
        <w:gridCol w:w="1800"/>
      </w:tblGrid>
      <w:tr w:rsidR="00A57158" w:rsidRPr="00CD3A14" w:rsidTr="003A4E9A">
        <w:tc>
          <w:tcPr>
            <w:tcW w:w="3708" w:type="dxa"/>
            <w:tcBorders>
              <w:bottom w:val="single" w:sz="4" w:space="0" w:color="auto"/>
            </w:tcBorders>
            <w:vAlign w:val="bottom"/>
          </w:tcPr>
          <w:p w:rsidR="00A57158" w:rsidRPr="00CD3A14" w:rsidRDefault="00A57158" w:rsidP="001D7A16">
            <w:pPr>
              <w:pStyle w:val="AGRTOC"/>
            </w:pPr>
          </w:p>
        </w:tc>
        <w:tc>
          <w:tcPr>
            <w:tcW w:w="1800" w:type="dxa"/>
            <w:tcBorders>
              <w:bottom w:val="single" w:sz="4" w:space="0" w:color="auto"/>
            </w:tcBorders>
            <w:vAlign w:val="bottom"/>
          </w:tcPr>
          <w:p w:rsidR="00A57158" w:rsidRPr="00CD3A14" w:rsidRDefault="00A57158" w:rsidP="001D7A16">
            <w:pPr>
              <w:pStyle w:val="AGRTableText"/>
              <w:jc w:val="center"/>
            </w:pPr>
            <w:r w:rsidRPr="00CD3A14">
              <w:t>Deadline for submission of Audited Financial Statements</w:t>
            </w:r>
          </w:p>
        </w:tc>
        <w:tc>
          <w:tcPr>
            <w:tcW w:w="1800" w:type="dxa"/>
            <w:tcBorders>
              <w:bottom w:val="single" w:sz="4" w:space="0" w:color="auto"/>
            </w:tcBorders>
            <w:vAlign w:val="bottom"/>
          </w:tcPr>
          <w:p w:rsidR="00A57158" w:rsidRPr="00CD3A14" w:rsidRDefault="00A57158" w:rsidP="00353AA4">
            <w:pPr>
              <w:pStyle w:val="AGRTableText"/>
              <w:jc w:val="center"/>
            </w:pPr>
            <w:r w:rsidRPr="00CD3A14">
              <w:t>Date of</w:t>
            </w:r>
            <w:r w:rsidRPr="00CD3A14">
              <w:br/>
              <w:t>Audit Report</w:t>
            </w:r>
            <w:r w:rsidRPr="00CD3A14">
              <w:br/>
              <w:t>Year ended</w:t>
            </w:r>
            <w:r w:rsidRPr="00CD3A14">
              <w:br/>
            </w:r>
            <w:r w:rsidR="00C64B1A" w:rsidRPr="00CD3A14">
              <w:t>31 December 2014</w:t>
            </w:r>
          </w:p>
        </w:tc>
        <w:tc>
          <w:tcPr>
            <w:tcW w:w="1800" w:type="dxa"/>
            <w:tcBorders>
              <w:bottom w:val="single" w:sz="4" w:space="0" w:color="auto"/>
            </w:tcBorders>
            <w:vAlign w:val="bottom"/>
          </w:tcPr>
          <w:p w:rsidR="00A57158" w:rsidRPr="00CD3A14" w:rsidRDefault="00A57158" w:rsidP="008D0827">
            <w:pPr>
              <w:pStyle w:val="AGRTableText"/>
              <w:jc w:val="center"/>
            </w:pPr>
            <w:r w:rsidRPr="00CD3A14">
              <w:t>Date of</w:t>
            </w:r>
            <w:r w:rsidRPr="00CD3A14">
              <w:br/>
              <w:t>Audit Report</w:t>
            </w:r>
            <w:r w:rsidRPr="00CD3A14">
              <w:br/>
              <w:t>Year ended</w:t>
            </w:r>
            <w:r w:rsidRPr="00CD3A14">
              <w:br/>
            </w:r>
            <w:r w:rsidR="00C64B1A" w:rsidRPr="00CD3A14">
              <w:t>31 December</w:t>
            </w:r>
            <w:r w:rsidRPr="00CD3A14">
              <w:t xml:space="preserve"> 201</w:t>
            </w:r>
            <w:r w:rsidR="008D0827" w:rsidRPr="00CD3A14">
              <w:t>3</w:t>
            </w:r>
          </w:p>
        </w:tc>
      </w:tr>
      <w:tr w:rsidR="00777936" w:rsidRPr="00CD3A14" w:rsidTr="00777936">
        <w:tc>
          <w:tcPr>
            <w:tcW w:w="3708" w:type="dxa"/>
            <w:tcBorders>
              <w:top w:val="single" w:sz="4" w:space="0" w:color="auto"/>
            </w:tcBorders>
          </w:tcPr>
          <w:p w:rsidR="00777936" w:rsidRPr="00CD3A14" w:rsidRDefault="00777936" w:rsidP="004A67D1">
            <w:pPr>
              <w:pStyle w:val="AGRTableText"/>
            </w:pPr>
            <w:r w:rsidRPr="00CD3A14">
              <w:t>Charles Darwin University Higher Education Research Data collection</w:t>
            </w:r>
          </w:p>
        </w:tc>
        <w:tc>
          <w:tcPr>
            <w:tcW w:w="1800" w:type="dxa"/>
            <w:tcBorders>
              <w:top w:val="single" w:sz="4" w:space="0" w:color="auto"/>
            </w:tcBorders>
            <w:vAlign w:val="bottom"/>
          </w:tcPr>
          <w:p w:rsidR="00777936" w:rsidRPr="00CD3A14" w:rsidRDefault="00777936" w:rsidP="004A67D1">
            <w:pPr>
              <w:pStyle w:val="AGRTableNumbers"/>
              <w:jc w:val="right"/>
            </w:pPr>
            <w:r>
              <w:t>30 June</w:t>
            </w:r>
            <w:r w:rsidRPr="00CD3A14">
              <w:t xml:space="preserve"> 15</w:t>
            </w:r>
          </w:p>
        </w:tc>
        <w:tc>
          <w:tcPr>
            <w:tcW w:w="1800" w:type="dxa"/>
            <w:tcBorders>
              <w:top w:val="single" w:sz="4" w:space="0" w:color="auto"/>
            </w:tcBorders>
            <w:vAlign w:val="bottom"/>
          </w:tcPr>
          <w:p w:rsidR="00777936" w:rsidRPr="00CD3A14" w:rsidRDefault="00777936" w:rsidP="004A67D1">
            <w:pPr>
              <w:pStyle w:val="AGRTableNumbers"/>
              <w:jc w:val="right"/>
            </w:pPr>
            <w:r w:rsidRPr="00CD3A14">
              <w:t>17 June 15</w:t>
            </w:r>
          </w:p>
        </w:tc>
        <w:tc>
          <w:tcPr>
            <w:tcW w:w="1800" w:type="dxa"/>
            <w:tcBorders>
              <w:top w:val="single" w:sz="4" w:space="0" w:color="auto"/>
            </w:tcBorders>
            <w:vAlign w:val="bottom"/>
          </w:tcPr>
          <w:p w:rsidR="00777936" w:rsidRPr="00CD3A14" w:rsidRDefault="00777936" w:rsidP="004A67D1">
            <w:pPr>
              <w:pStyle w:val="AGRTableNumbers"/>
              <w:jc w:val="right"/>
            </w:pPr>
            <w:r w:rsidRPr="00CD3A14">
              <w:t>11 June 14</w:t>
            </w:r>
          </w:p>
        </w:tc>
      </w:tr>
      <w:tr w:rsidR="008D0827" w:rsidRPr="00CD3A14" w:rsidTr="00777936">
        <w:tc>
          <w:tcPr>
            <w:tcW w:w="3708" w:type="dxa"/>
          </w:tcPr>
          <w:p w:rsidR="008D0827" w:rsidRPr="00CD3A14" w:rsidRDefault="008D0827" w:rsidP="001D7A16">
            <w:pPr>
              <w:pStyle w:val="AGRTableText"/>
            </w:pPr>
            <w:r w:rsidRPr="00CD3A14">
              <w:t>Charles Darwin University Higher Education Research Data collection</w:t>
            </w:r>
            <w:r w:rsidR="00777936">
              <w:t xml:space="preserve"> (restated)</w:t>
            </w:r>
          </w:p>
        </w:tc>
        <w:tc>
          <w:tcPr>
            <w:tcW w:w="1800" w:type="dxa"/>
            <w:vAlign w:val="bottom"/>
          </w:tcPr>
          <w:p w:rsidR="008D0827" w:rsidRPr="00CD3A14" w:rsidRDefault="00081F29" w:rsidP="008D0827">
            <w:pPr>
              <w:pStyle w:val="AGRTableNumbers"/>
              <w:jc w:val="right"/>
            </w:pPr>
            <w:r>
              <w:t>30 June</w:t>
            </w:r>
            <w:r w:rsidR="008D0827" w:rsidRPr="00CD3A14">
              <w:t xml:space="preserve"> 15</w:t>
            </w:r>
          </w:p>
        </w:tc>
        <w:tc>
          <w:tcPr>
            <w:tcW w:w="1800" w:type="dxa"/>
            <w:vAlign w:val="bottom"/>
          </w:tcPr>
          <w:p w:rsidR="008D0827" w:rsidRPr="00CD3A14" w:rsidRDefault="00777936" w:rsidP="001D7A16">
            <w:pPr>
              <w:pStyle w:val="AGRTableNumbers"/>
              <w:jc w:val="right"/>
            </w:pPr>
            <w:r>
              <w:t>10 August 15</w:t>
            </w:r>
          </w:p>
        </w:tc>
        <w:tc>
          <w:tcPr>
            <w:tcW w:w="1800" w:type="dxa"/>
            <w:vAlign w:val="bottom"/>
          </w:tcPr>
          <w:p w:rsidR="008D0827" w:rsidRPr="00CD3A14" w:rsidRDefault="008D0827" w:rsidP="008D0827">
            <w:pPr>
              <w:pStyle w:val="AGRTableNumbers"/>
              <w:jc w:val="right"/>
            </w:pPr>
            <w:r w:rsidRPr="00CD3A14">
              <w:t>11 June 14</w:t>
            </w:r>
          </w:p>
        </w:tc>
      </w:tr>
      <w:tr w:rsidR="008D0827" w:rsidRPr="00CD3A14" w:rsidTr="003A4E9A">
        <w:tc>
          <w:tcPr>
            <w:tcW w:w="3708" w:type="dxa"/>
            <w:tcBorders>
              <w:bottom w:val="single" w:sz="4" w:space="0" w:color="auto"/>
            </w:tcBorders>
          </w:tcPr>
          <w:p w:rsidR="008D0827" w:rsidRPr="00CD3A14" w:rsidRDefault="008D0827" w:rsidP="001D7A16">
            <w:pPr>
              <w:pStyle w:val="AGRTableText"/>
            </w:pPr>
            <w:r w:rsidRPr="00CD3A14">
              <w:t>Department of Business - Summary AVETMISS Financial Data Acquittal</w:t>
            </w:r>
          </w:p>
        </w:tc>
        <w:tc>
          <w:tcPr>
            <w:tcW w:w="1800" w:type="dxa"/>
            <w:tcBorders>
              <w:bottom w:val="single" w:sz="4" w:space="0" w:color="auto"/>
            </w:tcBorders>
            <w:vAlign w:val="bottom"/>
          </w:tcPr>
          <w:p w:rsidR="008D0827" w:rsidRPr="00CD3A14" w:rsidRDefault="008D0827" w:rsidP="001357AC">
            <w:pPr>
              <w:pStyle w:val="AGRTableNumbers"/>
              <w:jc w:val="right"/>
            </w:pPr>
            <w:r w:rsidRPr="00CD3A14">
              <w:t>14 July 15</w:t>
            </w:r>
          </w:p>
        </w:tc>
        <w:tc>
          <w:tcPr>
            <w:tcW w:w="1800" w:type="dxa"/>
            <w:tcBorders>
              <w:bottom w:val="single" w:sz="4" w:space="0" w:color="auto"/>
            </w:tcBorders>
            <w:vAlign w:val="bottom"/>
          </w:tcPr>
          <w:p w:rsidR="008D0827" w:rsidRPr="00CD3A14" w:rsidRDefault="0013400B" w:rsidP="001D7A16">
            <w:pPr>
              <w:pStyle w:val="AGRTableNumbers"/>
              <w:jc w:val="right"/>
            </w:pPr>
            <w:r w:rsidRPr="00CD3A14">
              <w:t>19 June 15</w:t>
            </w:r>
          </w:p>
        </w:tc>
        <w:tc>
          <w:tcPr>
            <w:tcW w:w="1800" w:type="dxa"/>
            <w:tcBorders>
              <w:bottom w:val="single" w:sz="4" w:space="0" w:color="auto"/>
            </w:tcBorders>
            <w:vAlign w:val="bottom"/>
          </w:tcPr>
          <w:p w:rsidR="008D0827" w:rsidRPr="00CD3A14" w:rsidRDefault="008D0827" w:rsidP="008D0827">
            <w:pPr>
              <w:pStyle w:val="AGRTableNumbers"/>
              <w:jc w:val="right"/>
            </w:pPr>
            <w:r w:rsidRPr="00CD3A14">
              <w:t>24 June 14</w:t>
            </w:r>
          </w:p>
        </w:tc>
      </w:tr>
    </w:tbl>
    <w:p w:rsidR="00A57158" w:rsidRPr="00CD3A14" w:rsidRDefault="00A57158" w:rsidP="0013400B">
      <w:pPr>
        <w:pStyle w:val="AGRBodyText"/>
        <w:rPr>
          <w:noProof w:val="0"/>
          <w:lang w:val="en-AU"/>
        </w:rPr>
      </w:pPr>
    </w:p>
    <w:p w:rsidR="009712A7" w:rsidRPr="00CD3A14" w:rsidRDefault="009712A7" w:rsidP="00C67DA8">
      <w:pPr>
        <w:pStyle w:val="AGRHeading1"/>
      </w:pPr>
      <w:bookmarkStart w:id="37" w:name="appendix_2"/>
      <w:bookmarkStart w:id="38" w:name="_Toc177533786"/>
      <w:bookmarkStart w:id="39" w:name="_Toc185213354"/>
      <w:bookmarkStart w:id="40" w:name="_Toc185325867"/>
      <w:r w:rsidRPr="00CD3A14">
        <w:t>Appendix 2: Status of Audits</w:t>
      </w:r>
      <w:r w:rsidR="00343B2E" w:rsidRPr="00CD3A14">
        <w:t xml:space="preserve"> and Reviews</w:t>
      </w:r>
      <w:r w:rsidRPr="00CD3A14">
        <w:t xml:space="preserve"> </w:t>
      </w:r>
      <w:r w:rsidR="00A04252" w:rsidRPr="00CD3A14">
        <w:t>w</w:t>
      </w:r>
      <w:r w:rsidRPr="00CD3A14">
        <w:t xml:space="preserve">hich </w:t>
      </w:r>
      <w:r w:rsidR="006E2C29" w:rsidRPr="00CD3A14">
        <w:t xml:space="preserve">were </w:t>
      </w:r>
      <w:proofErr w:type="gramStart"/>
      <w:r w:rsidR="006E2C29" w:rsidRPr="00CD3A14">
        <w:t>Identified</w:t>
      </w:r>
      <w:proofErr w:type="gramEnd"/>
      <w:r w:rsidR="006E2C29" w:rsidRPr="00CD3A14">
        <w:t xml:space="preserve"> to be C</w:t>
      </w:r>
      <w:r w:rsidRPr="00CD3A14">
        <w:t xml:space="preserve">onducted in the </w:t>
      </w:r>
      <w:r w:rsidR="006E2C29" w:rsidRPr="00CD3A14">
        <w:t>S</w:t>
      </w:r>
      <w:r w:rsidR="00A04252" w:rsidRPr="00CD3A14">
        <w:t xml:space="preserve">ix </w:t>
      </w:r>
      <w:r w:rsidR="006E2C29" w:rsidRPr="00CD3A14">
        <w:t>M</w:t>
      </w:r>
      <w:r w:rsidRPr="00CD3A14">
        <w:t xml:space="preserve">onths to </w:t>
      </w:r>
      <w:r w:rsidR="00C64B1A" w:rsidRPr="00CD3A14">
        <w:t>30 June 2015</w:t>
      </w:r>
      <w:r w:rsidRPr="00CD3A14">
        <w:t xml:space="preserve"> </w:t>
      </w:r>
      <w:bookmarkEnd w:id="37"/>
      <w:bookmarkEnd w:id="38"/>
      <w:bookmarkEnd w:id="39"/>
      <w:bookmarkEnd w:id="40"/>
    </w:p>
    <w:p w:rsidR="009712A7" w:rsidRPr="00CD3A14" w:rsidRDefault="009712A7" w:rsidP="0013400B">
      <w:pPr>
        <w:pStyle w:val="AGRBodyText"/>
        <w:rPr>
          <w:noProof w:val="0"/>
          <w:lang w:val="en-AU"/>
        </w:rPr>
      </w:pPr>
      <w:r w:rsidRPr="00CD3A14">
        <w:rPr>
          <w:noProof w:val="0"/>
          <w:lang w:val="en-AU"/>
        </w:rPr>
        <w:t>In addition to the routine audits, primarily being end of financial year audits of Agencies and of financial statements, and follow-up of outstanding issues in previous audits, the following audits</w:t>
      </w:r>
      <w:r w:rsidR="00343B2E" w:rsidRPr="00CD3A14">
        <w:rPr>
          <w:noProof w:val="0"/>
          <w:lang w:val="en-AU"/>
        </w:rPr>
        <w:t xml:space="preserve"> and reviews</w:t>
      </w:r>
      <w:r w:rsidRPr="00CD3A14">
        <w:rPr>
          <w:noProof w:val="0"/>
          <w:lang w:val="en-AU"/>
        </w:rPr>
        <w:t xml:space="preserve">, were identified in Appendix </w:t>
      </w:r>
      <w:r w:rsidR="00343B2E" w:rsidRPr="00CD3A14">
        <w:rPr>
          <w:noProof w:val="0"/>
          <w:lang w:val="en-AU"/>
        </w:rPr>
        <w:t>3</w:t>
      </w:r>
      <w:r w:rsidRPr="00CD3A14">
        <w:rPr>
          <w:noProof w:val="0"/>
          <w:lang w:val="en-AU"/>
        </w:rPr>
        <w:t xml:space="preserve"> of </w:t>
      </w:r>
      <w:r w:rsidR="00F76C2B" w:rsidRPr="00CD3A14">
        <w:rPr>
          <w:noProof w:val="0"/>
          <w:lang w:val="en-AU"/>
        </w:rPr>
        <w:t>my</w:t>
      </w:r>
      <w:r w:rsidRPr="00CD3A14">
        <w:rPr>
          <w:noProof w:val="0"/>
          <w:lang w:val="en-AU"/>
        </w:rPr>
        <w:t xml:space="preserve"> February </w:t>
      </w:r>
      <w:r w:rsidR="00313635" w:rsidRPr="00CD3A14">
        <w:rPr>
          <w:noProof w:val="0"/>
          <w:lang w:val="en-AU"/>
        </w:rPr>
        <w:t>201</w:t>
      </w:r>
      <w:r w:rsidR="00F623FD" w:rsidRPr="00CD3A14">
        <w:rPr>
          <w:noProof w:val="0"/>
          <w:lang w:val="en-AU"/>
        </w:rPr>
        <w:t>5</w:t>
      </w:r>
      <w:r w:rsidRPr="00CD3A14">
        <w:rPr>
          <w:noProof w:val="0"/>
          <w:lang w:val="en-AU"/>
        </w:rPr>
        <w:t xml:space="preserve"> </w:t>
      </w:r>
      <w:r w:rsidR="00F76C2B" w:rsidRPr="00CD3A14">
        <w:rPr>
          <w:noProof w:val="0"/>
          <w:lang w:val="en-AU"/>
        </w:rPr>
        <w:t xml:space="preserve">Report to the Legislative Assembly </w:t>
      </w:r>
      <w:r w:rsidRPr="00CD3A14">
        <w:rPr>
          <w:noProof w:val="0"/>
          <w:lang w:val="en-AU"/>
        </w:rPr>
        <w:t>as</w:t>
      </w:r>
      <w:r w:rsidR="008C461C" w:rsidRPr="00CD3A14">
        <w:rPr>
          <w:noProof w:val="0"/>
          <w:lang w:val="en-AU"/>
        </w:rPr>
        <w:t xml:space="preserve"> being scheduled for the period:</w:t>
      </w:r>
    </w:p>
    <w:tbl>
      <w:tblPr>
        <w:tblW w:w="8471" w:type="dxa"/>
        <w:tblInd w:w="851" w:type="dxa"/>
        <w:tblLook w:val="01E0" w:firstRow="1" w:lastRow="1" w:firstColumn="1" w:lastColumn="1" w:noHBand="0" w:noVBand="0"/>
      </w:tblPr>
      <w:tblGrid>
        <w:gridCol w:w="6345"/>
        <w:gridCol w:w="2126"/>
      </w:tblGrid>
      <w:tr w:rsidR="00F40658" w:rsidRPr="00CD3A14" w:rsidTr="00226D93">
        <w:tc>
          <w:tcPr>
            <w:tcW w:w="8471" w:type="dxa"/>
            <w:gridSpan w:val="2"/>
          </w:tcPr>
          <w:p w:rsidR="00F40658" w:rsidRPr="00CD3A14" w:rsidRDefault="00F40658" w:rsidP="00C74B95">
            <w:pPr>
              <w:pStyle w:val="AGRTableTextBold"/>
              <w:rPr>
                <w:w w:val="90"/>
                <w:sz w:val="28"/>
                <w:szCs w:val="28"/>
                <w:highlight w:val="yellow"/>
              </w:rPr>
            </w:pPr>
            <w:r w:rsidRPr="00CD3A14">
              <w:rPr>
                <w:w w:val="90"/>
                <w:sz w:val="28"/>
                <w:szCs w:val="28"/>
              </w:rPr>
              <w:t>Department of Corporate and Information Services</w:t>
            </w:r>
          </w:p>
        </w:tc>
      </w:tr>
      <w:tr w:rsidR="00ED03A9" w:rsidRPr="00CD3A14" w:rsidTr="00ED03A9">
        <w:tc>
          <w:tcPr>
            <w:tcW w:w="6345" w:type="dxa"/>
          </w:tcPr>
          <w:p w:rsidR="00ED03A9" w:rsidRPr="00CD3A14" w:rsidRDefault="008D0827" w:rsidP="00CE3521">
            <w:pPr>
              <w:pStyle w:val="AGRTableText"/>
              <w:tabs>
                <w:tab w:val="center" w:pos="570"/>
              </w:tabs>
            </w:pPr>
            <w:r w:rsidRPr="00CD3A14">
              <w:t>ASNEX</w:t>
            </w:r>
          </w:p>
        </w:tc>
        <w:tc>
          <w:tcPr>
            <w:tcW w:w="2126" w:type="dxa"/>
            <w:vAlign w:val="bottom"/>
          </w:tcPr>
          <w:p w:rsidR="00ED03A9" w:rsidRPr="00CD3A14" w:rsidRDefault="00F40658" w:rsidP="00ED03A9">
            <w:pPr>
              <w:pStyle w:val="AGRTableText"/>
              <w:tabs>
                <w:tab w:val="center" w:pos="570"/>
              </w:tabs>
            </w:pPr>
            <w:r w:rsidRPr="00CD3A14">
              <w:t xml:space="preserve">Refer page </w:t>
            </w:r>
            <w:r w:rsidR="0013400B" w:rsidRPr="00CD3A14">
              <w:fldChar w:fldCharType="begin"/>
            </w:r>
            <w:r w:rsidR="0013400B" w:rsidRPr="00CD3A14">
              <w:instrText xml:space="preserve"> PAGEREF AIS \h </w:instrText>
            </w:r>
            <w:r w:rsidR="0013400B" w:rsidRPr="00CD3A14">
              <w:fldChar w:fldCharType="separate"/>
            </w:r>
            <w:r w:rsidR="008D47F9">
              <w:rPr>
                <w:noProof/>
              </w:rPr>
              <w:t>29</w:t>
            </w:r>
            <w:r w:rsidR="0013400B" w:rsidRPr="00CD3A14">
              <w:fldChar w:fldCharType="end"/>
            </w:r>
          </w:p>
        </w:tc>
      </w:tr>
      <w:tr w:rsidR="00F40658" w:rsidRPr="00CD3A14" w:rsidTr="00226D93">
        <w:tc>
          <w:tcPr>
            <w:tcW w:w="8471" w:type="dxa"/>
            <w:gridSpan w:val="2"/>
          </w:tcPr>
          <w:p w:rsidR="00F40658" w:rsidRPr="00CD3A14" w:rsidRDefault="00F40658" w:rsidP="009B72A3">
            <w:pPr>
              <w:pStyle w:val="AGRTableTextBold"/>
              <w:rPr>
                <w:w w:val="90"/>
                <w:sz w:val="28"/>
                <w:szCs w:val="28"/>
              </w:rPr>
            </w:pPr>
            <w:r w:rsidRPr="00CD3A14">
              <w:rPr>
                <w:w w:val="90"/>
                <w:sz w:val="28"/>
                <w:szCs w:val="28"/>
              </w:rPr>
              <w:t>Department of Correction</w:t>
            </w:r>
            <w:r w:rsidR="009B72A3" w:rsidRPr="00CD3A14">
              <w:rPr>
                <w:w w:val="90"/>
                <w:sz w:val="28"/>
                <w:szCs w:val="28"/>
              </w:rPr>
              <w:t>al Services</w:t>
            </w:r>
          </w:p>
        </w:tc>
      </w:tr>
      <w:tr w:rsidR="00ED03A9" w:rsidRPr="00CD3A14" w:rsidTr="00F40658">
        <w:tc>
          <w:tcPr>
            <w:tcW w:w="6345" w:type="dxa"/>
          </w:tcPr>
          <w:p w:rsidR="00ED03A9" w:rsidRPr="00CD3A14" w:rsidRDefault="008D0827" w:rsidP="008D0827">
            <w:pPr>
              <w:pStyle w:val="AGRTableText"/>
            </w:pPr>
            <w:r w:rsidRPr="00CD3A14">
              <w:t>Evaluation of selected aspects of the Agency's Performance Management System</w:t>
            </w:r>
          </w:p>
        </w:tc>
        <w:tc>
          <w:tcPr>
            <w:tcW w:w="2126" w:type="dxa"/>
            <w:vAlign w:val="bottom"/>
          </w:tcPr>
          <w:p w:rsidR="00ED03A9" w:rsidRPr="00CD3A14" w:rsidRDefault="0013400B" w:rsidP="00ED03A9">
            <w:pPr>
              <w:pStyle w:val="AGRTableText"/>
              <w:tabs>
                <w:tab w:val="center" w:pos="570"/>
              </w:tabs>
            </w:pPr>
            <w:r w:rsidRPr="00CD3A14">
              <w:t xml:space="preserve">Not yet completed </w:t>
            </w:r>
          </w:p>
        </w:tc>
      </w:tr>
      <w:tr w:rsidR="00F40658" w:rsidRPr="00CD3A14" w:rsidTr="00226D93">
        <w:tc>
          <w:tcPr>
            <w:tcW w:w="8471" w:type="dxa"/>
            <w:gridSpan w:val="2"/>
          </w:tcPr>
          <w:p w:rsidR="00F40658" w:rsidRPr="00CD3A14" w:rsidRDefault="00F40658" w:rsidP="00C74B95">
            <w:pPr>
              <w:pStyle w:val="AGRTableTextBold"/>
              <w:rPr>
                <w:w w:val="90"/>
                <w:sz w:val="28"/>
                <w:szCs w:val="28"/>
              </w:rPr>
            </w:pPr>
            <w:r w:rsidRPr="00CD3A14">
              <w:rPr>
                <w:w w:val="90"/>
                <w:sz w:val="28"/>
                <w:szCs w:val="28"/>
              </w:rPr>
              <w:t>Department of Infrastructure</w:t>
            </w:r>
          </w:p>
        </w:tc>
      </w:tr>
      <w:tr w:rsidR="00ED03A9" w:rsidRPr="00CD3A14" w:rsidTr="00ED03A9">
        <w:tc>
          <w:tcPr>
            <w:tcW w:w="6345" w:type="dxa"/>
          </w:tcPr>
          <w:p w:rsidR="00ED03A9" w:rsidRPr="00CD3A14" w:rsidRDefault="008D0827" w:rsidP="00CE3521">
            <w:pPr>
              <w:pStyle w:val="AGRTableText"/>
              <w:tabs>
                <w:tab w:val="center" w:pos="570"/>
              </w:tabs>
            </w:pPr>
            <w:r w:rsidRPr="00CD3A14">
              <w:t>Procurement</w:t>
            </w:r>
          </w:p>
        </w:tc>
        <w:tc>
          <w:tcPr>
            <w:tcW w:w="2126" w:type="dxa"/>
            <w:vAlign w:val="bottom"/>
          </w:tcPr>
          <w:p w:rsidR="00ED03A9" w:rsidRPr="00CD3A14" w:rsidRDefault="0013400B" w:rsidP="00343B2E">
            <w:pPr>
              <w:pStyle w:val="AGRTableText"/>
              <w:tabs>
                <w:tab w:val="center" w:pos="570"/>
              </w:tabs>
            </w:pPr>
            <w:r w:rsidRPr="00CD3A14">
              <w:t>Not yet completed</w:t>
            </w:r>
          </w:p>
        </w:tc>
      </w:tr>
      <w:tr w:rsidR="00F40658" w:rsidRPr="00CD3A14" w:rsidTr="00226D93">
        <w:tc>
          <w:tcPr>
            <w:tcW w:w="8471" w:type="dxa"/>
            <w:gridSpan w:val="2"/>
          </w:tcPr>
          <w:p w:rsidR="00F40658" w:rsidRPr="00CD3A14" w:rsidRDefault="00F40658" w:rsidP="008D0827">
            <w:pPr>
              <w:pStyle w:val="AGRTableTextBold"/>
              <w:rPr>
                <w:w w:val="90"/>
                <w:sz w:val="28"/>
                <w:szCs w:val="28"/>
              </w:rPr>
            </w:pPr>
            <w:r w:rsidRPr="00CD3A14">
              <w:rPr>
                <w:w w:val="90"/>
                <w:sz w:val="28"/>
                <w:szCs w:val="28"/>
              </w:rPr>
              <w:t>Department of Sport and Recreation</w:t>
            </w:r>
          </w:p>
        </w:tc>
      </w:tr>
      <w:tr w:rsidR="008D0827" w:rsidRPr="00CD3A14" w:rsidTr="008D0827">
        <w:tc>
          <w:tcPr>
            <w:tcW w:w="6345" w:type="dxa"/>
          </w:tcPr>
          <w:p w:rsidR="008D0827" w:rsidRPr="00CD3A14" w:rsidRDefault="002A3C5B" w:rsidP="008D0827">
            <w:pPr>
              <w:pStyle w:val="AGRTableText"/>
              <w:tabs>
                <w:tab w:val="center" w:pos="570"/>
              </w:tabs>
            </w:pPr>
            <w:r>
              <w:t>Official T</w:t>
            </w:r>
            <w:r w:rsidR="008D0827" w:rsidRPr="00CD3A14">
              <w:t>ravel</w:t>
            </w:r>
          </w:p>
        </w:tc>
        <w:tc>
          <w:tcPr>
            <w:tcW w:w="2126" w:type="dxa"/>
            <w:vAlign w:val="bottom"/>
          </w:tcPr>
          <w:p w:rsidR="008D0827" w:rsidRPr="00CD3A14" w:rsidRDefault="00F40658" w:rsidP="008D0827">
            <w:pPr>
              <w:pStyle w:val="AGRTableText"/>
              <w:tabs>
                <w:tab w:val="center" w:pos="570"/>
              </w:tabs>
            </w:pPr>
            <w:r w:rsidRPr="00CD3A14">
              <w:t>Refer page</w:t>
            </w:r>
            <w:r w:rsidR="0013400B" w:rsidRPr="00CD3A14">
              <w:t xml:space="preserve"> </w:t>
            </w:r>
            <w:r w:rsidR="0013400B" w:rsidRPr="00CD3A14">
              <w:fldChar w:fldCharType="begin"/>
            </w:r>
            <w:r w:rsidR="0013400B" w:rsidRPr="00CD3A14">
              <w:instrText xml:space="preserve"> PAGEREF official_travel \h </w:instrText>
            </w:r>
            <w:r w:rsidR="0013400B" w:rsidRPr="00CD3A14">
              <w:fldChar w:fldCharType="separate"/>
            </w:r>
            <w:r w:rsidR="008D47F9">
              <w:rPr>
                <w:noProof/>
              </w:rPr>
              <w:t>34</w:t>
            </w:r>
            <w:r w:rsidR="0013400B" w:rsidRPr="00CD3A14">
              <w:fldChar w:fldCharType="end"/>
            </w:r>
          </w:p>
        </w:tc>
      </w:tr>
      <w:tr w:rsidR="00F40658" w:rsidRPr="00CD3A14" w:rsidTr="00226D93">
        <w:tc>
          <w:tcPr>
            <w:tcW w:w="8471" w:type="dxa"/>
            <w:gridSpan w:val="2"/>
          </w:tcPr>
          <w:p w:rsidR="00F40658" w:rsidRPr="00CD3A14" w:rsidRDefault="00F40658" w:rsidP="008D0827">
            <w:pPr>
              <w:pStyle w:val="AGRTableTextBold"/>
              <w:rPr>
                <w:w w:val="90"/>
                <w:sz w:val="28"/>
                <w:szCs w:val="28"/>
              </w:rPr>
            </w:pPr>
            <w:r w:rsidRPr="00CD3A14">
              <w:rPr>
                <w:w w:val="90"/>
                <w:sz w:val="28"/>
                <w:szCs w:val="28"/>
              </w:rPr>
              <w:t>Department of the Attorney-General and Justice</w:t>
            </w:r>
          </w:p>
        </w:tc>
      </w:tr>
      <w:tr w:rsidR="008D0827" w:rsidRPr="00CD3A14" w:rsidTr="008D0827">
        <w:tc>
          <w:tcPr>
            <w:tcW w:w="6345" w:type="dxa"/>
          </w:tcPr>
          <w:p w:rsidR="008D0827" w:rsidRPr="00CD3A14" w:rsidRDefault="008D0827" w:rsidP="008D0827">
            <w:pPr>
              <w:pStyle w:val="AGRTableText"/>
              <w:tabs>
                <w:tab w:val="center" w:pos="570"/>
              </w:tabs>
            </w:pPr>
            <w:r w:rsidRPr="00CD3A14">
              <w:t>Evaluation of selected aspects of the Agency's Performance Management System</w:t>
            </w:r>
          </w:p>
        </w:tc>
        <w:tc>
          <w:tcPr>
            <w:tcW w:w="2126" w:type="dxa"/>
            <w:vAlign w:val="bottom"/>
          </w:tcPr>
          <w:p w:rsidR="008D0827" w:rsidRPr="00CD3A14" w:rsidRDefault="00F40658" w:rsidP="008D0827">
            <w:pPr>
              <w:pStyle w:val="AGRTableText"/>
              <w:tabs>
                <w:tab w:val="center" w:pos="570"/>
              </w:tabs>
            </w:pPr>
            <w:r w:rsidRPr="00CD3A14">
              <w:t>Refer page</w:t>
            </w:r>
            <w:r w:rsidR="0013400B" w:rsidRPr="00CD3A14">
              <w:t xml:space="preserve"> </w:t>
            </w:r>
            <w:r w:rsidR="0013400B" w:rsidRPr="00CD3A14">
              <w:fldChar w:fldCharType="begin"/>
            </w:r>
            <w:r w:rsidR="0013400B" w:rsidRPr="00CD3A14">
              <w:instrText xml:space="preserve"> PAGEREF PMS \h </w:instrText>
            </w:r>
            <w:r w:rsidR="0013400B" w:rsidRPr="00CD3A14">
              <w:fldChar w:fldCharType="separate"/>
            </w:r>
            <w:r w:rsidR="008D47F9">
              <w:rPr>
                <w:noProof/>
              </w:rPr>
              <w:t>52</w:t>
            </w:r>
            <w:r w:rsidR="0013400B" w:rsidRPr="00CD3A14">
              <w:fldChar w:fldCharType="end"/>
            </w:r>
          </w:p>
        </w:tc>
      </w:tr>
      <w:tr w:rsidR="00F40658" w:rsidRPr="00CD3A14" w:rsidTr="00226D93">
        <w:tc>
          <w:tcPr>
            <w:tcW w:w="8471" w:type="dxa"/>
            <w:gridSpan w:val="2"/>
          </w:tcPr>
          <w:p w:rsidR="00F40658" w:rsidRPr="00CD3A14" w:rsidRDefault="00F40658" w:rsidP="008D0827">
            <w:pPr>
              <w:pStyle w:val="AGRTableTextBold"/>
              <w:rPr>
                <w:w w:val="90"/>
                <w:sz w:val="28"/>
                <w:szCs w:val="28"/>
              </w:rPr>
            </w:pPr>
            <w:r w:rsidRPr="00CD3A14">
              <w:rPr>
                <w:w w:val="90"/>
                <w:sz w:val="28"/>
                <w:szCs w:val="28"/>
              </w:rPr>
              <w:t>Department of the Chief Minister</w:t>
            </w:r>
          </w:p>
        </w:tc>
      </w:tr>
      <w:tr w:rsidR="008D0827" w:rsidRPr="00CD3A14" w:rsidTr="008D0827">
        <w:tc>
          <w:tcPr>
            <w:tcW w:w="6345" w:type="dxa"/>
          </w:tcPr>
          <w:p w:rsidR="008D0827" w:rsidRPr="00CD3A14" w:rsidRDefault="008D0827" w:rsidP="008D0827">
            <w:pPr>
              <w:pStyle w:val="AGRTableText"/>
              <w:tabs>
                <w:tab w:val="center" w:pos="570"/>
              </w:tabs>
            </w:pPr>
            <w:r w:rsidRPr="00CD3A14">
              <w:t>Ministerial Travel</w:t>
            </w:r>
          </w:p>
        </w:tc>
        <w:tc>
          <w:tcPr>
            <w:tcW w:w="2126" w:type="dxa"/>
            <w:vAlign w:val="bottom"/>
          </w:tcPr>
          <w:p w:rsidR="008D0827" w:rsidRPr="00CD3A14" w:rsidRDefault="00F40658" w:rsidP="008D0827">
            <w:pPr>
              <w:pStyle w:val="AGRTableText"/>
              <w:tabs>
                <w:tab w:val="center" w:pos="570"/>
              </w:tabs>
            </w:pPr>
            <w:r w:rsidRPr="00CD3A14">
              <w:t>Refer page</w:t>
            </w:r>
            <w:r w:rsidR="0013400B" w:rsidRPr="00CD3A14">
              <w:t xml:space="preserve"> </w:t>
            </w:r>
            <w:r w:rsidR="0013400B" w:rsidRPr="00CD3A14">
              <w:fldChar w:fldCharType="begin"/>
            </w:r>
            <w:r w:rsidR="0013400B" w:rsidRPr="00CD3A14">
              <w:instrText xml:space="preserve"> PAGEREF ministerial_travel \h </w:instrText>
            </w:r>
            <w:r w:rsidR="0013400B" w:rsidRPr="00CD3A14">
              <w:fldChar w:fldCharType="separate"/>
            </w:r>
            <w:r w:rsidR="008D47F9">
              <w:rPr>
                <w:noProof/>
              </w:rPr>
              <w:t>37</w:t>
            </w:r>
            <w:r w:rsidR="0013400B" w:rsidRPr="00CD3A14">
              <w:fldChar w:fldCharType="end"/>
            </w:r>
          </w:p>
        </w:tc>
      </w:tr>
      <w:tr w:rsidR="00F40658" w:rsidRPr="00CD3A14" w:rsidTr="00226D93">
        <w:tc>
          <w:tcPr>
            <w:tcW w:w="8471" w:type="dxa"/>
            <w:gridSpan w:val="2"/>
          </w:tcPr>
          <w:p w:rsidR="00F40658" w:rsidRPr="00CD3A14" w:rsidRDefault="00F40658" w:rsidP="008D0827">
            <w:pPr>
              <w:pStyle w:val="AGRTableTextBold"/>
              <w:rPr>
                <w:w w:val="90"/>
                <w:sz w:val="28"/>
                <w:szCs w:val="28"/>
              </w:rPr>
            </w:pPr>
            <w:r w:rsidRPr="00CD3A14">
              <w:rPr>
                <w:w w:val="90"/>
                <w:sz w:val="28"/>
                <w:szCs w:val="28"/>
              </w:rPr>
              <w:t>Department of the Legislative Assembly</w:t>
            </w:r>
          </w:p>
        </w:tc>
      </w:tr>
      <w:tr w:rsidR="008D0827" w:rsidRPr="00CD3A14" w:rsidTr="008D0827">
        <w:tc>
          <w:tcPr>
            <w:tcW w:w="6345" w:type="dxa"/>
          </w:tcPr>
          <w:p w:rsidR="008D0827" w:rsidRPr="00CD3A14" w:rsidRDefault="008D0827" w:rsidP="008D0827">
            <w:pPr>
              <w:pStyle w:val="AGRTableText"/>
              <w:tabs>
                <w:tab w:val="center" w:pos="570"/>
              </w:tabs>
            </w:pPr>
            <w:r w:rsidRPr="00CD3A14">
              <w:t>Members Travel</w:t>
            </w:r>
          </w:p>
        </w:tc>
        <w:tc>
          <w:tcPr>
            <w:tcW w:w="2126" w:type="dxa"/>
            <w:vAlign w:val="bottom"/>
          </w:tcPr>
          <w:p w:rsidR="008D0827" w:rsidRPr="00CD3A14" w:rsidRDefault="00F40658" w:rsidP="008D0827">
            <w:pPr>
              <w:pStyle w:val="AGRTableText"/>
              <w:tabs>
                <w:tab w:val="center" w:pos="570"/>
              </w:tabs>
            </w:pPr>
            <w:r w:rsidRPr="00CD3A14">
              <w:t>Refer page</w:t>
            </w:r>
            <w:r w:rsidR="0013400B" w:rsidRPr="00CD3A14">
              <w:t xml:space="preserve"> </w:t>
            </w:r>
            <w:r w:rsidR="0013400B" w:rsidRPr="00CD3A14">
              <w:fldChar w:fldCharType="begin"/>
            </w:r>
            <w:r w:rsidR="0013400B" w:rsidRPr="00CD3A14">
              <w:instrText xml:space="preserve"> PAGEREF members_travel \h </w:instrText>
            </w:r>
            <w:r w:rsidR="0013400B" w:rsidRPr="00CD3A14">
              <w:fldChar w:fldCharType="separate"/>
            </w:r>
            <w:r w:rsidR="008D47F9">
              <w:rPr>
                <w:noProof/>
              </w:rPr>
              <w:t>40</w:t>
            </w:r>
            <w:r w:rsidR="0013400B" w:rsidRPr="00CD3A14">
              <w:fldChar w:fldCharType="end"/>
            </w:r>
          </w:p>
        </w:tc>
      </w:tr>
      <w:tr w:rsidR="00F40658" w:rsidRPr="00CD3A14" w:rsidTr="00226D93">
        <w:tc>
          <w:tcPr>
            <w:tcW w:w="8471" w:type="dxa"/>
            <w:gridSpan w:val="2"/>
          </w:tcPr>
          <w:p w:rsidR="00F40658" w:rsidRPr="00CD3A14" w:rsidRDefault="00F40658" w:rsidP="008D0827">
            <w:pPr>
              <w:pStyle w:val="AGRTableTextBold"/>
              <w:rPr>
                <w:w w:val="90"/>
                <w:sz w:val="28"/>
                <w:szCs w:val="28"/>
              </w:rPr>
            </w:pPr>
            <w:r w:rsidRPr="00CD3A14">
              <w:rPr>
                <w:w w:val="90"/>
                <w:sz w:val="28"/>
                <w:szCs w:val="28"/>
              </w:rPr>
              <w:t>Northern Territory Police, Fire and Emergency Services</w:t>
            </w:r>
          </w:p>
        </w:tc>
      </w:tr>
      <w:tr w:rsidR="008D0827" w:rsidRPr="00CD3A14" w:rsidTr="008D0827">
        <w:tc>
          <w:tcPr>
            <w:tcW w:w="6345" w:type="dxa"/>
          </w:tcPr>
          <w:p w:rsidR="008D0827" w:rsidRPr="00CD3A14" w:rsidRDefault="008D0827" w:rsidP="008D0827">
            <w:pPr>
              <w:pStyle w:val="AGRTableText"/>
              <w:tabs>
                <w:tab w:val="center" w:pos="570"/>
              </w:tabs>
            </w:pPr>
            <w:r w:rsidRPr="00CD3A14">
              <w:t>Evaluation of selected aspects of the Agency's Performance Management System</w:t>
            </w:r>
          </w:p>
        </w:tc>
        <w:tc>
          <w:tcPr>
            <w:tcW w:w="2126" w:type="dxa"/>
            <w:vAlign w:val="bottom"/>
          </w:tcPr>
          <w:p w:rsidR="008D0827" w:rsidRPr="00CD3A14" w:rsidRDefault="00F40658" w:rsidP="008D0827">
            <w:pPr>
              <w:pStyle w:val="AGRTableText"/>
              <w:tabs>
                <w:tab w:val="center" w:pos="570"/>
              </w:tabs>
            </w:pPr>
            <w:r w:rsidRPr="00CD3A14">
              <w:t>Refer page</w:t>
            </w:r>
            <w:r w:rsidR="0013400B" w:rsidRPr="00CD3A14">
              <w:t xml:space="preserve"> </w:t>
            </w:r>
            <w:r w:rsidR="0013400B" w:rsidRPr="00CD3A14">
              <w:fldChar w:fldCharType="begin"/>
            </w:r>
            <w:r w:rsidR="0013400B" w:rsidRPr="00CD3A14">
              <w:instrText xml:space="preserve"> PAGEREF PMS \h </w:instrText>
            </w:r>
            <w:r w:rsidR="0013400B" w:rsidRPr="00CD3A14">
              <w:fldChar w:fldCharType="separate"/>
            </w:r>
            <w:r w:rsidR="008D47F9">
              <w:rPr>
                <w:noProof/>
              </w:rPr>
              <w:t>52</w:t>
            </w:r>
            <w:r w:rsidR="0013400B" w:rsidRPr="00CD3A14">
              <w:fldChar w:fldCharType="end"/>
            </w:r>
          </w:p>
        </w:tc>
      </w:tr>
    </w:tbl>
    <w:p w:rsidR="00C74B95" w:rsidRPr="00CD3A14" w:rsidRDefault="00C74B95" w:rsidP="0013400B">
      <w:pPr>
        <w:pStyle w:val="AGRBodyText"/>
        <w:rPr>
          <w:noProof w:val="0"/>
          <w:lang w:val="en-AU"/>
        </w:rPr>
      </w:pPr>
    </w:p>
    <w:p w:rsidR="0035002A" w:rsidRPr="00CD3A14" w:rsidRDefault="00F5017F" w:rsidP="00C67DA8">
      <w:pPr>
        <w:pStyle w:val="AGRHeading1"/>
      </w:pPr>
      <w:r w:rsidRPr="00CD3A14">
        <w:rPr>
          <w:noProof/>
          <w:lang w:eastAsia="en-AU"/>
        </w:rPr>
        <mc:AlternateContent>
          <mc:Choice Requires="wps">
            <w:drawing>
              <wp:anchor distT="0" distB="0" distL="114300" distR="114300" simplePos="0" relativeHeight="251658240" behindDoc="0" locked="0" layoutInCell="1" allowOverlap="1" wp14:anchorId="7D9BA3D9" wp14:editId="56E9A7A7">
                <wp:simplePos x="0" y="0"/>
                <wp:positionH relativeFrom="page">
                  <wp:align>center</wp:align>
                </wp:positionH>
                <wp:positionV relativeFrom="page">
                  <wp:align>center</wp:align>
                </wp:positionV>
                <wp:extent cx="1837055" cy="292735"/>
                <wp:effectExtent l="381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2" style="position:absolute;margin-left:0;margin-top:0;width:144.65pt;height:23.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sufgIAAAA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u9hbLn4CAAAABQAA&#10;DgAAAAAAAAAAAAAAAAAuAgAAZHJzL2Uyb0RvYy54bWxQSwECLQAUAAYACAAAACEAQLXHctoAAAAE&#10;AQAADwAAAAAAAAAAAAAAAADYBAAAZHJzL2Rvd25yZXYueG1sUEsFBgAAAAAEAAQA8wAAAN8FAAAA&#10;AA==&#10;" stroked="f" strokeweight="1pt">
                <v:textbox inset="0,0,0,0">
                  <w:txbxContent>
                    <w:p w:rsidR="002A3C5B" w:rsidRDefault="002A3C5B" w:rsidP="0035002A">
                      <w:pPr>
                        <w:pStyle w:val="AGRTableText"/>
                      </w:pPr>
                      <w:r>
                        <w:t>This page deliberately left blank.</w:t>
                      </w:r>
                    </w:p>
                  </w:txbxContent>
                </v:textbox>
                <w10:wrap anchorx="page" anchory="page"/>
              </v:rect>
            </w:pict>
          </mc:Fallback>
        </mc:AlternateContent>
      </w:r>
    </w:p>
    <w:p w:rsidR="00C82743" w:rsidRPr="00CD3A14" w:rsidRDefault="003C7E6D" w:rsidP="00C67DA8">
      <w:pPr>
        <w:pStyle w:val="AGRHeading1"/>
      </w:pPr>
      <w:bookmarkStart w:id="41" w:name="appendix_3"/>
      <w:r w:rsidRPr="00CD3A14">
        <w:t xml:space="preserve">Appendix 3: </w:t>
      </w:r>
      <w:r w:rsidR="006E2C29" w:rsidRPr="00CD3A14">
        <w:t>Proposed A</w:t>
      </w:r>
      <w:r w:rsidR="00F81D19" w:rsidRPr="00CD3A14">
        <w:t xml:space="preserve">udit </w:t>
      </w:r>
      <w:r w:rsidR="006E2C29" w:rsidRPr="00CD3A14">
        <w:t>A</w:t>
      </w:r>
      <w:r w:rsidR="00F81D19" w:rsidRPr="00CD3A14">
        <w:t xml:space="preserve">ctivity in the </w:t>
      </w:r>
      <w:r w:rsidR="006E2C29" w:rsidRPr="00CD3A14">
        <w:t>S</w:t>
      </w:r>
      <w:r w:rsidR="00F81D19" w:rsidRPr="00CD3A14">
        <w:t xml:space="preserve">ix </w:t>
      </w:r>
      <w:r w:rsidR="006E2C29" w:rsidRPr="00CD3A14">
        <w:t>M</w:t>
      </w:r>
      <w:r w:rsidRPr="00CD3A14">
        <w:t xml:space="preserve">onths </w:t>
      </w:r>
      <w:r w:rsidR="006E2C29" w:rsidRPr="00CD3A14">
        <w:t>E</w:t>
      </w:r>
      <w:r w:rsidRPr="00CD3A14">
        <w:t xml:space="preserve">nding </w:t>
      </w:r>
      <w:r w:rsidR="00C64B1A" w:rsidRPr="00CD3A14">
        <w:t>31 December</w:t>
      </w:r>
      <w:r w:rsidRPr="00CD3A14">
        <w:t xml:space="preserve"> </w:t>
      </w:r>
      <w:r w:rsidR="00313635" w:rsidRPr="00CD3A14">
        <w:t>20</w:t>
      </w:r>
      <w:r w:rsidR="001357AC" w:rsidRPr="00CD3A14">
        <w:t>1</w:t>
      </w:r>
      <w:r w:rsidR="00081F29">
        <w:t>5</w:t>
      </w:r>
      <w:bookmarkEnd w:id="41"/>
    </w:p>
    <w:p w:rsidR="003C7E6D" w:rsidRPr="00CD3A14" w:rsidRDefault="00C372D5" w:rsidP="0013400B">
      <w:pPr>
        <w:pStyle w:val="AGRBodyText"/>
        <w:rPr>
          <w:noProof w:val="0"/>
          <w:lang w:val="en-AU"/>
        </w:rPr>
      </w:pPr>
      <w:r w:rsidRPr="00CD3A14">
        <w:rPr>
          <w:noProof w:val="0"/>
          <w:lang w:val="en-AU"/>
        </w:rPr>
        <w:t>In addition to the routine audits, primarily being end of financial year audits of Agencies and of financial statements, and follow-up of outstanding issues in previous audits the following audits have been scheduled for the period</w:t>
      </w:r>
      <w:r w:rsidR="00063010" w:rsidRPr="00CD3A14">
        <w:rPr>
          <w:noProof w:val="0"/>
          <w:lang w:val="en-AU"/>
        </w:rPr>
        <w:t>:</w:t>
      </w:r>
    </w:p>
    <w:p w:rsidR="000F6F9B" w:rsidRPr="00CD3A14" w:rsidRDefault="000F6F9B" w:rsidP="000F6F9B">
      <w:pPr>
        <w:pStyle w:val="AGRHeading2"/>
      </w:pPr>
      <w:r w:rsidRPr="00CD3A14">
        <w:t xml:space="preserve">Department of </w:t>
      </w:r>
      <w:r w:rsidR="008D0996" w:rsidRPr="00CD3A14">
        <w:t>Business</w:t>
      </w:r>
    </w:p>
    <w:p w:rsidR="000F6F9B" w:rsidRPr="00CD3A14" w:rsidRDefault="008D0996" w:rsidP="0013400B">
      <w:pPr>
        <w:pStyle w:val="AGRBodyText"/>
        <w:rPr>
          <w:noProof w:val="0"/>
          <w:lang w:val="en-AU"/>
        </w:rPr>
      </w:pPr>
      <w:r w:rsidRPr="00CD3A14">
        <w:rPr>
          <w:noProof w:val="0"/>
          <w:lang w:val="en-AU"/>
        </w:rPr>
        <w:t>Perform an assessment of general computer controls (Financial Assistance Management, Receipting and Tracking systems)</w:t>
      </w:r>
    </w:p>
    <w:p w:rsidR="008D0996" w:rsidRPr="00CD3A14" w:rsidRDefault="008D0996" w:rsidP="008D0996">
      <w:pPr>
        <w:pStyle w:val="AGRHeading2"/>
      </w:pPr>
      <w:r w:rsidRPr="00CD3A14">
        <w:t>Department of Corporate and Information Services</w:t>
      </w:r>
    </w:p>
    <w:p w:rsidR="00C37805" w:rsidRPr="00CD3A14" w:rsidRDefault="008D0996" w:rsidP="0013400B">
      <w:pPr>
        <w:pStyle w:val="AGRBodyText"/>
        <w:rPr>
          <w:noProof w:val="0"/>
          <w:lang w:val="en-AU"/>
        </w:rPr>
      </w:pPr>
      <w:r w:rsidRPr="00CD3A14">
        <w:rPr>
          <w:noProof w:val="0"/>
          <w:lang w:val="en-AU"/>
        </w:rPr>
        <w:t xml:space="preserve">Effectiveness of general computer controls and key financial controls – </w:t>
      </w:r>
      <w:proofErr w:type="spellStart"/>
      <w:r w:rsidRPr="00CD3A14">
        <w:rPr>
          <w:noProof w:val="0"/>
          <w:lang w:val="en-AU"/>
        </w:rPr>
        <w:t>Paysheet</w:t>
      </w:r>
      <w:r w:rsidR="00C37805" w:rsidRPr="00CD3A14">
        <w:rPr>
          <w:noProof w:val="0"/>
          <w:lang w:val="en-AU"/>
        </w:rPr>
        <w:t>s</w:t>
      </w:r>
      <w:proofErr w:type="spellEnd"/>
    </w:p>
    <w:p w:rsidR="008D0996" w:rsidRPr="00CD3A14" w:rsidRDefault="008D0996" w:rsidP="0013400B">
      <w:pPr>
        <w:pStyle w:val="AGRBodyText"/>
        <w:rPr>
          <w:noProof w:val="0"/>
          <w:lang w:val="en-AU"/>
        </w:rPr>
      </w:pPr>
      <w:r w:rsidRPr="00CD3A14">
        <w:rPr>
          <w:noProof w:val="0"/>
          <w:lang w:val="en-AU"/>
        </w:rPr>
        <w:t>Whole of Government – Cyber Preparedness</w:t>
      </w:r>
    </w:p>
    <w:p w:rsidR="008D0996" w:rsidRPr="00CD3A14" w:rsidRDefault="008D0996" w:rsidP="008D0996">
      <w:pPr>
        <w:pStyle w:val="AGRHeading2"/>
      </w:pPr>
      <w:r w:rsidRPr="00CD3A14">
        <w:t>Department of Correctional Services</w:t>
      </w:r>
    </w:p>
    <w:p w:rsidR="008D0996" w:rsidRPr="00CD3A14" w:rsidRDefault="008D0996" w:rsidP="0013400B">
      <w:pPr>
        <w:pStyle w:val="AGRBodyText"/>
        <w:rPr>
          <w:noProof w:val="0"/>
          <w:lang w:val="en-AU"/>
        </w:rPr>
      </w:pPr>
      <w:r w:rsidRPr="00CD3A14">
        <w:rPr>
          <w:noProof w:val="0"/>
          <w:lang w:val="en-AU"/>
        </w:rPr>
        <w:t>Pronto – General computer controls</w:t>
      </w:r>
    </w:p>
    <w:p w:rsidR="008D0996" w:rsidRPr="00CD3A14" w:rsidRDefault="008D0996" w:rsidP="008D0996">
      <w:pPr>
        <w:pStyle w:val="AGRHeading2"/>
      </w:pPr>
      <w:r w:rsidRPr="00CD3A14">
        <w:t xml:space="preserve">Department of Education </w:t>
      </w:r>
    </w:p>
    <w:p w:rsidR="008D0996" w:rsidRPr="00CD3A14" w:rsidRDefault="008D0996" w:rsidP="0013400B">
      <w:pPr>
        <w:pStyle w:val="AGRBodyText"/>
        <w:rPr>
          <w:noProof w:val="0"/>
          <w:lang w:val="en-AU"/>
        </w:rPr>
      </w:pPr>
      <w:r w:rsidRPr="00CD3A14">
        <w:rPr>
          <w:noProof w:val="0"/>
          <w:lang w:val="en-AU"/>
        </w:rPr>
        <w:t>Evaluation of selected aspects of the Agency’s Performance Management System</w:t>
      </w:r>
    </w:p>
    <w:p w:rsidR="008D0996" w:rsidRPr="00CD3A14" w:rsidRDefault="008D0996" w:rsidP="008D0996">
      <w:pPr>
        <w:pStyle w:val="AGRHeading2"/>
      </w:pPr>
      <w:r w:rsidRPr="00CD3A14">
        <w:t>Northern Territory Superannuation Office</w:t>
      </w:r>
    </w:p>
    <w:p w:rsidR="008D0996" w:rsidRPr="00CD3A14" w:rsidRDefault="00081F29" w:rsidP="0013400B">
      <w:pPr>
        <w:pStyle w:val="AGRBodyText"/>
        <w:rPr>
          <w:noProof w:val="0"/>
          <w:lang w:val="en-AU"/>
        </w:rPr>
      </w:pPr>
      <w:proofErr w:type="spellStart"/>
      <w:r>
        <w:rPr>
          <w:noProof w:val="0"/>
          <w:lang w:val="en-AU"/>
        </w:rPr>
        <w:t>SuperB</w:t>
      </w:r>
      <w:proofErr w:type="spellEnd"/>
      <w:r w:rsidR="008D0996" w:rsidRPr="00CD3A14">
        <w:rPr>
          <w:noProof w:val="0"/>
          <w:lang w:val="en-AU"/>
        </w:rPr>
        <w:t xml:space="preserve"> – Assessment of general computer controls</w:t>
      </w:r>
    </w:p>
    <w:p w:rsidR="007A6DFB" w:rsidRPr="00CD3A14" w:rsidRDefault="007A6DFB" w:rsidP="0013400B">
      <w:pPr>
        <w:pStyle w:val="AGRBodyText"/>
        <w:rPr>
          <w:noProof w:val="0"/>
          <w:lang w:val="en-AU"/>
        </w:rPr>
      </w:pPr>
      <w:r w:rsidRPr="00CD3A14">
        <w:rPr>
          <w:noProof w:val="0"/>
          <w:lang w:val="en-AU"/>
        </w:rPr>
        <w:br w:type="page"/>
      </w:r>
    </w:p>
    <w:p w:rsidR="003C7E6D" w:rsidRPr="00CD3A14" w:rsidRDefault="00F5017F" w:rsidP="0013400B">
      <w:pPr>
        <w:pStyle w:val="AGRBodyText"/>
        <w:rPr>
          <w:noProof w:val="0"/>
          <w:highlight w:val="yellow"/>
          <w:lang w:val="en-AU"/>
        </w:rPr>
      </w:pPr>
      <w:r w:rsidRPr="00CD3A14">
        <w:rPr>
          <w:lang w:val="en-AU"/>
        </w:rPr>
        <mc:AlternateContent>
          <mc:Choice Requires="wps">
            <w:drawing>
              <wp:anchor distT="0" distB="0" distL="114300" distR="114300" simplePos="0" relativeHeight="251661312" behindDoc="0" locked="0" layoutInCell="1" allowOverlap="1" wp14:anchorId="5CD19A31" wp14:editId="7015328C">
                <wp:simplePos x="0" y="0"/>
                <wp:positionH relativeFrom="page">
                  <wp:align>center</wp:align>
                </wp:positionH>
                <wp:positionV relativeFrom="page">
                  <wp:align>center</wp:align>
                </wp:positionV>
                <wp:extent cx="1837055" cy="292735"/>
                <wp:effectExtent l="381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7A6DF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3" style="position:absolute;left:0;text-align:left;margin-left:0;margin-top:0;width:144.65pt;height:23.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g8mr1n4CAAABBQAA&#10;DgAAAAAAAAAAAAAAAAAuAgAAZHJzL2Uyb0RvYy54bWxQSwECLQAUAAYACAAAACEAQLXHctoAAAAE&#10;AQAADwAAAAAAAAAAAAAAAADYBAAAZHJzL2Rvd25yZXYueG1sUEsFBgAAAAAEAAQA8wAAAN8FAAAA&#10;AA==&#10;" stroked="f" strokeweight="1pt">
                <v:textbox inset="0,0,0,0">
                  <w:txbxContent>
                    <w:p w:rsidR="002A3C5B" w:rsidRDefault="002A3C5B" w:rsidP="007A6DFB">
                      <w:pPr>
                        <w:pStyle w:val="AGRTableText"/>
                      </w:pPr>
                      <w:r>
                        <w:t>This page deliberately left blank.</w:t>
                      </w:r>
                    </w:p>
                  </w:txbxContent>
                </v:textbox>
                <w10:wrap anchorx="page" anchory="page"/>
              </v:rect>
            </w:pict>
          </mc:Fallback>
        </mc:AlternateContent>
      </w:r>
      <w:r w:rsidR="003C7E6D" w:rsidRPr="00CD3A14">
        <w:rPr>
          <w:noProof w:val="0"/>
          <w:lang w:val="en-AU"/>
        </w:rPr>
        <w:br w:type="page"/>
      </w:r>
    </w:p>
    <w:p w:rsidR="004A036F" w:rsidRPr="00CD3A14" w:rsidRDefault="004A036F" w:rsidP="00C67DA8">
      <w:pPr>
        <w:pStyle w:val="AGRHeading1"/>
      </w:pPr>
      <w:bookmarkStart w:id="42" w:name="appendix_6"/>
      <w:r w:rsidRPr="00CD3A14">
        <w:t xml:space="preserve">Appendix </w:t>
      </w:r>
      <w:r w:rsidR="0074050D" w:rsidRPr="00CD3A14">
        <w:t>4</w:t>
      </w:r>
      <w:r w:rsidRPr="00CD3A14">
        <w:t>:</w:t>
      </w:r>
      <w:r w:rsidR="00FC49B7" w:rsidRPr="00CD3A14">
        <w:t xml:space="preserve"> Agencies not </w:t>
      </w:r>
      <w:proofErr w:type="gramStart"/>
      <w:r w:rsidR="00FC49B7" w:rsidRPr="00CD3A14">
        <w:t>A</w:t>
      </w:r>
      <w:r w:rsidRPr="00CD3A14">
        <w:t>udited</w:t>
      </w:r>
      <w:proofErr w:type="gramEnd"/>
      <w:r w:rsidRPr="00CD3A14">
        <w:t xml:space="preserve"> </w:t>
      </w:r>
      <w:r w:rsidR="00B7252E" w:rsidRPr="00CD3A14">
        <w:t>relating to</w:t>
      </w:r>
      <w:r w:rsidRPr="00CD3A14">
        <w:t xml:space="preserve"> the year ended </w:t>
      </w:r>
      <w:r w:rsidR="00C64B1A" w:rsidRPr="00CD3A14">
        <w:t>30 June 2015</w:t>
      </w:r>
      <w:bookmarkEnd w:id="42"/>
    </w:p>
    <w:p w:rsidR="004A036F" w:rsidRPr="00CD3A14" w:rsidRDefault="004A036F" w:rsidP="0013400B">
      <w:pPr>
        <w:pStyle w:val="AGRBodyText"/>
        <w:rPr>
          <w:noProof w:val="0"/>
          <w:lang w:val="en-AU"/>
        </w:rPr>
      </w:pPr>
      <w:r w:rsidRPr="00CD3A14">
        <w:rPr>
          <w:noProof w:val="0"/>
          <w:lang w:val="en-AU"/>
        </w:rPr>
        <w:t xml:space="preserve">Section 13(3) of the </w:t>
      </w:r>
      <w:r w:rsidRPr="00CD3A14">
        <w:rPr>
          <w:i/>
          <w:noProof w:val="0"/>
          <w:lang w:val="en-AU"/>
        </w:rPr>
        <w:t>Audit Act</w:t>
      </w:r>
      <w:r w:rsidR="00390EEC" w:rsidRPr="00CD3A14">
        <w:rPr>
          <w:noProof w:val="0"/>
          <w:lang w:val="en-AU"/>
        </w:rPr>
        <w:t xml:space="preserve"> permits the Auditor-</w:t>
      </w:r>
      <w:r w:rsidRPr="00CD3A14">
        <w:rPr>
          <w:noProof w:val="0"/>
          <w:lang w:val="en-AU"/>
        </w:rPr>
        <w:t>General to dispense with an audit of an Agency.</w:t>
      </w:r>
    </w:p>
    <w:p w:rsidR="009635E5" w:rsidRPr="00CD3A14" w:rsidRDefault="004A036F" w:rsidP="0013400B">
      <w:pPr>
        <w:pStyle w:val="AGRBodyText"/>
        <w:rPr>
          <w:noProof w:val="0"/>
          <w:lang w:val="en-AU"/>
        </w:rPr>
      </w:pPr>
      <w:r w:rsidRPr="00CD3A14">
        <w:rPr>
          <w:noProof w:val="0"/>
          <w:lang w:val="en-AU"/>
        </w:rPr>
        <w:t xml:space="preserve">For activities relating to the financial year ended </w:t>
      </w:r>
      <w:r w:rsidR="00C64B1A" w:rsidRPr="00CD3A14">
        <w:rPr>
          <w:noProof w:val="0"/>
          <w:lang w:val="en-AU"/>
        </w:rPr>
        <w:t>30 June 2015</w:t>
      </w:r>
      <w:r w:rsidR="00C372D5" w:rsidRPr="00CD3A14">
        <w:rPr>
          <w:noProof w:val="0"/>
          <w:lang w:val="en-AU"/>
        </w:rPr>
        <w:t xml:space="preserve">, </w:t>
      </w:r>
      <w:r w:rsidRPr="00CD3A14">
        <w:rPr>
          <w:noProof w:val="0"/>
          <w:lang w:val="en-AU"/>
        </w:rPr>
        <w:t>no audits were</w:t>
      </w:r>
      <w:r w:rsidR="00C372D5" w:rsidRPr="00CD3A14">
        <w:rPr>
          <w:noProof w:val="0"/>
          <w:lang w:val="en-AU"/>
        </w:rPr>
        <w:t>, or are intended to be,</w:t>
      </w:r>
      <w:r w:rsidRPr="00CD3A14">
        <w:rPr>
          <w:noProof w:val="0"/>
          <w:lang w:val="en-AU"/>
        </w:rPr>
        <w:t xml:space="preserve"> </w:t>
      </w:r>
      <w:r w:rsidR="00C372D5" w:rsidRPr="00CD3A14">
        <w:rPr>
          <w:noProof w:val="0"/>
          <w:lang w:val="en-AU"/>
        </w:rPr>
        <w:t xml:space="preserve">conducted </w:t>
      </w:r>
      <w:r w:rsidRPr="00CD3A14">
        <w:rPr>
          <w:noProof w:val="0"/>
          <w:lang w:val="en-AU"/>
        </w:rPr>
        <w:t>at the following Agencies:</w:t>
      </w:r>
    </w:p>
    <w:p w:rsidR="00AE33DB" w:rsidRPr="00CD3A14" w:rsidRDefault="00AE33DB" w:rsidP="0013400B">
      <w:pPr>
        <w:pStyle w:val="AGRBulletText"/>
        <w:rPr>
          <w:noProof w:val="0"/>
          <w:lang w:val="en-AU"/>
        </w:rPr>
      </w:pPr>
      <w:r w:rsidRPr="00CD3A14">
        <w:rPr>
          <w:noProof w:val="0"/>
          <w:lang w:val="en-AU"/>
        </w:rPr>
        <w:t>Department of Arts and Museums;</w:t>
      </w:r>
    </w:p>
    <w:p w:rsidR="00AE33DB" w:rsidRPr="00CD3A14" w:rsidRDefault="00AE33DB" w:rsidP="0013400B">
      <w:pPr>
        <w:pStyle w:val="AGRBulletText"/>
        <w:rPr>
          <w:noProof w:val="0"/>
          <w:lang w:val="en-AU"/>
        </w:rPr>
      </w:pPr>
      <w:r w:rsidRPr="00CD3A14">
        <w:rPr>
          <w:noProof w:val="0"/>
          <w:lang w:val="en-AU"/>
        </w:rPr>
        <w:t>Department of Primary Industry and Fisheries;</w:t>
      </w:r>
    </w:p>
    <w:p w:rsidR="00AE33DB" w:rsidRPr="00CD3A14" w:rsidRDefault="00AE33DB" w:rsidP="0013400B">
      <w:pPr>
        <w:pStyle w:val="AGRBulletText"/>
        <w:rPr>
          <w:noProof w:val="0"/>
          <w:lang w:val="en-AU"/>
        </w:rPr>
      </w:pPr>
      <w:r w:rsidRPr="00CD3A14">
        <w:rPr>
          <w:noProof w:val="0"/>
          <w:lang w:val="en-AU"/>
        </w:rPr>
        <w:t>Ombudsman’s Office;</w:t>
      </w:r>
    </w:p>
    <w:p w:rsidR="00390EEC" w:rsidRPr="00CD3A14" w:rsidRDefault="00AE33DB" w:rsidP="0013400B">
      <w:pPr>
        <w:pStyle w:val="AGRBulletText"/>
        <w:rPr>
          <w:noProof w:val="0"/>
          <w:lang w:val="en-AU"/>
        </w:rPr>
      </w:pPr>
      <w:r w:rsidRPr="00CD3A14">
        <w:rPr>
          <w:noProof w:val="0"/>
          <w:lang w:val="en-AU"/>
        </w:rPr>
        <w:t xml:space="preserve">Parks and Wildlife Commission of the Northern Territory; </w:t>
      </w:r>
      <w:r w:rsidR="00C16004" w:rsidRPr="00CD3A14">
        <w:rPr>
          <w:noProof w:val="0"/>
          <w:lang w:val="en-AU"/>
        </w:rPr>
        <w:t>and</w:t>
      </w:r>
    </w:p>
    <w:p w:rsidR="000A5EBE" w:rsidRPr="00CD3A14" w:rsidRDefault="00C16004" w:rsidP="0013400B">
      <w:pPr>
        <w:pStyle w:val="AGRBulletText"/>
        <w:rPr>
          <w:noProof w:val="0"/>
          <w:lang w:val="en-AU"/>
        </w:rPr>
      </w:pPr>
      <w:r w:rsidRPr="00CD3A14">
        <w:rPr>
          <w:noProof w:val="0"/>
          <w:lang w:val="en-AU"/>
        </w:rPr>
        <w:t>Tourism NT</w:t>
      </w:r>
      <w:r w:rsidR="000A5EBE" w:rsidRPr="00CD3A14">
        <w:rPr>
          <w:noProof w:val="0"/>
          <w:lang w:val="en-AU"/>
        </w:rPr>
        <w:t>.</w:t>
      </w:r>
    </w:p>
    <w:p w:rsidR="009635E5" w:rsidRPr="00CD3A14" w:rsidRDefault="004A036F" w:rsidP="0013400B">
      <w:pPr>
        <w:pStyle w:val="AGRBodyText"/>
        <w:rPr>
          <w:noProof w:val="0"/>
          <w:lang w:val="en-AU"/>
        </w:rPr>
      </w:pPr>
      <w:r w:rsidRPr="00CD3A14">
        <w:rPr>
          <w:noProof w:val="0"/>
          <w:lang w:val="en-AU"/>
        </w:rPr>
        <w:t xml:space="preserve">The </w:t>
      </w:r>
      <w:r w:rsidR="00B51735" w:rsidRPr="00CD3A14">
        <w:rPr>
          <w:noProof w:val="0"/>
          <w:lang w:val="en-AU"/>
        </w:rPr>
        <w:t>inc</w:t>
      </w:r>
      <w:r w:rsidRPr="00CD3A14">
        <w:rPr>
          <w:noProof w:val="0"/>
          <w:lang w:val="en-AU"/>
        </w:rPr>
        <w:t xml:space="preserve">reasingly stringent requirements of Australian Accounting Standards, and Auditing and Assurance Standards has required that audit effort be directed towards financial audits of those Agencies that are deemed to represent greater materiality and greater risk.  It is proposed that each of the listed Agencies will be </w:t>
      </w:r>
      <w:r w:rsidR="00B51735" w:rsidRPr="00CD3A14">
        <w:rPr>
          <w:noProof w:val="0"/>
          <w:lang w:val="en-AU"/>
        </w:rPr>
        <w:t>inc</w:t>
      </w:r>
      <w:r w:rsidRPr="00CD3A14">
        <w:rPr>
          <w:noProof w:val="0"/>
          <w:lang w:val="en-AU"/>
        </w:rPr>
        <w:t xml:space="preserve">luded in audit coverage at least once every </w:t>
      </w:r>
      <w:r w:rsidR="00A952D4" w:rsidRPr="00CD3A14">
        <w:rPr>
          <w:noProof w:val="0"/>
          <w:lang w:val="en-AU"/>
        </w:rPr>
        <w:t>two</w:t>
      </w:r>
      <w:r w:rsidRPr="00CD3A14">
        <w:rPr>
          <w:noProof w:val="0"/>
          <w:lang w:val="en-AU"/>
        </w:rPr>
        <w:t xml:space="preserve"> years.</w:t>
      </w:r>
    </w:p>
    <w:p w:rsidR="00D51053" w:rsidRPr="00CD3A14" w:rsidRDefault="002A3C5B" w:rsidP="0013400B">
      <w:pPr>
        <w:pStyle w:val="AGRBodyText"/>
        <w:rPr>
          <w:noProof w:val="0"/>
          <w:lang w:val="en-AU"/>
        </w:rPr>
      </w:pPr>
      <w:r>
        <w:rPr>
          <w:noProof w:val="0"/>
          <w:lang w:val="en-AU"/>
        </w:rPr>
        <w:t>The annual financial statements of the Office of the Auditor-General are subject to independent audit in accordance with</w:t>
      </w:r>
      <w:r w:rsidR="004A036F" w:rsidRPr="00CD3A14">
        <w:rPr>
          <w:noProof w:val="0"/>
          <w:lang w:val="en-AU"/>
        </w:rPr>
        <w:t xml:space="preserve"> section 27 of the </w:t>
      </w:r>
      <w:r w:rsidR="004A036F" w:rsidRPr="00CD3A14">
        <w:rPr>
          <w:i/>
          <w:noProof w:val="0"/>
          <w:lang w:val="en-AU"/>
        </w:rPr>
        <w:t>Audit Act</w:t>
      </w:r>
      <w:r>
        <w:rPr>
          <w:i/>
          <w:noProof w:val="0"/>
          <w:lang w:val="en-AU"/>
        </w:rPr>
        <w:t>.</w:t>
      </w:r>
      <w:r w:rsidR="00232454" w:rsidRPr="00CD3A14">
        <w:rPr>
          <w:noProof w:val="0"/>
          <w:lang w:val="en-AU"/>
        </w:rPr>
        <w:t xml:space="preserve">  The audit of the financial statements is scheduled to commence in late August 2015.</w:t>
      </w:r>
    </w:p>
    <w:p w:rsidR="00033FDD" w:rsidRPr="00CD3A14" w:rsidRDefault="00033FDD" w:rsidP="0013400B">
      <w:pPr>
        <w:pStyle w:val="AGRBodyText"/>
        <w:rPr>
          <w:noProof w:val="0"/>
          <w:lang w:val="en-AU"/>
        </w:rPr>
      </w:pPr>
    </w:p>
    <w:p w:rsidR="00033FDD" w:rsidRPr="00CD3A14" w:rsidRDefault="00033FDD" w:rsidP="0013400B">
      <w:pPr>
        <w:pStyle w:val="AGRBodyText"/>
        <w:rPr>
          <w:noProof w:val="0"/>
          <w:lang w:val="en-AU"/>
        </w:rPr>
        <w:sectPr w:rsidR="00033FDD" w:rsidRPr="00CD3A14" w:rsidSect="00E0428E">
          <w:pgSz w:w="11906" w:h="16838" w:code="9"/>
          <w:pgMar w:top="3119" w:right="1418" w:bottom="1134" w:left="1418" w:header="340" w:footer="567" w:gutter="284"/>
          <w:cols w:space="708"/>
          <w:docGrid w:linePitch="360"/>
        </w:sectPr>
      </w:pPr>
    </w:p>
    <w:p w:rsidR="009635E5" w:rsidRPr="00CD3A14" w:rsidRDefault="00D51053" w:rsidP="0013400B">
      <w:pPr>
        <w:pStyle w:val="AGRBodyText"/>
        <w:rPr>
          <w:noProof w:val="0"/>
          <w:lang w:val="en-AU"/>
        </w:rPr>
      </w:pPr>
      <w:r w:rsidRPr="00CD3A14">
        <w:rPr>
          <w:lang w:val="en-AU"/>
        </w:rPr>
        <mc:AlternateContent>
          <mc:Choice Requires="wps">
            <w:drawing>
              <wp:anchor distT="0" distB="0" distL="114300" distR="114300" simplePos="0" relativeHeight="251693056" behindDoc="0" locked="0" layoutInCell="1" allowOverlap="1" wp14:anchorId="78412283" wp14:editId="75D5ECF4">
                <wp:simplePos x="0" y="0"/>
                <wp:positionH relativeFrom="page">
                  <wp:align>center</wp:align>
                </wp:positionH>
                <wp:positionV relativeFrom="page">
                  <wp:align>center</wp:align>
                </wp:positionV>
                <wp:extent cx="1837055" cy="292735"/>
                <wp:effectExtent l="0" t="0" r="0" b="381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D51053">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4" style="position:absolute;left:0;text-align:left;margin-left:0;margin-top:0;width:144.65pt;height:23.05pt;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tofgIAAAA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G21LaH4CAAAABQAA&#10;DgAAAAAAAAAAAAAAAAAuAgAAZHJzL2Uyb0RvYy54bWxQSwECLQAUAAYACAAAACEAQLXHctoAAAAE&#10;AQAADwAAAAAAAAAAAAAAAADYBAAAZHJzL2Rvd25yZXYueG1sUEsFBgAAAAAEAAQA8wAAAN8FAAAA&#10;AA==&#10;" stroked="f" strokeweight="1pt">
                <v:textbox inset="0,0,0,0">
                  <w:txbxContent>
                    <w:p w:rsidR="002A3C5B" w:rsidRDefault="002A3C5B" w:rsidP="00D51053">
                      <w:pPr>
                        <w:pStyle w:val="AGRTableText"/>
                      </w:pPr>
                      <w:r>
                        <w:t>This page deliberately left blank.</w:t>
                      </w:r>
                    </w:p>
                  </w:txbxContent>
                </v:textbox>
                <w10:wrap anchorx="page" anchory="page"/>
              </v:rect>
            </w:pict>
          </mc:Fallback>
        </mc:AlternateContent>
      </w:r>
    </w:p>
    <w:p w:rsidR="00DE0303" w:rsidRPr="00CD3A14" w:rsidRDefault="00033FDD" w:rsidP="0013400B">
      <w:pPr>
        <w:pStyle w:val="AGRBodyText"/>
        <w:rPr>
          <w:noProof w:val="0"/>
          <w:lang w:val="en-AU"/>
        </w:rPr>
      </w:pPr>
      <w:r w:rsidRPr="00CD3A14">
        <w:rPr>
          <w:lang w:val="en-AU"/>
        </w:rPr>
        <mc:AlternateContent>
          <mc:Choice Requires="wps">
            <w:drawing>
              <wp:anchor distT="0" distB="0" distL="114300" distR="114300" simplePos="0" relativeHeight="251695104" behindDoc="0" locked="0" layoutInCell="1" allowOverlap="1" wp14:anchorId="2AF0461A" wp14:editId="5EBE17DA">
                <wp:simplePos x="0" y="0"/>
                <wp:positionH relativeFrom="page">
                  <wp:align>center</wp:align>
                </wp:positionH>
                <wp:positionV relativeFrom="page">
                  <wp:align>center</wp:align>
                </wp:positionV>
                <wp:extent cx="1837055" cy="292735"/>
                <wp:effectExtent l="0" t="0" r="0" b="381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033F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0;margin-top:0;width:144.65pt;height:23.05pt;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glfgIAAAE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68xYJX4CAAABBQAA&#10;DgAAAAAAAAAAAAAAAAAuAgAAZHJzL2Uyb0RvYy54bWxQSwECLQAUAAYACAAAACEAQLXHctoAAAAE&#10;AQAADwAAAAAAAAAAAAAAAADYBAAAZHJzL2Rvd25yZXYueG1sUEsFBgAAAAAEAAQA8wAAAN8FAAAA&#10;AA==&#10;" stroked="f" strokeweight="1pt">
                <v:textbox inset="0,0,0,0">
                  <w:txbxContent>
                    <w:p w:rsidR="002A3C5B" w:rsidRDefault="002A3C5B" w:rsidP="00033FDD">
                      <w:pPr>
                        <w:pStyle w:val="AGRTableText"/>
                      </w:pPr>
                      <w:r>
                        <w:t>This page deliberately left blank.</w:t>
                      </w:r>
                    </w:p>
                  </w:txbxContent>
                </v:textbox>
                <w10:wrap anchorx="page" anchory="page"/>
              </v:rect>
            </w:pict>
          </mc:Fallback>
        </mc:AlternateContent>
      </w:r>
    </w:p>
    <w:p w:rsidR="00B4664D" w:rsidRPr="00CD3A14" w:rsidRDefault="004A036F" w:rsidP="00C67DA8">
      <w:pPr>
        <w:pStyle w:val="AGRHeading1"/>
      </w:pPr>
      <w:bookmarkStart w:id="43" w:name="appendix_8"/>
      <w:r w:rsidRPr="00CD3A14">
        <w:t xml:space="preserve">Appendix </w:t>
      </w:r>
      <w:r w:rsidR="0074050D" w:rsidRPr="00CD3A14">
        <w:t>5</w:t>
      </w:r>
      <w:r w:rsidRPr="00CD3A14">
        <w:t>: Abbreviations</w:t>
      </w:r>
      <w:bookmarkEnd w:id="43"/>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AF4362" w:rsidRPr="00CD3A14" w:rsidTr="00E324F4">
        <w:tc>
          <w:tcPr>
            <w:tcW w:w="1130" w:type="dxa"/>
          </w:tcPr>
          <w:p w:rsidR="00AF4362" w:rsidRPr="00CD3A14" w:rsidRDefault="00AF4362" w:rsidP="00AF4362">
            <w:pPr>
              <w:pStyle w:val="AGRTableText"/>
            </w:pPr>
            <w:r w:rsidRPr="00CD3A14">
              <w:t>AAPA</w:t>
            </w:r>
          </w:p>
        </w:tc>
        <w:tc>
          <w:tcPr>
            <w:tcW w:w="7659" w:type="dxa"/>
          </w:tcPr>
          <w:p w:rsidR="00AF4362" w:rsidRPr="00CD3A14" w:rsidRDefault="00AF4362" w:rsidP="00AF4362">
            <w:pPr>
              <w:pStyle w:val="AGRTableText"/>
            </w:pPr>
            <w:r w:rsidRPr="00CD3A14">
              <w:t xml:space="preserve">Aboriginal Areas Protection Authority </w:t>
            </w:r>
          </w:p>
        </w:tc>
      </w:tr>
      <w:tr w:rsidR="006F6A8C" w:rsidRPr="00CD3A14" w:rsidTr="006F0B22">
        <w:tc>
          <w:tcPr>
            <w:tcW w:w="1130" w:type="dxa"/>
          </w:tcPr>
          <w:p w:rsidR="006F6A8C" w:rsidRPr="00CD3A14" w:rsidRDefault="006F6A8C" w:rsidP="00AF4362">
            <w:pPr>
              <w:pStyle w:val="AGRTableText"/>
            </w:pPr>
            <w:r>
              <w:t>AGD</w:t>
            </w:r>
          </w:p>
        </w:tc>
        <w:tc>
          <w:tcPr>
            <w:tcW w:w="7659" w:type="dxa"/>
          </w:tcPr>
          <w:p w:rsidR="006F6A8C" w:rsidRPr="00CD3A14" w:rsidRDefault="006F6A8C" w:rsidP="00AF4362">
            <w:pPr>
              <w:pStyle w:val="AGRTableText"/>
            </w:pPr>
            <w:r w:rsidRPr="006F6A8C">
              <w:t>Department of the Attorney-General and Justice</w:t>
            </w:r>
          </w:p>
        </w:tc>
      </w:tr>
      <w:tr w:rsidR="00AF4362" w:rsidRPr="00CD3A14" w:rsidTr="006F0B22">
        <w:tc>
          <w:tcPr>
            <w:tcW w:w="1130" w:type="dxa"/>
          </w:tcPr>
          <w:p w:rsidR="00AF4362" w:rsidRPr="00CD3A14" w:rsidRDefault="00AF4362" w:rsidP="00AF4362">
            <w:pPr>
              <w:pStyle w:val="AGRTableText"/>
            </w:pPr>
            <w:r w:rsidRPr="00CD3A14">
              <w:t xml:space="preserve">AIS </w:t>
            </w:r>
          </w:p>
        </w:tc>
        <w:tc>
          <w:tcPr>
            <w:tcW w:w="7659" w:type="dxa"/>
          </w:tcPr>
          <w:p w:rsidR="00AF4362" w:rsidRPr="00CD3A14" w:rsidRDefault="00AF4362" w:rsidP="00AF4362">
            <w:pPr>
              <w:pStyle w:val="AGRTableText"/>
            </w:pPr>
            <w:r w:rsidRPr="00CD3A14">
              <w:t>Asset Information System</w:t>
            </w:r>
          </w:p>
        </w:tc>
      </w:tr>
      <w:tr w:rsidR="00AF4362" w:rsidRPr="00CD3A14" w:rsidTr="006F0B22">
        <w:tc>
          <w:tcPr>
            <w:tcW w:w="1130" w:type="dxa"/>
          </w:tcPr>
          <w:p w:rsidR="00AF4362" w:rsidRPr="00CD3A14" w:rsidRDefault="00AF4362" w:rsidP="00AF4362">
            <w:pPr>
              <w:pStyle w:val="AGRTableText"/>
            </w:pPr>
            <w:r w:rsidRPr="00CD3A14">
              <w:t>AMS</w:t>
            </w:r>
          </w:p>
        </w:tc>
        <w:tc>
          <w:tcPr>
            <w:tcW w:w="7659" w:type="dxa"/>
          </w:tcPr>
          <w:p w:rsidR="00AF4362" w:rsidRPr="00CD3A14" w:rsidRDefault="00AF4362" w:rsidP="00AF4362">
            <w:pPr>
              <w:pStyle w:val="AGRTableText"/>
            </w:pPr>
            <w:r w:rsidRPr="00CD3A14">
              <w:t>Asset Management System</w:t>
            </w:r>
          </w:p>
        </w:tc>
      </w:tr>
      <w:tr w:rsidR="00AF4362" w:rsidRPr="00CD3A14" w:rsidTr="00B4664D">
        <w:tc>
          <w:tcPr>
            <w:tcW w:w="1130" w:type="dxa"/>
          </w:tcPr>
          <w:p w:rsidR="00AF4362" w:rsidRPr="00CD3A14" w:rsidRDefault="00AF4362" w:rsidP="00AF4362">
            <w:pPr>
              <w:pStyle w:val="AGRTableText"/>
            </w:pPr>
            <w:r w:rsidRPr="00CD3A14">
              <w:t>BAMS</w:t>
            </w:r>
          </w:p>
        </w:tc>
        <w:tc>
          <w:tcPr>
            <w:tcW w:w="7659" w:type="dxa"/>
          </w:tcPr>
          <w:p w:rsidR="00AF4362" w:rsidRPr="00CD3A14" w:rsidRDefault="00AF4362" w:rsidP="00AF4362">
            <w:pPr>
              <w:pStyle w:val="AGRTableText"/>
            </w:pPr>
            <w:r w:rsidRPr="00CD3A14">
              <w:t>Building Asset Management System</w:t>
            </w:r>
          </w:p>
        </w:tc>
      </w:tr>
      <w:tr w:rsidR="00AF4362" w:rsidRPr="00CD3A14" w:rsidTr="00E324F4">
        <w:tc>
          <w:tcPr>
            <w:tcW w:w="1130" w:type="dxa"/>
          </w:tcPr>
          <w:p w:rsidR="00AF4362" w:rsidRPr="00CD3A14" w:rsidRDefault="00AF4362" w:rsidP="00AF4362">
            <w:pPr>
              <w:pStyle w:val="AGRTableText"/>
            </w:pPr>
            <w:r w:rsidRPr="00CD3A14">
              <w:t xml:space="preserve">DAGJ </w:t>
            </w:r>
          </w:p>
        </w:tc>
        <w:tc>
          <w:tcPr>
            <w:tcW w:w="7659" w:type="dxa"/>
          </w:tcPr>
          <w:p w:rsidR="00AF4362" w:rsidRPr="00CD3A14" w:rsidRDefault="00AF4362" w:rsidP="00AF4362">
            <w:pPr>
              <w:pStyle w:val="AGRTableText"/>
            </w:pPr>
            <w:r w:rsidRPr="00CD3A14">
              <w:t>Department of the Attorney-General and Justice</w:t>
            </w:r>
          </w:p>
        </w:tc>
      </w:tr>
      <w:tr w:rsidR="00AF4362" w:rsidRPr="00CD3A14" w:rsidTr="00DC12A4">
        <w:tc>
          <w:tcPr>
            <w:tcW w:w="1130" w:type="dxa"/>
          </w:tcPr>
          <w:p w:rsidR="00AF4362" w:rsidRPr="00CD3A14" w:rsidRDefault="00AF4362" w:rsidP="00AF4362">
            <w:pPr>
              <w:pStyle w:val="AGRTableText"/>
            </w:pPr>
            <w:r w:rsidRPr="00CD3A14">
              <w:t>DCIS</w:t>
            </w:r>
          </w:p>
        </w:tc>
        <w:tc>
          <w:tcPr>
            <w:tcW w:w="7659" w:type="dxa"/>
          </w:tcPr>
          <w:p w:rsidR="00AF4362" w:rsidRPr="00CD3A14" w:rsidRDefault="00AF4362" w:rsidP="00AF4362">
            <w:pPr>
              <w:pStyle w:val="AGRTableText"/>
            </w:pPr>
            <w:r w:rsidRPr="00CD3A14">
              <w:t>Department of Corporate and Information Services</w:t>
            </w:r>
          </w:p>
        </w:tc>
      </w:tr>
      <w:tr w:rsidR="00AF4362" w:rsidRPr="00CD3A14" w:rsidTr="00E324F4">
        <w:tc>
          <w:tcPr>
            <w:tcW w:w="1130" w:type="dxa"/>
          </w:tcPr>
          <w:p w:rsidR="00AF4362" w:rsidRPr="00CD3A14" w:rsidRDefault="00AF4362" w:rsidP="00AF4362">
            <w:pPr>
              <w:pStyle w:val="AGRTableText"/>
            </w:pPr>
            <w:r w:rsidRPr="00CD3A14">
              <w:t>DCM</w:t>
            </w:r>
          </w:p>
        </w:tc>
        <w:tc>
          <w:tcPr>
            <w:tcW w:w="7659" w:type="dxa"/>
          </w:tcPr>
          <w:p w:rsidR="00AF4362" w:rsidRPr="00CD3A14" w:rsidRDefault="00AF4362" w:rsidP="00AF4362">
            <w:pPr>
              <w:pStyle w:val="AGRTableText"/>
            </w:pPr>
            <w:r w:rsidRPr="00CD3A14">
              <w:t>Department of the Chief Minister</w:t>
            </w:r>
          </w:p>
        </w:tc>
      </w:tr>
      <w:tr w:rsidR="00AF4362" w:rsidRPr="00CD3A14" w:rsidTr="00E324F4">
        <w:tc>
          <w:tcPr>
            <w:tcW w:w="1130" w:type="dxa"/>
          </w:tcPr>
          <w:p w:rsidR="00AF4362" w:rsidRPr="00CD3A14" w:rsidRDefault="00AF4362" w:rsidP="00AF4362">
            <w:pPr>
              <w:pStyle w:val="AGRTableText"/>
            </w:pPr>
            <w:proofErr w:type="spellStart"/>
            <w:r w:rsidRPr="00CD3A14">
              <w:t>DoCS</w:t>
            </w:r>
            <w:proofErr w:type="spellEnd"/>
          </w:p>
        </w:tc>
        <w:tc>
          <w:tcPr>
            <w:tcW w:w="7659" w:type="dxa"/>
          </w:tcPr>
          <w:p w:rsidR="00AF4362" w:rsidRPr="00CD3A14" w:rsidRDefault="00AF4362" w:rsidP="00AF4362">
            <w:pPr>
              <w:pStyle w:val="AGRTableText"/>
            </w:pPr>
            <w:r w:rsidRPr="00CD3A14">
              <w:t>Department of Correctional Services</w:t>
            </w:r>
          </w:p>
        </w:tc>
      </w:tr>
      <w:tr w:rsidR="00AF4362" w:rsidRPr="00CD3A14" w:rsidTr="00E324F4">
        <w:tc>
          <w:tcPr>
            <w:tcW w:w="1130" w:type="dxa"/>
          </w:tcPr>
          <w:p w:rsidR="00AF4362" w:rsidRPr="00CD3A14" w:rsidRDefault="00AF4362" w:rsidP="00AF4362">
            <w:pPr>
              <w:pStyle w:val="AGRTableText"/>
            </w:pPr>
            <w:r w:rsidRPr="00CD3A14">
              <w:t>GBD</w:t>
            </w:r>
          </w:p>
        </w:tc>
        <w:tc>
          <w:tcPr>
            <w:tcW w:w="7659" w:type="dxa"/>
          </w:tcPr>
          <w:p w:rsidR="00AF4362" w:rsidRPr="00CD3A14" w:rsidRDefault="00AF4362" w:rsidP="00AF4362">
            <w:pPr>
              <w:pStyle w:val="AGRTableText"/>
            </w:pPr>
            <w:r w:rsidRPr="00CD3A14">
              <w:t>Government Business Division</w:t>
            </w:r>
          </w:p>
        </w:tc>
      </w:tr>
      <w:tr w:rsidR="00AF4362" w:rsidRPr="00CD3A14" w:rsidTr="006F0B22">
        <w:tc>
          <w:tcPr>
            <w:tcW w:w="1130" w:type="dxa"/>
          </w:tcPr>
          <w:p w:rsidR="00AF4362" w:rsidRPr="00CD3A14" w:rsidRDefault="00AF4362" w:rsidP="00AF4362">
            <w:pPr>
              <w:pStyle w:val="AGRTableText"/>
            </w:pPr>
            <w:r w:rsidRPr="00CD3A14">
              <w:t xml:space="preserve">IT </w:t>
            </w:r>
          </w:p>
        </w:tc>
        <w:tc>
          <w:tcPr>
            <w:tcW w:w="7659" w:type="dxa"/>
          </w:tcPr>
          <w:p w:rsidR="00AF4362" w:rsidRPr="00CD3A14" w:rsidRDefault="00AF4362" w:rsidP="00AF4362">
            <w:pPr>
              <w:pStyle w:val="AGRTableText"/>
            </w:pPr>
            <w:r w:rsidRPr="00CD3A14">
              <w:t>Information Technology</w:t>
            </w:r>
          </w:p>
        </w:tc>
      </w:tr>
      <w:tr w:rsidR="00AF4362" w:rsidRPr="00CD3A14" w:rsidTr="00E324F4">
        <w:tc>
          <w:tcPr>
            <w:tcW w:w="1130" w:type="dxa"/>
          </w:tcPr>
          <w:p w:rsidR="00AF4362" w:rsidRPr="00CD3A14" w:rsidRDefault="00AF4362" w:rsidP="00AF4362">
            <w:pPr>
              <w:pStyle w:val="AGRTableText"/>
            </w:pPr>
            <w:r w:rsidRPr="00CD3A14">
              <w:t>METS</w:t>
            </w:r>
          </w:p>
        </w:tc>
        <w:tc>
          <w:tcPr>
            <w:tcW w:w="7659" w:type="dxa"/>
          </w:tcPr>
          <w:p w:rsidR="00AF4362" w:rsidRPr="00CD3A14" w:rsidRDefault="00AF4362" w:rsidP="00AF4362">
            <w:pPr>
              <w:pStyle w:val="AGRTableText"/>
            </w:pPr>
            <w:r w:rsidRPr="00CD3A14">
              <w:t>Members’ Entitlements Travel System</w:t>
            </w:r>
          </w:p>
        </w:tc>
      </w:tr>
      <w:tr w:rsidR="00AF4362" w:rsidRPr="00CD3A14" w:rsidTr="00E324F4">
        <w:tc>
          <w:tcPr>
            <w:tcW w:w="1130" w:type="dxa"/>
          </w:tcPr>
          <w:p w:rsidR="00AF4362" w:rsidRPr="00CD3A14" w:rsidRDefault="00AF4362" w:rsidP="00AF4362">
            <w:pPr>
              <w:pStyle w:val="AGRTableText"/>
            </w:pPr>
            <w:r w:rsidRPr="00CD3A14">
              <w:t>MLA</w:t>
            </w:r>
          </w:p>
        </w:tc>
        <w:tc>
          <w:tcPr>
            <w:tcW w:w="7659" w:type="dxa"/>
          </w:tcPr>
          <w:p w:rsidR="00AF4362" w:rsidRPr="00CD3A14" w:rsidRDefault="00AF4362" w:rsidP="00AF4362">
            <w:pPr>
              <w:pStyle w:val="AGRTableText"/>
            </w:pPr>
            <w:r w:rsidRPr="00CD3A14">
              <w:t>Member of the Legislative Assembly</w:t>
            </w:r>
          </w:p>
        </w:tc>
      </w:tr>
      <w:tr w:rsidR="00AF4362" w:rsidRPr="00CD3A14" w:rsidTr="00E324F4">
        <w:tc>
          <w:tcPr>
            <w:tcW w:w="1130" w:type="dxa"/>
          </w:tcPr>
          <w:p w:rsidR="00AF4362" w:rsidRPr="00CD3A14" w:rsidRDefault="00AF4362" w:rsidP="00AF4362">
            <w:pPr>
              <w:pStyle w:val="AGRTableText"/>
            </w:pPr>
            <w:r w:rsidRPr="00CD3A14">
              <w:t xml:space="preserve">MR </w:t>
            </w:r>
          </w:p>
        </w:tc>
        <w:tc>
          <w:tcPr>
            <w:tcW w:w="7659" w:type="dxa"/>
          </w:tcPr>
          <w:p w:rsidR="00AF4362" w:rsidRPr="00CD3A14" w:rsidRDefault="00AF4362" w:rsidP="00AF4362">
            <w:pPr>
              <w:pStyle w:val="AGRTableText"/>
            </w:pPr>
            <w:r w:rsidRPr="00CD3A14">
              <w:t>Movement requisition</w:t>
            </w:r>
          </w:p>
        </w:tc>
      </w:tr>
      <w:tr w:rsidR="00AF4362" w:rsidRPr="00CD3A14" w:rsidTr="00E324F4">
        <w:tc>
          <w:tcPr>
            <w:tcW w:w="1130" w:type="dxa"/>
          </w:tcPr>
          <w:p w:rsidR="00AF4362" w:rsidRPr="00CD3A14" w:rsidRDefault="00AF4362" w:rsidP="00AF4362">
            <w:pPr>
              <w:pStyle w:val="AGRTableText"/>
            </w:pPr>
            <w:r w:rsidRPr="00CD3A14">
              <w:t>NTPFES</w:t>
            </w:r>
          </w:p>
        </w:tc>
        <w:tc>
          <w:tcPr>
            <w:tcW w:w="7659" w:type="dxa"/>
          </w:tcPr>
          <w:p w:rsidR="00AF4362" w:rsidRPr="00CD3A14" w:rsidRDefault="00AF4362" w:rsidP="00AF4362">
            <w:pPr>
              <w:pStyle w:val="AGRTableText"/>
            </w:pPr>
            <w:r w:rsidRPr="00CD3A14">
              <w:t>Northern Territory Police, Fire and Emergency Service</w:t>
            </w:r>
          </w:p>
        </w:tc>
      </w:tr>
      <w:tr w:rsidR="00AF4362" w:rsidRPr="00CD3A14" w:rsidTr="00B4664D">
        <w:tc>
          <w:tcPr>
            <w:tcW w:w="1130" w:type="dxa"/>
          </w:tcPr>
          <w:p w:rsidR="00AF4362" w:rsidRPr="00CD3A14" w:rsidRDefault="00AF4362" w:rsidP="00AF4362">
            <w:pPr>
              <w:pStyle w:val="AGRTableText"/>
            </w:pPr>
            <w:r w:rsidRPr="00CD3A14">
              <w:t>PRS</w:t>
            </w:r>
          </w:p>
        </w:tc>
        <w:tc>
          <w:tcPr>
            <w:tcW w:w="7659" w:type="dxa"/>
          </w:tcPr>
          <w:p w:rsidR="00AF4362" w:rsidRPr="00CD3A14" w:rsidRDefault="00AF4362" w:rsidP="00AF4362">
            <w:pPr>
              <w:pStyle w:val="AGRTableText"/>
            </w:pPr>
            <w:r w:rsidRPr="00CD3A14">
              <w:t>Project Reporting System</w:t>
            </w:r>
          </w:p>
        </w:tc>
      </w:tr>
      <w:tr w:rsidR="00AF4362" w:rsidRPr="00CD3A14" w:rsidTr="00E324F4">
        <w:tc>
          <w:tcPr>
            <w:tcW w:w="1130" w:type="dxa"/>
          </w:tcPr>
          <w:p w:rsidR="00AF4362" w:rsidRPr="00CD3A14" w:rsidRDefault="00AF4362" w:rsidP="00AF4362">
            <w:pPr>
              <w:pStyle w:val="AGRTableText"/>
            </w:pPr>
            <w:r w:rsidRPr="00CD3A14">
              <w:t>RDH</w:t>
            </w:r>
          </w:p>
        </w:tc>
        <w:tc>
          <w:tcPr>
            <w:tcW w:w="7659" w:type="dxa"/>
          </w:tcPr>
          <w:p w:rsidR="00AF4362" w:rsidRPr="00CD3A14" w:rsidRDefault="00AF4362" w:rsidP="00AF4362">
            <w:pPr>
              <w:pStyle w:val="AGRTableText"/>
            </w:pPr>
            <w:r w:rsidRPr="00CD3A14">
              <w:t>Royal Darwin Hospital</w:t>
            </w:r>
          </w:p>
        </w:tc>
      </w:tr>
      <w:tr w:rsidR="00AF4362" w:rsidRPr="00CD3A14" w:rsidTr="00B4664D">
        <w:tc>
          <w:tcPr>
            <w:tcW w:w="1130" w:type="dxa"/>
          </w:tcPr>
          <w:p w:rsidR="00AF4362" w:rsidRPr="00CD3A14" w:rsidRDefault="00AF4362" w:rsidP="00AF4362">
            <w:pPr>
              <w:pStyle w:val="AGRTableText"/>
            </w:pPr>
            <w:r w:rsidRPr="00CD3A14">
              <w:t>RIMS</w:t>
            </w:r>
          </w:p>
        </w:tc>
        <w:tc>
          <w:tcPr>
            <w:tcW w:w="7659" w:type="dxa"/>
          </w:tcPr>
          <w:p w:rsidR="00AF4362" w:rsidRPr="00CD3A14" w:rsidRDefault="00AF4362" w:rsidP="00AF4362">
            <w:pPr>
              <w:pStyle w:val="AGRTableText"/>
            </w:pPr>
            <w:r w:rsidRPr="00CD3A14">
              <w:t>Road Information Management System</w:t>
            </w:r>
          </w:p>
        </w:tc>
      </w:tr>
      <w:tr w:rsidR="00AF4362" w:rsidRPr="00CD3A14" w:rsidTr="00E324F4">
        <w:tc>
          <w:tcPr>
            <w:tcW w:w="1130" w:type="dxa"/>
          </w:tcPr>
          <w:p w:rsidR="00AF4362" w:rsidRPr="00CD3A14" w:rsidRDefault="00AF4362" w:rsidP="00AF4362">
            <w:pPr>
              <w:pStyle w:val="AGRTableText"/>
            </w:pPr>
            <w:r w:rsidRPr="00CD3A14">
              <w:t>RTD</w:t>
            </w:r>
          </w:p>
        </w:tc>
        <w:tc>
          <w:tcPr>
            <w:tcW w:w="7659" w:type="dxa"/>
          </w:tcPr>
          <w:p w:rsidR="00AF4362" w:rsidRPr="00CD3A14" w:rsidRDefault="00AF4362" w:rsidP="00AF4362">
            <w:pPr>
              <w:pStyle w:val="AGRTableText"/>
            </w:pPr>
            <w:r w:rsidRPr="00CD3A14">
              <w:t>Remuneration Tribunal Determination</w:t>
            </w:r>
          </w:p>
        </w:tc>
      </w:tr>
      <w:tr w:rsidR="00AF4362" w:rsidRPr="00CD3A14" w:rsidTr="00E324F4">
        <w:tc>
          <w:tcPr>
            <w:tcW w:w="1130" w:type="dxa"/>
          </w:tcPr>
          <w:p w:rsidR="00AF4362" w:rsidRPr="00CD3A14" w:rsidRDefault="00AF4362" w:rsidP="00AF4362">
            <w:pPr>
              <w:pStyle w:val="AGRTableText"/>
            </w:pPr>
            <w:r w:rsidRPr="00CD3A14">
              <w:t>TD</w:t>
            </w:r>
          </w:p>
        </w:tc>
        <w:tc>
          <w:tcPr>
            <w:tcW w:w="7659" w:type="dxa"/>
          </w:tcPr>
          <w:p w:rsidR="00AF4362" w:rsidRPr="00CD3A14" w:rsidRDefault="00AF4362" w:rsidP="00AF4362">
            <w:pPr>
              <w:pStyle w:val="AGRTableText"/>
            </w:pPr>
            <w:r w:rsidRPr="00CD3A14">
              <w:t>Treasurer's Direction</w:t>
            </w:r>
          </w:p>
        </w:tc>
      </w:tr>
      <w:tr w:rsidR="00AF4362" w:rsidRPr="00CD3A14" w:rsidTr="00E324F4">
        <w:tc>
          <w:tcPr>
            <w:tcW w:w="1130" w:type="dxa"/>
          </w:tcPr>
          <w:p w:rsidR="00AF4362" w:rsidRPr="00CD3A14" w:rsidRDefault="00AF4362" w:rsidP="00AF4362">
            <w:pPr>
              <w:pStyle w:val="AGRTableText"/>
            </w:pPr>
            <w:r w:rsidRPr="00CD3A14">
              <w:t>TRIPS</w:t>
            </w:r>
          </w:p>
        </w:tc>
        <w:tc>
          <w:tcPr>
            <w:tcW w:w="7659" w:type="dxa"/>
          </w:tcPr>
          <w:p w:rsidR="00AF4362" w:rsidRPr="00CD3A14" w:rsidRDefault="00AF4362" w:rsidP="00AF4362">
            <w:pPr>
              <w:pStyle w:val="AGRTableText"/>
            </w:pPr>
            <w:r w:rsidRPr="00CD3A14">
              <w:t xml:space="preserve">Travel Request Information Processing System </w:t>
            </w:r>
          </w:p>
        </w:tc>
      </w:tr>
      <w:tr w:rsidR="00AF4362" w:rsidRPr="00CD3A14" w:rsidTr="006F0B22">
        <w:tc>
          <w:tcPr>
            <w:tcW w:w="1130" w:type="dxa"/>
          </w:tcPr>
          <w:p w:rsidR="00AF4362" w:rsidRPr="00CD3A14" w:rsidRDefault="00AF4362" w:rsidP="00AF4362">
            <w:pPr>
              <w:pStyle w:val="AGRTableText"/>
            </w:pPr>
            <w:r w:rsidRPr="00CD3A14">
              <w:t xml:space="preserve">VET </w:t>
            </w:r>
          </w:p>
        </w:tc>
        <w:tc>
          <w:tcPr>
            <w:tcW w:w="7659" w:type="dxa"/>
          </w:tcPr>
          <w:p w:rsidR="00AF4362" w:rsidRPr="00CD3A14" w:rsidRDefault="00AF4362" w:rsidP="00AF4362">
            <w:pPr>
              <w:pStyle w:val="AGRTableText"/>
            </w:pPr>
            <w:r w:rsidRPr="00CD3A14">
              <w:t>Vocational Education and Training</w:t>
            </w:r>
          </w:p>
        </w:tc>
      </w:tr>
    </w:tbl>
    <w:p w:rsidR="00E55BF0" w:rsidRPr="00CD3A14" w:rsidRDefault="00E55BF0" w:rsidP="00AF4362">
      <w:pPr>
        <w:pStyle w:val="AGRBodyText"/>
        <w:rPr>
          <w:noProof w:val="0"/>
          <w:lang w:val="en-AU"/>
        </w:rPr>
      </w:pPr>
    </w:p>
    <w:p w:rsidR="00E55BF0" w:rsidRPr="00CD3A14" w:rsidRDefault="00E55BF0" w:rsidP="0013400B">
      <w:pPr>
        <w:pStyle w:val="AGRBodyText"/>
        <w:rPr>
          <w:noProof w:val="0"/>
          <w:lang w:val="en-AU"/>
        </w:rPr>
      </w:pPr>
      <w:r w:rsidRPr="00CD3A14">
        <w:rPr>
          <w:lang w:val="en-AU"/>
        </w:rPr>
        <mc:AlternateContent>
          <mc:Choice Requires="wps">
            <w:drawing>
              <wp:anchor distT="0" distB="0" distL="114300" distR="114300" simplePos="0" relativeHeight="251681792" behindDoc="0" locked="0" layoutInCell="1" allowOverlap="1" wp14:anchorId="3DA6002E" wp14:editId="2461B376">
                <wp:simplePos x="0" y="0"/>
                <wp:positionH relativeFrom="page">
                  <wp:align>center</wp:align>
                </wp:positionH>
                <wp:positionV relativeFrom="page">
                  <wp:align>center</wp:align>
                </wp:positionV>
                <wp:extent cx="1837055" cy="292735"/>
                <wp:effectExtent l="0" t="0" r="0" b="381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E55BF0">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0;margin-top:0;width:144.65pt;height:23.05pt;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TvtaOH4CAAABBQAA&#10;DgAAAAAAAAAAAAAAAAAuAgAAZHJzL2Uyb0RvYy54bWxQSwECLQAUAAYACAAAACEAQLXHctoAAAAE&#10;AQAADwAAAAAAAAAAAAAAAADYBAAAZHJzL2Rvd25yZXYueG1sUEsFBgAAAAAEAAQA8wAAAN8FAAAA&#10;AA==&#10;" stroked="f" strokeweight="1pt">
                <v:textbox inset="0,0,0,0">
                  <w:txbxContent>
                    <w:p w:rsidR="002A3C5B" w:rsidRDefault="002A3C5B" w:rsidP="00E55BF0">
                      <w:pPr>
                        <w:pStyle w:val="AGRTableText"/>
                      </w:pPr>
                      <w:r>
                        <w:t>This page deliberately left blank.</w:t>
                      </w:r>
                    </w:p>
                  </w:txbxContent>
                </v:textbox>
                <w10:wrap anchorx="page" anchory="page"/>
              </v:rect>
            </w:pict>
          </mc:Fallback>
        </mc:AlternateContent>
      </w:r>
    </w:p>
    <w:p w:rsidR="004A036F" w:rsidRPr="00CD3A14" w:rsidRDefault="00FC49B7" w:rsidP="00C67DA8">
      <w:pPr>
        <w:pStyle w:val="AGRHeading1"/>
      </w:pPr>
      <w:bookmarkStart w:id="44" w:name="Index_of_matters_reported"/>
      <w:r w:rsidRPr="00CD3A14">
        <w:t>Index of M</w:t>
      </w:r>
      <w:r w:rsidR="004A036F" w:rsidRPr="00CD3A14">
        <w:t xml:space="preserve">atters </w:t>
      </w:r>
      <w:r w:rsidRPr="00CD3A14">
        <w:t>R</w:t>
      </w:r>
      <w:r w:rsidR="004A036F" w:rsidRPr="00CD3A14">
        <w:t>eported</w:t>
      </w:r>
      <w:bookmarkEnd w:id="44"/>
    </w:p>
    <w:tbl>
      <w:tblPr>
        <w:tblW w:w="8806" w:type="dxa"/>
        <w:tblLayout w:type="fixed"/>
        <w:tblLook w:val="01E0" w:firstRow="1" w:lastRow="1" w:firstColumn="1" w:lastColumn="1" w:noHBand="0" w:noVBand="0"/>
      </w:tblPr>
      <w:tblGrid>
        <w:gridCol w:w="7817"/>
        <w:gridCol w:w="989"/>
      </w:tblGrid>
      <w:tr w:rsidR="004A036F" w:rsidRPr="00CD3A14" w:rsidTr="00B014B3">
        <w:tc>
          <w:tcPr>
            <w:tcW w:w="7817" w:type="dxa"/>
            <w:vAlign w:val="bottom"/>
          </w:tcPr>
          <w:p w:rsidR="004A036F" w:rsidRPr="00CD3A14" w:rsidRDefault="004A036F" w:rsidP="00B014B3">
            <w:pPr>
              <w:pStyle w:val="AGRTOC"/>
            </w:pPr>
          </w:p>
        </w:tc>
        <w:tc>
          <w:tcPr>
            <w:tcW w:w="989" w:type="dxa"/>
          </w:tcPr>
          <w:p w:rsidR="004A036F" w:rsidRPr="00CD3A14" w:rsidRDefault="004A036F" w:rsidP="00B014B3">
            <w:pPr>
              <w:pStyle w:val="AGRTableText"/>
            </w:pPr>
            <w:r w:rsidRPr="00CD3A14">
              <w:t>Page</w:t>
            </w:r>
          </w:p>
        </w:tc>
      </w:tr>
      <w:tr w:rsidR="00BB726E" w:rsidRPr="00CD3A14" w:rsidTr="005C71C1">
        <w:tc>
          <w:tcPr>
            <w:tcW w:w="7817" w:type="dxa"/>
          </w:tcPr>
          <w:p w:rsidR="00BB726E" w:rsidRPr="00CD3A14" w:rsidRDefault="00BB726E" w:rsidP="00BB20D6">
            <w:pPr>
              <w:pStyle w:val="AGRTOC"/>
            </w:pPr>
            <w:r w:rsidRPr="00CD3A14">
              <w:t>Aboriginal Areas Protection Authority</w:t>
            </w:r>
          </w:p>
        </w:tc>
        <w:tc>
          <w:tcPr>
            <w:tcW w:w="989" w:type="dxa"/>
            <w:vAlign w:val="bottom"/>
          </w:tcPr>
          <w:p w:rsidR="00BB726E" w:rsidRPr="00CD3A14" w:rsidRDefault="00BB726E" w:rsidP="005C71C1">
            <w:pPr>
              <w:pStyle w:val="AGRTOCNumbers-notbold"/>
              <w:tabs>
                <w:tab w:val="clear" w:pos="643"/>
                <w:tab w:val="decimal" w:pos="432"/>
              </w:tabs>
            </w:pPr>
          </w:p>
        </w:tc>
      </w:tr>
      <w:tr w:rsidR="00BB726E" w:rsidRPr="00CD3A14" w:rsidTr="00BB726E">
        <w:tc>
          <w:tcPr>
            <w:tcW w:w="7817" w:type="dxa"/>
            <w:tcBorders>
              <w:top w:val="nil"/>
              <w:left w:val="nil"/>
              <w:bottom w:val="nil"/>
              <w:right w:val="nil"/>
            </w:tcBorders>
          </w:tcPr>
          <w:p w:rsidR="00BB726E" w:rsidRPr="00CD3A14" w:rsidRDefault="00BB726E"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BB726E" w:rsidRPr="00CD3A14" w:rsidRDefault="00BB726E"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0054CE" w:rsidRPr="00CD3A14" w:rsidTr="005E1FE4">
        <w:tc>
          <w:tcPr>
            <w:tcW w:w="7817" w:type="dxa"/>
            <w:tcBorders>
              <w:top w:val="nil"/>
              <w:left w:val="nil"/>
              <w:bottom w:val="nil"/>
              <w:right w:val="nil"/>
            </w:tcBorders>
          </w:tcPr>
          <w:p w:rsidR="000054CE" w:rsidRPr="00CD3A14" w:rsidRDefault="000054CE" w:rsidP="005E1FE4">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0054CE" w:rsidRPr="00CD3A14" w:rsidRDefault="000054CE" w:rsidP="005E1FE4">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BB20D6" w:rsidRPr="00CD3A14" w:rsidTr="005C71C1">
        <w:tc>
          <w:tcPr>
            <w:tcW w:w="7817" w:type="dxa"/>
          </w:tcPr>
          <w:p w:rsidR="00BB20D6" w:rsidRPr="00CD3A14" w:rsidRDefault="00694433" w:rsidP="00BB20D6">
            <w:pPr>
              <w:pStyle w:val="AGRTOC"/>
            </w:pPr>
            <w:r w:rsidRPr="00CD3A14">
              <w:fldChar w:fldCharType="begin"/>
            </w:r>
            <w:r w:rsidR="004B7FC7" w:rsidRPr="00CD3A14">
              <w:instrText xml:space="preserve"> REF batchelor \h  \* MERGEFORMAT </w:instrText>
            </w:r>
            <w:r w:rsidRPr="00CD3A14">
              <w:fldChar w:fldCharType="separate"/>
            </w:r>
            <w:r w:rsidR="008D47F9" w:rsidRPr="00CD3A14">
              <w:t>Batchelor Institute of Indigenous Tertiary Education</w:t>
            </w:r>
            <w:r w:rsidRPr="00CD3A14">
              <w:fldChar w:fldCharType="end"/>
            </w:r>
            <w:r w:rsidR="00BB20D6" w:rsidRPr="00CD3A14">
              <w:t xml:space="preserve"> </w:t>
            </w:r>
          </w:p>
        </w:tc>
        <w:tc>
          <w:tcPr>
            <w:tcW w:w="989" w:type="dxa"/>
            <w:vAlign w:val="bottom"/>
          </w:tcPr>
          <w:p w:rsidR="00BB20D6" w:rsidRPr="00CD3A14" w:rsidRDefault="00BB20D6" w:rsidP="005C71C1">
            <w:pPr>
              <w:pStyle w:val="AGRTOCNumbers-notbold"/>
              <w:tabs>
                <w:tab w:val="clear" w:pos="643"/>
                <w:tab w:val="decimal" w:pos="432"/>
              </w:tabs>
            </w:pPr>
          </w:p>
        </w:tc>
      </w:tr>
      <w:tr w:rsidR="005C71C1" w:rsidRPr="00CD3A14" w:rsidTr="00C67DA8">
        <w:tc>
          <w:tcPr>
            <w:tcW w:w="7817" w:type="dxa"/>
            <w:tcBorders>
              <w:top w:val="nil"/>
              <w:left w:val="nil"/>
              <w:bottom w:val="nil"/>
              <w:right w:val="nil"/>
            </w:tcBorders>
          </w:tcPr>
          <w:p w:rsidR="005C71C1" w:rsidRPr="00CD3A14" w:rsidRDefault="00D8075A" w:rsidP="0013400B">
            <w:pPr>
              <w:pStyle w:val="AGRBodyText"/>
              <w:rPr>
                <w:noProof w:val="0"/>
                <w:lang w:val="en-AU"/>
              </w:rPr>
            </w:pPr>
            <w:r w:rsidRPr="00CD3A14">
              <w:rPr>
                <w:noProof w:val="0"/>
                <w:lang w:val="en-AU"/>
              </w:rPr>
              <w:fldChar w:fldCharType="begin"/>
            </w:r>
            <w:r w:rsidRPr="00CD3A14">
              <w:rPr>
                <w:noProof w:val="0"/>
                <w:lang w:val="en-AU"/>
              </w:rPr>
              <w:instrText xml:space="preserve"> REF  batchelor_audit_title \h  \* MERGEFORMAT </w:instrText>
            </w:r>
            <w:r w:rsidRPr="00CD3A14">
              <w:rPr>
                <w:noProof w:val="0"/>
                <w:lang w:val="en-AU"/>
              </w:rPr>
            </w:r>
            <w:r w:rsidRPr="00CD3A14">
              <w:rPr>
                <w:noProof w:val="0"/>
                <w:lang w:val="en-AU"/>
              </w:rPr>
              <w:fldChar w:fldCharType="separate"/>
            </w:r>
            <w:r w:rsidR="008D47F9" w:rsidRPr="008D47F9">
              <w:rPr>
                <w:noProof w:val="0"/>
                <w:lang w:val="en-AU"/>
              </w:rPr>
              <w:t>Audit findings and analysis of the financial statements for the year ended 31 December 2014</w:t>
            </w:r>
            <w:r w:rsidRPr="00CD3A14">
              <w:rPr>
                <w:noProof w:val="0"/>
                <w:lang w:val="en-AU"/>
              </w:rPr>
              <w:fldChar w:fldCharType="end"/>
            </w:r>
          </w:p>
        </w:tc>
        <w:tc>
          <w:tcPr>
            <w:tcW w:w="989" w:type="dxa"/>
            <w:tcBorders>
              <w:top w:val="nil"/>
              <w:left w:val="nil"/>
              <w:bottom w:val="nil"/>
              <w:right w:val="nil"/>
            </w:tcBorders>
          </w:tcPr>
          <w:p w:rsidR="005C71C1" w:rsidRPr="00CD3A14" w:rsidRDefault="00694433" w:rsidP="00C67DA8">
            <w:pPr>
              <w:pStyle w:val="AGRTOCNumbers-notbold"/>
              <w:tabs>
                <w:tab w:val="clear" w:pos="643"/>
                <w:tab w:val="decimal" w:pos="432"/>
              </w:tabs>
            </w:pPr>
            <w:r w:rsidRPr="00CD3A14">
              <w:fldChar w:fldCharType="begin"/>
            </w:r>
            <w:r w:rsidR="005C71C1" w:rsidRPr="00CD3A14">
              <w:instrText xml:space="preserve"> PAGEREF batchelor \h </w:instrText>
            </w:r>
            <w:r w:rsidRPr="00CD3A14">
              <w:fldChar w:fldCharType="separate"/>
            </w:r>
            <w:r w:rsidR="008D47F9">
              <w:rPr>
                <w:noProof/>
              </w:rPr>
              <w:t>15</w:t>
            </w:r>
            <w:r w:rsidRPr="00CD3A14">
              <w:fldChar w:fldCharType="end"/>
            </w:r>
          </w:p>
        </w:tc>
      </w:tr>
      <w:tr w:rsidR="00CC4AF5" w:rsidRPr="00CD3A14" w:rsidTr="00C67DA8">
        <w:tc>
          <w:tcPr>
            <w:tcW w:w="7817" w:type="dxa"/>
            <w:tcBorders>
              <w:top w:val="nil"/>
              <w:left w:val="nil"/>
              <w:bottom w:val="nil"/>
              <w:right w:val="nil"/>
            </w:tcBorders>
          </w:tcPr>
          <w:p w:rsidR="00CC4AF5" w:rsidRPr="00CD3A14" w:rsidRDefault="00CC4AF5" w:rsidP="0094455B">
            <w:pPr>
              <w:pStyle w:val="AGRTOC"/>
            </w:pPr>
            <w:r w:rsidRPr="00CD3A14">
              <w:fldChar w:fldCharType="begin"/>
            </w:r>
            <w:r w:rsidRPr="00CD3A14">
              <w:instrText xml:space="preserve"> REF  cdu_amenities \h  \* MERGEFORMAT </w:instrText>
            </w:r>
            <w:r w:rsidRPr="00CD3A14">
              <w:fldChar w:fldCharType="separate"/>
            </w:r>
            <w:r w:rsidR="008D47F9" w:rsidRPr="00CD3A14">
              <w:t>CDU Amenities Limited</w:t>
            </w:r>
            <w:r w:rsidRPr="00CD3A14">
              <w:fldChar w:fldCharType="end"/>
            </w:r>
          </w:p>
        </w:tc>
        <w:tc>
          <w:tcPr>
            <w:tcW w:w="989" w:type="dxa"/>
            <w:tcBorders>
              <w:top w:val="nil"/>
              <w:left w:val="nil"/>
              <w:bottom w:val="nil"/>
              <w:right w:val="nil"/>
            </w:tcBorders>
          </w:tcPr>
          <w:p w:rsidR="00CC4AF5" w:rsidRPr="00CD3A14" w:rsidRDefault="00CC4AF5" w:rsidP="00C67DA8">
            <w:pPr>
              <w:pStyle w:val="AGRTOCNumbers-notbold"/>
              <w:tabs>
                <w:tab w:val="clear" w:pos="643"/>
                <w:tab w:val="decimal" w:pos="432"/>
              </w:tabs>
            </w:pPr>
          </w:p>
        </w:tc>
      </w:tr>
      <w:tr w:rsidR="00CC4AF5" w:rsidRPr="00CD3A14" w:rsidTr="00C67DA8">
        <w:tc>
          <w:tcPr>
            <w:tcW w:w="7817" w:type="dxa"/>
            <w:tcBorders>
              <w:top w:val="nil"/>
              <w:left w:val="nil"/>
              <w:bottom w:val="nil"/>
              <w:right w:val="nil"/>
            </w:tcBorders>
          </w:tcPr>
          <w:p w:rsidR="00CC4AF5" w:rsidRPr="00CD3A14" w:rsidRDefault="00CC4AF5" w:rsidP="0013400B">
            <w:pPr>
              <w:pStyle w:val="AGRBodyText"/>
              <w:rPr>
                <w:noProof w:val="0"/>
                <w:lang w:val="en-AU"/>
              </w:rPr>
            </w:pPr>
            <w:r w:rsidRPr="00CD3A14">
              <w:rPr>
                <w:noProof w:val="0"/>
                <w:lang w:val="en-AU"/>
              </w:rPr>
              <w:fldChar w:fldCharType="begin"/>
            </w:r>
            <w:r w:rsidRPr="00CD3A14">
              <w:rPr>
                <w:noProof w:val="0"/>
                <w:lang w:val="en-AU"/>
              </w:rPr>
              <w:instrText xml:space="preserve"> REF  cdu_amenities_audit_title \h  \* MERGEFORMAT </w:instrText>
            </w:r>
            <w:r w:rsidRPr="00CD3A14">
              <w:rPr>
                <w:noProof w:val="0"/>
                <w:lang w:val="en-AU"/>
              </w:rPr>
            </w:r>
            <w:r w:rsidRPr="00CD3A14">
              <w:rPr>
                <w:noProof w:val="0"/>
                <w:lang w:val="en-AU"/>
              </w:rPr>
              <w:fldChar w:fldCharType="separate"/>
            </w:r>
            <w:r w:rsidR="008D47F9" w:rsidRPr="008D47F9">
              <w:rPr>
                <w:noProof w:val="0"/>
                <w:lang w:val="en-AU"/>
              </w:rPr>
              <w:t>Audit findings and analysis of the financial statements for the year ended 31 December 2014</w:t>
            </w:r>
            <w:r w:rsidRPr="00CD3A14">
              <w:rPr>
                <w:noProof w:val="0"/>
                <w:lang w:val="en-AU"/>
              </w:rPr>
              <w:fldChar w:fldCharType="end"/>
            </w:r>
          </w:p>
        </w:tc>
        <w:tc>
          <w:tcPr>
            <w:tcW w:w="989" w:type="dxa"/>
            <w:tcBorders>
              <w:top w:val="nil"/>
              <w:left w:val="nil"/>
              <w:bottom w:val="nil"/>
              <w:right w:val="nil"/>
            </w:tcBorders>
          </w:tcPr>
          <w:p w:rsidR="00CC4AF5" w:rsidRPr="00CD3A14" w:rsidRDefault="00CC4AF5" w:rsidP="00C67DA8">
            <w:pPr>
              <w:pStyle w:val="AGRTOCNumbers-notbold"/>
              <w:tabs>
                <w:tab w:val="clear" w:pos="643"/>
                <w:tab w:val="decimal" w:pos="432"/>
              </w:tabs>
            </w:pPr>
            <w:r w:rsidRPr="00CD3A14">
              <w:fldChar w:fldCharType="begin"/>
            </w:r>
            <w:r w:rsidRPr="00CD3A14">
              <w:instrText xml:space="preserve"> PAGEREF  cdu_amenities \h </w:instrText>
            </w:r>
            <w:r w:rsidRPr="00CD3A14">
              <w:fldChar w:fldCharType="separate"/>
            </w:r>
            <w:r w:rsidR="008D47F9">
              <w:rPr>
                <w:noProof/>
              </w:rPr>
              <w:t>18</w:t>
            </w:r>
            <w:r w:rsidRPr="00CD3A14">
              <w:fldChar w:fldCharType="end"/>
            </w:r>
          </w:p>
        </w:tc>
      </w:tr>
      <w:tr w:rsidR="005C71C1" w:rsidRPr="00CD3A14" w:rsidTr="00C67DA8">
        <w:tc>
          <w:tcPr>
            <w:tcW w:w="7817" w:type="dxa"/>
            <w:tcBorders>
              <w:top w:val="nil"/>
              <w:left w:val="nil"/>
              <w:bottom w:val="nil"/>
              <w:right w:val="nil"/>
            </w:tcBorders>
          </w:tcPr>
          <w:p w:rsidR="005C71C1" w:rsidRPr="00CD3A14" w:rsidRDefault="00036669" w:rsidP="00BB20D6">
            <w:pPr>
              <w:pStyle w:val="AGRTOC"/>
            </w:pPr>
            <w:r w:rsidRPr="00CD3A14">
              <w:fldChar w:fldCharType="begin"/>
            </w:r>
            <w:r w:rsidRPr="00CD3A14">
              <w:instrText xml:space="preserve"> REF cdu \h  \* MERGEFORMAT </w:instrText>
            </w:r>
            <w:r w:rsidRPr="00CD3A14">
              <w:fldChar w:fldCharType="separate"/>
            </w:r>
            <w:r w:rsidR="008D47F9" w:rsidRPr="00CD3A14">
              <w:t>Charles Darwin University</w:t>
            </w:r>
            <w:r w:rsidRPr="00CD3A14">
              <w:fldChar w:fldCharType="end"/>
            </w:r>
          </w:p>
        </w:tc>
        <w:tc>
          <w:tcPr>
            <w:tcW w:w="989" w:type="dxa"/>
            <w:tcBorders>
              <w:top w:val="nil"/>
              <w:left w:val="nil"/>
              <w:bottom w:val="nil"/>
              <w:right w:val="nil"/>
            </w:tcBorders>
          </w:tcPr>
          <w:p w:rsidR="005C71C1" w:rsidRPr="00CD3A14" w:rsidRDefault="005C71C1" w:rsidP="00C67DA8">
            <w:pPr>
              <w:pStyle w:val="AGRTOCNumbers-notbold"/>
              <w:tabs>
                <w:tab w:val="clear" w:pos="643"/>
                <w:tab w:val="decimal" w:pos="432"/>
              </w:tabs>
            </w:pPr>
          </w:p>
        </w:tc>
      </w:tr>
      <w:tr w:rsidR="005C71C1" w:rsidRPr="00CD3A14" w:rsidTr="00C67DA8">
        <w:tc>
          <w:tcPr>
            <w:tcW w:w="7817" w:type="dxa"/>
            <w:tcBorders>
              <w:top w:val="nil"/>
              <w:left w:val="nil"/>
              <w:bottom w:val="nil"/>
              <w:right w:val="nil"/>
            </w:tcBorders>
          </w:tcPr>
          <w:p w:rsidR="005C71C1" w:rsidRPr="00CD3A14" w:rsidRDefault="00D8075A" w:rsidP="0013400B">
            <w:pPr>
              <w:pStyle w:val="AGRBodyText"/>
              <w:rPr>
                <w:noProof w:val="0"/>
                <w:lang w:val="en-AU"/>
              </w:rPr>
            </w:pPr>
            <w:r w:rsidRPr="00CD3A14">
              <w:rPr>
                <w:noProof w:val="0"/>
                <w:lang w:val="en-AU"/>
              </w:rPr>
              <w:fldChar w:fldCharType="begin"/>
            </w:r>
            <w:r w:rsidRPr="00CD3A14">
              <w:rPr>
                <w:noProof w:val="0"/>
                <w:lang w:val="en-AU"/>
              </w:rPr>
              <w:instrText xml:space="preserve"> REF  cdu_audit_title \h  \* MERGEFORMAT </w:instrText>
            </w:r>
            <w:r w:rsidRPr="00CD3A14">
              <w:rPr>
                <w:noProof w:val="0"/>
                <w:lang w:val="en-AU"/>
              </w:rPr>
            </w:r>
            <w:r w:rsidRPr="00CD3A14">
              <w:rPr>
                <w:noProof w:val="0"/>
                <w:lang w:val="en-AU"/>
              </w:rPr>
              <w:fldChar w:fldCharType="separate"/>
            </w:r>
            <w:r w:rsidR="008D47F9" w:rsidRPr="008D47F9">
              <w:rPr>
                <w:noProof w:val="0"/>
                <w:lang w:val="en-AU"/>
              </w:rPr>
              <w:t>Audit findings and analysis of the financial statements for the year ended 31 December 2014</w:t>
            </w:r>
            <w:r w:rsidRPr="00CD3A14">
              <w:rPr>
                <w:noProof w:val="0"/>
                <w:lang w:val="en-AU"/>
              </w:rPr>
              <w:fldChar w:fldCharType="end"/>
            </w:r>
          </w:p>
        </w:tc>
        <w:tc>
          <w:tcPr>
            <w:tcW w:w="989" w:type="dxa"/>
            <w:tcBorders>
              <w:top w:val="nil"/>
              <w:left w:val="nil"/>
              <w:bottom w:val="nil"/>
              <w:right w:val="nil"/>
            </w:tcBorders>
          </w:tcPr>
          <w:p w:rsidR="005C71C1" w:rsidRPr="00CD3A14" w:rsidRDefault="00694433" w:rsidP="00C67DA8">
            <w:pPr>
              <w:pStyle w:val="AGRTOCNumbers-notbold"/>
              <w:tabs>
                <w:tab w:val="clear" w:pos="643"/>
                <w:tab w:val="decimal" w:pos="432"/>
              </w:tabs>
            </w:pPr>
            <w:r w:rsidRPr="00CD3A14">
              <w:fldChar w:fldCharType="begin"/>
            </w:r>
            <w:r w:rsidR="005C71C1" w:rsidRPr="00CD3A14">
              <w:instrText xml:space="preserve"> PAGEREF cdu \h </w:instrText>
            </w:r>
            <w:r w:rsidRPr="00CD3A14">
              <w:fldChar w:fldCharType="separate"/>
            </w:r>
            <w:r w:rsidR="008D47F9">
              <w:rPr>
                <w:noProof/>
              </w:rPr>
              <w:t>21</w:t>
            </w:r>
            <w:r w:rsidRPr="00CD3A14">
              <w:fldChar w:fldCharType="end"/>
            </w:r>
          </w:p>
        </w:tc>
      </w:tr>
      <w:tr w:rsidR="005C71C1" w:rsidRPr="00CD3A14" w:rsidTr="00C67DA8">
        <w:tc>
          <w:tcPr>
            <w:tcW w:w="7817" w:type="dxa"/>
            <w:tcBorders>
              <w:top w:val="nil"/>
              <w:left w:val="nil"/>
              <w:bottom w:val="nil"/>
              <w:right w:val="nil"/>
            </w:tcBorders>
          </w:tcPr>
          <w:p w:rsidR="005C71C1" w:rsidRPr="00CD3A14" w:rsidRDefault="00036669" w:rsidP="00BB20D6">
            <w:pPr>
              <w:pStyle w:val="AGRTOC"/>
            </w:pPr>
            <w:r w:rsidRPr="00CD3A14">
              <w:fldChar w:fldCharType="begin"/>
            </w:r>
            <w:r w:rsidRPr="00CD3A14">
              <w:instrText xml:space="preserve"> REF cdu_foundation \h  \* MERGEFORMAT </w:instrText>
            </w:r>
            <w:r w:rsidRPr="00CD3A14">
              <w:fldChar w:fldCharType="separate"/>
            </w:r>
            <w:r w:rsidR="008D47F9" w:rsidRPr="00CD3A14">
              <w:t>Charles Darwin University Foundation</w:t>
            </w:r>
            <w:r w:rsidRPr="00CD3A14">
              <w:fldChar w:fldCharType="end"/>
            </w:r>
          </w:p>
        </w:tc>
        <w:tc>
          <w:tcPr>
            <w:tcW w:w="989" w:type="dxa"/>
            <w:tcBorders>
              <w:top w:val="nil"/>
              <w:left w:val="nil"/>
              <w:bottom w:val="nil"/>
              <w:right w:val="nil"/>
            </w:tcBorders>
          </w:tcPr>
          <w:p w:rsidR="005C71C1" w:rsidRPr="00CD3A14" w:rsidRDefault="005C71C1" w:rsidP="00C67DA8">
            <w:pPr>
              <w:pStyle w:val="AGRTOCNumbers-notbold"/>
              <w:tabs>
                <w:tab w:val="clear" w:pos="643"/>
                <w:tab w:val="decimal" w:pos="432"/>
              </w:tabs>
            </w:pPr>
          </w:p>
        </w:tc>
      </w:tr>
      <w:tr w:rsidR="005C71C1" w:rsidRPr="00CD3A14" w:rsidTr="00C67DA8">
        <w:tc>
          <w:tcPr>
            <w:tcW w:w="7817" w:type="dxa"/>
          </w:tcPr>
          <w:p w:rsidR="005C71C1" w:rsidRPr="00CD3A14" w:rsidRDefault="00D8075A" w:rsidP="0013400B">
            <w:pPr>
              <w:pStyle w:val="AGRBodyText"/>
              <w:rPr>
                <w:noProof w:val="0"/>
                <w:lang w:val="en-AU"/>
              </w:rPr>
            </w:pPr>
            <w:r w:rsidRPr="00CD3A14">
              <w:rPr>
                <w:noProof w:val="0"/>
                <w:lang w:val="en-AU"/>
              </w:rPr>
              <w:fldChar w:fldCharType="begin"/>
            </w:r>
            <w:r w:rsidRPr="00CD3A14">
              <w:rPr>
                <w:noProof w:val="0"/>
                <w:lang w:val="en-AU"/>
              </w:rPr>
              <w:instrText xml:space="preserve"> REF  cdu_foundation_audit_title \h  \* MERGEFORMAT </w:instrText>
            </w:r>
            <w:r w:rsidRPr="00CD3A14">
              <w:rPr>
                <w:noProof w:val="0"/>
                <w:lang w:val="en-AU"/>
              </w:rPr>
            </w:r>
            <w:r w:rsidRPr="00CD3A14">
              <w:rPr>
                <w:noProof w:val="0"/>
                <w:lang w:val="en-AU"/>
              </w:rPr>
              <w:fldChar w:fldCharType="separate"/>
            </w:r>
            <w:r w:rsidR="008D47F9" w:rsidRPr="008D47F9">
              <w:rPr>
                <w:noProof w:val="0"/>
                <w:lang w:val="en-AU"/>
              </w:rPr>
              <w:t>Audit findings and analysis of the financial statements for the year ended 31 December 2014</w:t>
            </w:r>
            <w:r w:rsidRPr="00CD3A14">
              <w:rPr>
                <w:noProof w:val="0"/>
                <w:lang w:val="en-AU"/>
              </w:rPr>
              <w:fldChar w:fldCharType="end"/>
            </w:r>
          </w:p>
        </w:tc>
        <w:tc>
          <w:tcPr>
            <w:tcW w:w="989" w:type="dxa"/>
          </w:tcPr>
          <w:p w:rsidR="005C71C1" w:rsidRPr="00CD3A14" w:rsidRDefault="00694433" w:rsidP="00C67DA8">
            <w:pPr>
              <w:pStyle w:val="AGRTOCNumbers-notbold"/>
              <w:tabs>
                <w:tab w:val="clear" w:pos="643"/>
                <w:tab w:val="decimal" w:pos="432"/>
              </w:tabs>
            </w:pPr>
            <w:r w:rsidRPr="00CD3A14">
              <w:fldChar w:fldCharType="begin"/>
            </w:r>
            <w:r w:rsidR="005C71C1" w:rsidRPr="00CD3A14">
              <w:instrText xml:space="preserve"> PAGEREF cdu_foundation \h </w:instrText>
            </w:r>
            <w:r w:rsidRPr="00CD3A14">
              <w:fldChar w:fldCharType="separate"/>
            </w:r>
            <w:r w:rsidR="008D47F9">
              <w:rPr>
                <w:noProof/>
              </w:rPr>
              <w:t>25</w:t>
            </w:r>
            <w:r w:rsidRPr="00CD3A14">
              <w:fldChar w:fldCharType="end"/>
            </w:r>
          </w:p>
        </w:tc>
      </w:tr>
      <w:tr w:rsidR="00C5186C" w:rsidRPr="00CD3A14" w:rsidTr="00C67DA8">
        <w:tc>
          <w:tcPr>
            <w:tcW w:w="7817" w:type="dxa"/>
          </w:tcPr>
          <w:p w:rsidR="00C5186C" w:rsidRPr="00CD3A14" w:rsidRDefault="00BB726E" w:rsidP="00BB726E">
            <w:pPr>
              <w:pStyle w:val="AGRTOC"/>
            </w:pPr>
            <w:r w:rsidRPr="00CD3A14">
              <w:t>Department of Business</w:t>
            </w:r>
          </w:p>
        </w:tc>
        <w:tc>
          <w:tcPr>
            <w:tcW w:w="989" w:type="dxa"/>
          </w:tcPr>
          <w:p w:rsidR="00C5186C" w:rsidRPr="00CD3A14" w:rsidRDefault="00C5186C" w:rsidP="00C67DA8">
            <w:pPr>
              <w:pStyle w:val="AGRTOCNumbers-notbold"/>
              <w:tabs>
                <w:tab w:val="clear" w:pos="643"/>
                <w:tab w:val="decimal" w:pos="432"/>
              </w:tabs>
            </w:pPr>
          </w:p>
        </w:tc>
      </w:tr>
      <w:tr w:rsidR="00BB726E" w:rsidRPr="00CD3A14" w:rsidTr="00BB726E">
        <w:tc>
          <w:tcPr>
            <w:tcW w:w="7817" w:type="dxa"/>
            <w:tcBorders>
              <w:top w:val="nil"/>
              <w:left w:val="nil"/>
              <w:bottom w:val="nil"/>
              <w:right w:val="nil"/>
            </w:tcBorders>
          </w:tcPr>
          <w:p w:rsidR="00BB726E" w:rsidRPr="00CD3A14" w:rsidRDefault="00BB726E"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BB726E" w:rsidRPr="00CD3A14" w:rsidRDefault="00BB726E"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B26E64" w:rsidRPr="00CD3A14" w:rsidTr="00C67DA8">
        <w:tc>
          <w:tcPr>
            <w:tcW w:w="7817" w:type="dxa"/>
            <w:tcBorders>
              <w:top w:val="nil"/>
              <w:left w:val="nil"/>
              <w:bottom w:val="nil"/>
              <w:right w:val="nil"/>
            </w:tcBorders>
          </w:tcPr>
          <w:p w:rsidR="00B26E64" w:rsidRPr="00CD3A14" w:rsidRDefault="00BB726E" w:rsidP="00BB726E">
            <w:pPr>
              <w:pStyle w:val="AGRTOC"/>
            </w:pPr>
            <w:r w:rsidRPr="00CD3A14">
              <w:t>Department of Children and Families</w:t>
            </w:r>
          </w:p>
        </w:tc>
        <w:tc>
          <w:tcPr>
            <w:tcW w:w="989" w:type="dxa"/>
            <w:tcBorders>
              <w:top w:val="nil"/>
              <w:left w:val="nil"/>
              <w:bottom w:val="nil"/>
              <w:right w:val="nil"/>
            </w:tcBorders>
          </w:tcPr>
          <w:p w:rsidR="00B26E64" w:rsidRPr="00CD3A14" w:rsidRDefault="00B26E64" w:rsidP="00C67DA8">
            <w:pPr>
              <w:pStyle w:val="AGRTOCNumbers-notbold"/>
              <w:tabs>
                <w:tab w:val="clear" w:pos="643"/>
                <w:tab w:val="decimal" w:pos="432"/>
              </w:tabs>
            </w:pPr>
          </w:p>
        </w:tc>
      </w:tr>
      <w:tr w:rsidR="00BB726E" w:rsidRPr="00CD3A14" w:rsidTr="00BB726E">
        <w:tc>
          <w:tcPr>
            <w:tcW w:w="7817" w:type="dxa"/>
            <w:tcBorders>
              <w:top w:val="nil"/>
              <w:left w:val="nil"/>
              <w:bottom w:val="nil"/>
              <w:right w:val="nil"/>
            </w:tcBorders>
          </w:tcPr>
          <w:p w:rsidR="00BB726E" w:rsidRPr="00CD3A14" w:rsidRDefault="00BB726E"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BB726E" w:rsidRPr="00CD3A14" w:rsidRDefault="00BB726E"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CC4AF5" w:rsidRPr="00CD3A14" w:rsidTr="00C67DA8">
        <w:tc>
          <w:tcPr>
            <w:tcW w:w="7817" w:type="dxa"/>
            <w:tcBorders>
              <w:top w:val="nil"/>
              <w:left w:val="nil"/>
              <w:bottom w:val="nil"/>
              <w:right w:val="nil"/>
            </w:tcBorders>
          </w:tcPr>
          <w:p w:rsidR="00CC4AF5" w:rsidRPr="00CD3A14" w:rsidRDefault="00BB726E" w:rsidP="00BB726E">
            <w:pPr>
              <w:pStyle w:val="AGRTOC"/>
            </w:pPr>
            <w:r w:rsidRPr="00CD3A14">
              <w:t>Department of Community Services</w:t>
            </w:r>
          </w:p>
        </w:tc>
        <w:tc>
          <w:tcPr>
            <w:tcW w:w="989" w:type="dxa"/>
            <w:tcBorders>
              <w:top w:val="nil"/>
              <w:left w:val="nil"/>
              <w:bottom w:val="nil"/>
              <w:right w:val="nil"/>
            </w:tcBorders>
          </w:tcPr>
          <w:p w:rsidR="00CC4AF5" w:rsidRPr="00CD3A14" w:rsidRDefault="00CC4AF5" w:rsidP="00C67DA8">
            <w:pPr>
              <w:pStyle w:val="AGRTOCNumbers-notbold"/>
              <w:tabs>
                <w:tab w:val="clear" w:pos="643"/>
                <w:tab w:val="decimal" w:pos="432"/>
              </w:tabs>
            </w:pPr>
          </w:p>
        </w:tc>
      </w:tr>
      <w:tr w:rsidR="00BB726E" w:rsidRPr="00CD3A14" w:rsidTr="00BB726E">
        <w:tc>
          <w:tcPr>
            <w:tcW w:w="7817" w:type="dxa"/>
            <w:tcBorders>
              <w:top w:val="nil"/>
              <w:left w:val="nil"/>
              <w:bottom w:val="nil"/>
              <w:right w:val="nil"/>
            </w:tcBorders>
          </w:tcPr>
          <w:p w:rsidR="00BB726E" w:rsidRPr="00CD3A14" w:rsidRDefault="00BB726E"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BB726E" w:rsidRPr="00CD3A14" w:rsidRDefault="00BB726E"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CC4AF5" w:rsidRPr="00CD3A14" w:rsidTr="00C67DA8">
        <w:tc>
          <w:tcPr>
            <w:tcW w:w="7817" w:type="dxa"/>
            <w:tcBorders>
              <w:top w:val="nil"/>
              <w:left w:val="nil"/>
              <w:bottom w:val="nil"/>
              <w:right w:val="nil"/>
            </w:tcBorders>
          </w:tcPr>
          <w:p w:rsidR="00CC4AF5" w:rsidRPr="00CD3A14" w:rsidRDefault="00BB726E" w:rsidP="00BB726E">
            <w:pPr>
              <w:pStyle w:val="AGRTOC"/>
            </w:pPr>
            <w:r w:rsidRPr="00CD3A14">
              <w:t>Department of Corporate and Information Services</w:t>
            </w:r>
          </w:p>
        </w:tc>
        <w:tc>
          <w:tcPr>
            <w:tcW w:w="989" w:type="dxa"/>
            <w:tcBorders>
              <w:top w:val="nil"/>
              <w:left w:val="nil"/>
              <w:bottom w:val="nil"/>
              <w:right w:val="nil"/>
            </w:tcBorders>
          </w:tcPr>
          <w:p w:rsidR="00CC4AF5" w:rsidRPr="00CD3A14" w:rsidRDefault="00CC4AF5" w:rsidP="00C67DA8">
            <w:pPr>
              <w:pStyle w:val="AGRTOCNumbers-notbold"/>
              <w:tabs>
                <w:tab w:val="clear" w:pos="643"/>
                <w:tab w:val="decimal" w:pos="432"/>
              </w:tabs>
            </w:pPr>
          </w:p>
        </w:tc>
      </w:tr>
      <w:tr w:rsidR="00BB726E" w:rsidRPr="00CD3A14" w:rsidTr="00BB726E">
        <w:tc>
          <w:tcPr>
            <w:tcW w:w="7817" w:type="dxa"/>
            <w:tcBorders>
              <w:top w:val="nil"/>
              <w:left w:val="nil"/>
              <w:bottom w:val="nil"/>
              <w:right w:val="nil"/>
            </w:tcBorders>
          </w:tcPr>
          <w:p w:rsidR="00BB726E" w:rsidRPr="00CD3A14" w:rsidRDefault="00BB726E"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BB726E" w:rsidRPr="00CD3A14" w:rsidRDefault="00BB726E"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AIS \h  \* MERGEFORMAT </w:instrText>
            </w:r>
            <w:r w:rsidRPr="00CD3A14">
              <w:rPr>
                <w:noProof w:val="0"/>
                <w:lang w:val="en-AU"/>
              </w:rPr>
            </w:r>
            <w:r w:rsidRPr="00CD3A14">
              <w:rPr>
                <w:noProof w:val="0"/>
                <w:lang w:val="en-AU"/>
              </w:rPr>
              <w:fldChar w:fldCharType="separate"/>
            </w:r>
            <w:r w:rsidR="008D47F9" w:rsidRPr="008D47F9">
              <w:rPr>
                <w:noProof w:val="0"/>
                <w:lang w:val="en-AU"/>
              </w:rPr>
              <w:t>Asset Information System</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13400B">
            <w:pPr>
              <w:pStyle w:val="AGRTOCNumbers-notbold"/>
              <w:tabs>
                <w:tab w:val="clear" w:pos="643"/>
                <w:tab w:val="decimal" w:pos="432"/>
              </w:tabs>
            </w:pPr>
            <w:r w:rsidRPr="00CD3A14">
              <w:fldChar w:fldCharType="begin"/>
            </w:r>
            <w:r w:rsidRPr="00CD3A14">
              <w:instrText xml:space="preserve"> PAGEREF  AIS \h </w:instrText>
            </w:r>
            <w:r w:rsidRPr="00CD3A14">
              <w:fldChar w:fldCharType="separate"/>
            </w:r>
            <w:r w:rsidR="008D47F9">
              <w:rPr>
                <w:noProof/>
              </w:rPr>
              <w:t>29</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Correctional Services</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B56D7B" w:rsidRPr="00CD3A14" w:rsidTr="005E1FE4">
        <w:tc>
          <w:tcPr>
            <w:tcW w:w="7817" w:type="dxa"/>
            <w:tcBorders>
              <w:top w:val="nil"/>
              <w:left w:val="nil"/>
              <w:bottom w:val="nil"/>
              <w:right w:val="nil"/>
            </w:tcBorders>
          </w:tcPr>
          <w:p w:rsidR="00B56D7B" w:rsidRPr="00CD3A14" w:rsidRDefault="00B56D7B" w:rsidP="005E1FE4">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B56D7B" w:rsidRPr="00CD3A14" w:rsidRDefault="00B56D7B" w:rsidP="005E1FE4">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74050D">
            <w:pPr>
              <w:pStyle w:val="AGRTOC"/>
              <w:keepNext/>
            </w:pPr>
            <w:r w:rsidRPr="00CD3A14">
              <w:t>Department of Education</w:t>
            </w:r>
          </w:p>
        </w:tc>
        <w:tc>
          <w:tcPr>
            <w:tcW w:w="989" w:type="dxa"/>
            <w:tcBorders>
              <w:top w:val="nil"/>
              <w:left w:val="nil"/>
              <w:bottom w:val="nil"/>
              <w:right w:val="nil"/>
            </w:tcBorders>
          </w:tcPr>
          <w:p w:rsidR="00E303C7" w:rsidRPr="00CD3A14" w:rsidRDefault="00E303C7" w:rsidP="0074050D">
            <w:pPr>
              <w:pStyle w:val="AGRTOCNumbers-notbold"/>
              <w:keepNext/>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74050D">
            <w:pPr>
              <w:pStyle w:val="AGRBodyText"/>
              <w:keepN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74050D">
            <w:pPr>
              <w:pStyle w:val="AGRTOCNumbers-notbold"/>
              <w:keepNext/>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Fuel_cards \h  \* MERGEFORMAT </w:instrText>
            </w:r>
            <w:r w:rsidRPr="00CD3A14">
              <w:rPr>
                <w:noProof w:val="0"/>
                <w:lang w:val="en-AU"/>
              </w:rPr>
            </w:r>
            <w:r w:rsidRPr="00CD3A14">
              <w:rPr>
                <w:noProof w:val="0"/>
                <w:lang w:val="en-AU"/>
              </w:rPr>
              <w:fldChar w:fldCharType="separate"/>
            </w:r>
            <w:r w:rsidR="008D47F9" w:rsidRPr="008D47F9">
              <w:rPr>
                <w:noProof w:val="0"/>
                <w:lang w:val="en-AU"/>
              </w:rPr>
              <w:t>Fuel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9F3771">
            <w:pPr>
              <w:pStyle w:val="AGRTOCNumbers-notbold"/>
              <w:tabs>
                <w:tab w:val="clear" w:pos="643"/>
                <w:tab w:val="decimal" w:pos="432"/>
              </w:tabs>
            </w:pPr>
            <w:r w:rsidRPr="00CD3A14">
              <w:fldChar w:fldCharType="begin"/>
            </w:r>
            <w:r w:rsidRPr="00CD3A14">
              <w:instrText xml:space="preserve"> PAGEREF  Fuel_cards \h </w:instrText>
            </w:r>
            <w:r w:rsidRPr="00CD3A14">
              <w:fldChar w:fldCharType="separate"/>
            </w:r>
            <w:r w:rsidR="008D47F9">
              <w:rPr>
                <w:noProof/>
              </w:rPr>
              <w:t>56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Health</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9F3771">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Fuel_cards \h  \* MERGEFORMAT </w:instrText>
            </w:r>
            <w:r w:rsidRPr="00CD3A14">
              <w:rPr>
                <w:noProof w:val="0"/>
                <w:lang w:val="en-AU"/>
              </w:rPr>
            </w:r>
            <w:r w:rsidRPr="00CD3A14">
              <w:rPr>
                <w:noProof w:val="0"/>
                <w:lang w:val="en-AU"/>
              </w:rPr>
              <w:fldChar w:fldCharType="separate"/>
            </w:r>
            <w:r w:rsidR="008D47F9" w:rsidRPr="008D47F9">
              <w:rPr>
                <w:noProof w:val="0"/>
                <w:lang w:val="en-AU"/>
              </w:rPr>
              <w:t>Fuel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9F3771">
            <w:pPr>
              <w:pStyle w:val="AGRTOCNumbers-notbold"/>
              <w:tabs>
                <w:tab w:val="clear" w:pos="643"/>
                <w:tab w:val="decimal" w:pos="432"/>
              </w:tabs>
            </w:pPr>
            <w:r w:rsidRPr="00CD3A14">
              <w:fldChar w:fldCharType="begin"/>
            </w:r>
            <w:r w:rsidRPr="00CD3A14">
              <w:instrText xml:space="preserve"> PAGEREF  Fuel_cards \h </w:instrText>
            </w:r>
            <w:r w:rsidRPr="00CD3A14">
              <w:fldChar w:fldCharType="separate"/>
            </w:r>
            <w:r w:rsidR="008D47F9">
              <w:rPr>
                <w:noProof/>
              </w:rPr>
              <w:t>56</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Housing</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Infrastructure</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Lands Resource Management</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Lands, Planning and the Environment</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Local Government and Regions</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Mines and Energy</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646C37">
        <w:tc>
          <w:tcPr>
            <w:tcW w:w="7817" w:type="dxa"/>
            <w:tcBorders>
              <w:top w:val="nil"/>
              <w:left w:val="nil"/>
              <w:bottom w:val="nil"/>
              <w:right w:val="nil"/>
            </w:tcBorders>
          </w:tcPr>
          <w:p w:rsidR="00E303C7" w:rsidRPr="00CD3A14" w:rsidRDefault="00E303C7" w:rsidP="00355849">
            <w:pPr>
              <w:pStyle w:val="AGRTOC"/>
            </w:pPr>
            <w:r w:rsidRPr="00CD3A14">
              <w:t>Department of Sport and Recreation</w:t>
            </w:r>
          </w:p>
        </w:tc>
        <w:tc>
          <w:tcPr>
            <w:tcW w:w="989" w:type="dxa"/>
            <w:tcBorders>
              <w:top w:val="nil"/>
              <w:left w:val="nil"/>
              <w:bottom w:val="nil"/>
              <w:right w:val="nil"/>
            </w:tcBorders>
          </w:tcPr>
          <w:p w:rsidR="00E303C7" w:rsidRPr="00CD3A14" w:rsidRDefault="00E303C7" w:rsidP="00646C37">
            <w:pPr>
              <w:pStyle w:val="AGRTOCNumbers-notbold"/>
              <w:tabs>
                <w:tab w:val="clear" w:pos="643"/>
                <w:tab w:val="decimal" w:pos="432"/>
              </w:tabs>
            </w:pPr>
          </w:p>
        </w:tc>
      </w:tr>
      <w:tr w:rsidR="00E303C7" w:rsidRPr="00CD3A14" w:rsidTr="00646C37">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official_travel \h  \* MERGEFORMAT </w:instrText>
            </w:r>
            <w:r w:rsidRPr="00CD3A14">
              <w:rPr>
                <w:noProof w:val="0"/>
                <w:lang w:val="en-AU"/>
              </w:rPr>
            </w:r>
            <w:r w:rsidRPr="00CD3A14">
              <w:rPr>
                <w:noProof w:val="0"/>
                <w:lang w:val="en-AU"/>
              </w:rPr>
              <w:fldChar w:fldCharType="separate"/>
            </w:r>
            <w:r w:rsidR="008D47F9" w:rsidRPr="008D47F9">
              <w:rPr>
                <w:noProof w:val="0"/>
                <w:lang w:val="en-AU"/>
              </w:rPr>
              <w:t>Official Travel</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646C37">
            <w:pPr>
              <w:pStyle w:val="AGRTOCNumbers-notbold"/>
              <w:tabs>
                <w:tab w:val="clear" w:pos="643"/>
                <w:tab w:val="decimal" w:pos="432"/>
              </w:tabs>
            </w:pPr>
            <w:r w:rsidRPr="00CD3A14">
              <w:fldChar w:fldCharType="begin"/>
            </w:r>
            <w:r w:rsidRPr="00CD3A14">
              <w:instrText xml:space="preserve"> PAGEREF  official_travel \h </w:instrText>
            </w:r>
            <w:r w:rsidRPr="00CD3A14">
              <w:fldChar w:fldCharType="separate"/>
            </w:r>
            <w:r w:rsidR="008D47F9">
              <w:rPr>
                <w:noProof/>
              </w:rPr>
              <w:t>34</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the Attorney-General and Justice</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PMS \h </w:instrText>
            </w:r>
            <w:r w:rsidRPr="00CD3A14">
              <w:rPr>
                <w:noProof w:val="0"/>
                <w:lang w:val="en-AU"/>
              </w:rPr>
            </w:r>
            <w:r w:rsidRPr="00CD3A14">
              <w:rPr>
                <w:noProof w:val="0"/>
                <w:lang w:val="en-AU"/>
              </w:rPr>
              <w:fldChar w:fldCharType="separate"/>
            </w:r>
            <w:r w:rsidR="008D47F9" w:rsidRPr="00CD3A14">
              <w:t>Evaluation of Selected Aspects of the Agency’s Performance Management System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PMS \h </w:instrText>
            </w:r>
            <w:r w:rsidRPr="00CD3A14">
              <w:fldChar w:fldCharType="separate"/>
            </w:r>
            <w:r w:rsidR="008D47F9">
              <w:rPr>
                <w:noProof/>
              </w:rPr>
              <w:t>52</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Department of the Chief Minister</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646C37">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ministerial_travel \h  \* MERGEFORMAT </w:instrText>
            </w:r>
            <w:r w:rsidRPr="00CD3A14">
              <w:rPr>
                <w:noProof w:val="0"/>
                <w:lang w:val="en-AU"/>
              </w:rPr>
            </w:r>
            <w:r w:rsidRPr="00CD3A14">
              <w:rPr>
                <w:noProof w:val="0"/>
                <w:lang w:val="en-AU"/>
              </w:rPr>
              <w:fldChar w:fldCharType="separate"/>
            </w:r>
            <w:r w:rsidR="008D47F9" w:rsidRPr="008D47F9">
              <w:rPr>
                <w:noProof w:val="0"/>
                <w:lang w:val="en-AU"/>
              </w:rPr>
              <w:t>Ministerial Travel</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646C37">
            <w:pPr>
              <w:pStyle w:val="AGRTOCNumbers-notbold"/>
              <w:tabs>
                <w:tab w:val="clear" w:pos="643"/>
                <w:tab w:val="decimal" w:pos="432"/>
              </w:tabs>
            </w:pPr>
            <w:r w:rsidRPr="00CD3A14">
              <w:fldChar w:fldCharType="begin"/>
            </w:r>
            <w:r w:rsidRPr="00CD3A14">
              <w:instrText xml:space="preserve"> PAGEREF  ministerial_travel \h </w:instrText>
            </w:r>
            <w:r w:rsidRPr="00CD3A14">
              <w:fldChar w:fldCharType="separate"/>
            </w:r>
            <w:r w:rsidR="008D47F9">
              <w:rPr>
                <w:noProof/>
              </w:rPr>
              <w:t>37</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E303C7">
            <w:pPr>
              <w:pStyle w:val="AGRTOC"/>
              <w:keepNext/>
            </w:pPr>
            <w:r w:rsidRPr="00CD3A14">
              <w:t>Department of the Legislative Assembly</w:t>
            </w:r>
          </w:p>
        </w:tc>
        <w:tc>
          <w:tcPr>
            <w:tcW w:w="989" w:type="dxa"/>
            <w:tcBorders>
              <w:top w:val="nil"/>
              <w:left w:val="nil"/>
              <w:bottom w:val="nil"/>
              <w:right w:val="nil"/>
            </w:tcBorders>
          </w:tcPr>
          <w:p w:rsidR="00E303C7" w:rsidRPr="00CD3A14" w:rsidRDefault="00E303C7" w:rsidP="00E303C7">
            <w:pPr>
              <w:pStyle w:val="AGRTOCNumbers-notbold"/>
              <w:keepNext/>
              <w:tabs>
                <w:tab w:val="clear" w:pos="643"/>
                <w:tab w:val="decimal" w:pos="432"/>
              </w:tabs>
            </w:pPr>
          </w:p>
        </w:tc>
      </w:tr>
      <w:tr w:rsidR="00E303C7" w:rsidRPr="00CD3A14" w:rsidTr="00646C37">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646C37">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members_travel \h  \* MERGEFORMAT </w:instrText>
            </w:r>
            <w:r w:rsidRPr="00CD3A14">
              <w:rPr>
                <w:noProof w:val="0"/>
                <w:lang w:val="en-AU"/>
              </w:rPr>
            </w:r>
            <w:r w:rsidRPr="00CD3A14">
              <w:rPr>
                <w:noProof w:val="0"/>
                <w:lang w:val="en-AU"/>
              </w:rPr>
              <w:fldChar w:fldCharType="separate"/>
            </w:r>
            <w:r w:rsidR="008D47F9" w:rsidRPr="008D47F9">
              <w:rPr>
                <w:noProof w:val="0"/>
                <w:lang w:val="en-AU"/>
              </w:rPr>
              <w:t>Members Travel</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members_travel \h </w:instrText>
            </w:r>
            <w:r w:rsidRPr="00CD3A14">
              <w:fldChar w:fldCharType="separate"/>
            </w:r>
            <w:r w:rsidR="008D47F9">
              <w:rPr>
                <w:noProof/>
              </w:rPr>
              <w:t>40</w:t>
            </w:r>
            <w:r w:rsidRPr="00CD3A14">
              <w:fldChar w:fldCharType="end"/>
            </w:r>
          </w:p>
        </w:tc>
      </w:tr>
      <w:tr w:rsidR="00E303C7" w:rsidRPr="00CD3A14" w:rsidTr="00A862A6">
        <w:tc>
          <w:tcPr>
            <w:tcW w:w="7817" w:type="dxa"/>
            <w:tcBorders>
              <w:top w:val="nil"/>
              <w:left w:val="nil"/>
              <w:bottom w:val="nil"/>
              <w:right w:val="nil"/>
            </w:tcBorders>
          </w:tcPr>
          <w:p w:rsidR="00E303C7" w:rsidRPr="00CD3A14" w:rsidRDefault="00E303C7" w:rsidP="00B23F73">
            <w:pPr>
              <w:pStyle w:val="AGRTOC"/>
              <w:keepNext/>
            </w:pPr>
            <w:r w:rsidRPr="00CD3A14">
              <w:t>Department of Transport</w:t>
            </w:r>
          </w:p>
        </w:tc>
        <w:tc>
          <w:tcPr>
            <w:tcW w:w="989" w:type="dxa"/>
            <w:tcBorders>
              <w:top w:val="nil"/>
              <w:left w:val="nil"/>
              <w:bottom w:val="nil"/>
              <w:right w:val="nil"/>
            </w:tcBorders>
          </w:tcPr>
          <w:p w:rsidR="00E303C7" w:rsidRPr="00CD3A14" w:rsidRDefault="00E303C7" w:rsidP="00B23F73">
            <w:pPr>
              <w:pStyle w:val="AGRTOCNumbers-notbold"/>
              <w:keepNext/>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1EAA">
            <w:pPr>
              <w:pStyle w:val="AGRTOC"/>
            </w:pPr>
            <w:r w:rsidRPr="00CD3A14">
              <w:fldChar w:fldCharType="begin"/>
            </w:r>
            <w:r w:rsidRPr="00CD3A14">
              <w:instrText xml:space="preserve"> REF  menzies \h  \* MERGEFORMAT </w:instrText>
            </w:r>
            <w:r w:rsidRPr="00CD3A14">
              <w:fldChar w:fldCharType="separate"/>
            </w:r>
            <w:r w:rsidR="008D47F9" w:rsidRPr="00CD3A14">
              <w:t>Menzies School of Health Research</w:t>
            </w:r>
            <w:r w:rsidRPr="00CD3A14">
              <w:fldChar w:fldCharType="end"/>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C67DA8">
        <w:tc>
          <w:tcPr>
            <w:tcW w:w="7817" w:type="dxa"/>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menzies_audit_title \h  \* MERGEFORMAT </w:instrText>
            </w:r>
            <w:r w:rsidRPr="00CD3A14">
              <w:rPr>
                <w:noProof w:val="0"/>
                <w:lang w:val="en-AU"/>
              </w:rPr>
            </w:r>
            <w:r w:rsidRPr="00CD3A14">
              <w:rPr>
                <w:noProof w:val="0"/>
                <w:lang w:val="en-AU"/>
              </w:rPr>
              <w:fldChar w:fldCharType="separate"/>
            </w:r>
            <w:r w:rsidR="008D47F9" w:rsidRPr="008D47F9">
              <w:rPr>
                <w:noProof w:val="0"/>
                <w:lang w:val="en-AU"/>
              </w:rPr>
              <w:t>Audit findings and analysis of the financial statements for the year ended 31 December 2014</w:t>
            </w:r>
            <w:r w:rsidRPr="00CD3A14">
              <w:rPr>
                <w:noProof w:val="0"/>
                <w:lang w:val="en-AU"/>
              </w:rPr>
              <w:fldChar w:fldCharType="end"/>
            </w:r>
          </w:p>
        </w:tc>
        <w:tc>
          <w:tcPr>
            <w:tcW w:w="989" w:type="dxa"/>
          </w:tcPr>
          <w:p w:rsidR="00E303C7" w:rsidRPr="00CD3A14" w:rsidRDefault="00E303C7" w:rsidP="00C67DA8">
            <w:pPr>
              <w:pStyle w:val="AGRTOCNumbers-notbold"/>
              <w:tabs>
                <w:tab w:val="clear" w:pos="643"/>
                <w:tab w:val="decimal" w:pos="432"/>
              </w:tabs>
            </w:pPr>
            <w:r w:rsidRPr="00CD3A14">
              <w:fldChar w:fldCharType="begin"/>
            </w:r>
            <w:r w:rsidRPr="00CD3A14">
              <w:instrText xml:space="preserve"> PAGEREF  menzies \h </w:instrText>
            </w:r>
            <w:r w:rsidRPr="00CD3A14">
              <w:fldChar w:fldCharType="separate"/>
            </w:r>
            <w:r w:rsidR="008D47F9">
              <w:rPr>
                <w:noProof/>
              </w:rPr>
              <w:t>43</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Northern Territory Electoral Commission</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Northern Territory Police, Fire and Emergency Services</w:t>
            </w:r>
          </w:p>
        </w:tc>
        <w:tc>
          <w:tcPr>
            <w:tcW w:w="989" w:type="dxa"/>
            <w:tcBorders>
              <w:top w:val="nil"/>
              <w:left w:val="nil"/>
              <w:bottom w:val="nil"/>
              <w:right w:val="nil"/>
            </w:tcBorders>
          </w:tcPr>
          <w:p w:rsidR="00E303C7" w:rsidRPr="00CD3A14" w:rsidRDefault="00E303C7" w:rsidP="00C67DA8">
            <w:pPr>
              <w:pStyle w:val="AGRTOCNumbers-notbold"/>
              <w:tabs>
                <w:tab w:val="clear" w:pos="643"/>
                <w:tab w:val="decimal" w:pos="432"/>
              </w:tabs>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PMS \h </w:instrText>
            </w:r>
            <w:r w:rsidRPr="00CD3A14">
              <w:rPr>
                <w:noProof w:val="0"/>
                <w:lang w:val="en-AU"/>
              </w:rPr>
            </w:r>
            <w:r w:rsidRPr="00CD3A14">
              <w:rPr>
                <w:noProof w:val="0"/>
                <w:lang w:val="en-AU"/>
              </w:rPr>
              <w:fldChar w:fldCharType="separate"/>
            </w:r>
            <w:r w:rsidR="008D47F9" w:rsidRPr="00CD3A14">
              <w:t>Evaluation of Selected Aspects of the Agency’s Performance Management System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9F3771">
            <w:pPr>
              <w:pStyle w:val="AGRTOCNumbers-notbold"/>
              <w:tabs>
                <w:tab w:val="clear" w:pos="643"/>
                <w:tab w:val="decimal" w:pos="432"/>
              </w:tabs>
            </w:pPr>
            <w:r w:rsidRPr="00CD3A14">
              <w:fldChar w:fldCharType="begin"/>
            </w:r>
            <w:r w:rsidRPr="00CD3A14">
              <w:instrText xml:space="preserve"> PAGEREF PMS \h </w:instrText>
            </w:r>
            <w:r w:rsidRPr="00CD3A14">
              <w:fldChar w:fldCharType="separate"/>
            </w:r>
            <w:r w:rsidR="008D47F9">
              <w:rPr>
                <w:noProof/>
              </w:rPr>
              <w:t>52</w:t>
            </w:r>
            <w:r w:rsidRPr="00CD3A14">
              <w:fldChar w:fldCharType="end"/>
            </w: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Purchasing_cards \h  \* MERGEFORMAT </w:instrText>
            </w:r>
            <w:r w:rsidRPr="00CD3A14">
              <w:rPr>
                <w:noProof w:val="0"/>
                <w:lang w:val="en-AU"/>
              </w:rPr>
            </w:r>
            <w:r w:rsidRPr="00CD3A14">
              <w:rPr>
                <w:noProof w:val="0"/>
                <w:lang w:val="en-AU"/>
              </w:rPr>
              <w:fldChar w:fldCharType="separate"/>
            </w:r>
            <w:r w:rsidR="008D47F9" w:rsidRPr="008D47F9">
              <w:rPr>
                <w:noProof w:val="0"/>
                <w:lang w:val="en-AU"/>
              </w:rPr>
              <w:t>Purchasing Cards</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Purchasing_cards \h </w:instrText>
            </w:r>
            <w:r w:rsidRPr="00CD3A14">
              <w:fldChar w:fldCharType="separate"/>
            </w:r>
            <w:r w:rsidR="008D47F9">
              <w:rPr>
                <w:noProof/>
              </w:rPr>
              <w:t>69</w:t>
            </w:r>
            <w:r w:rsidRPr="00CD3A14">
              <w:fldChar w:fldCharType="end"/>
            </w:r>
          </w:p>
        </w:tc>
      </w:tr>
      <w:tr w:rsidR="00E303C7" w:rsidRPr="00CD3A14" w:rsidTr="00C67DA8">
        <w:tc>
          <w:tcPr>
            <w:tcW w:w="7817" w:type="dxa"/>
            <w:tcBorders>
              <w:top w:val="nil"/>
              <w:left w:val="nil"/>
              <w:bottom w:val="nil"/>
              <w:right w:val="nil"/>
            </w:tcBorders>
          </w:tcPr>
          <w:p w:rsidR="00E303C7" w:rsidRPr="00CD3A14" w:rsidRDefault="00E303C7" w:rsidP="00BB726E">
            <w:pPr>
              <w:pStyle w:val="AGRTOC"/>
            </w:pPr>
            <w:r w:rsidRPr="00CD3A14">
              <w:t>Office of the Commissioner for Public Employment</w:t>
            </w:r>
          </w:p>
        </w:tc>
        <w:tc>
          <w:tcPr>
            <w:tcW w:w="989" w:type="dxa"/>
            <w:tcBorders>
              <w:top w:val="nil"/>
              <w:left w:val="nil"/>
              <w:bottom w:val="nil"/>
              <w:right w:val="nil"/>
            </w:tcBorders>
          </w:tcPr>
          <w:p w:rsidR="00E303C7" w:rsidRPr="00CD3A14" w:rsidRDefault="00E303C7" w:rsidP="00BB726E">
            <w:pPr>
              <w:pStyle w:val="AGRTOC"/>
            </w:pPr>
          </w:p>
        </w:tc>
      </w:tr>
      <w:tr w:rsidR="00E303C7" w:rsidRPr="00CD3A14" w:rsidTr="00BB726E">
        <w:tc>
          <w:tcPr>
            <w:tcW w:w="7817" w:type="dxa"/>
            <w:tcBorders>
              <w:top w:val="nil"/>
              <w:left w:val="nil"/>
              <w:bottom w:val="nil"/>
              <w:right w:val="nil"/>
            </w:tcBorders>
          </w:tcPr>
          <w:p w:rsidR="00E303C7" w:rsidRPr="00CD3A14" w:rsidRDefault="00E303C7" w:rsidP="0013400B">
            <w:pPr>
              <w:pStyle w:val="AGRBodyText"/>
              <w:rPr>
                <w:noProof w:val="0"/>
                <w:lang w:val="en-AU"/>
              </w:rPr>
            </w:pPr>
            <w:r w:rsidRPr="00CD3A14">
              <w:rPr>
                <w:noProof w:val="0"/>
                <w:lang w:val="en-AU"/>
              </w:rPr>
              <w:fldChar w:fldCharType="begin"/>
            </w:r>
            <w:r w:rsidRPr="00CD3A14">
              <w:rPr>
                <w:noProof w:val="0"/>
                <w:lang w:val="en-AU"/>
              </w:rPr>
              <w:instrText xml:space="preserve"> REF  ACA \h  \* MERGEFORMAT </w:instrText>
            </w:r>
            <w:r w:rsidRPr="00CD3A14">
              <w:rPr>
                <w:noProof w:val="0"/>
                <w:lang w:val="en-AU"/>
              </w:rPr>
            </w:r>
            <w:r w:rsidRPr="00CD3A14">
              <w:rPr>
                <w:noProof w:val="0"/>
                <w:lang w:val="en-AU"/>
              </w:rPr>
              <w:fldChar w:fldCharType="separate"/>
            </w:r>
            <w:r w:rsidR="008D47F9" w:rsidRPr="008D47F9">
              <w:rPr>
                <w:noProof w:val="0"/>
                <w:lang w:val="en-AU"/>
              </w:rPr>
              <w:t>Agency Compliance Audit</w:t>
            </w:r>
            <w:r w:rsidRPr="00CD3A14">
              <w:rPr>
                <w:noProof w:val="0"/>
                <w:lang w:val="en-AU"/>
              </w:rPr>
              <w:fldChar w:fldCharType="end"/>
            </w:r>
          </w:p>
        </w:tc>
        <w:tc>
          <w:tcPr>
            <w:tcW w:w="989" w:type="dxa"/>
            <w:tcBorders>
              <w:top w:val="nil"/>
              <w:left w:val="nil"/>
              <w:bottom w:val="nil"/>
              <w:right w:val="nil"/>
            </w:tcBorders>
          </w:tcPr>
          <w:p w:rsidR="00E303C7" w:rsidRPr="00CD3A14" w:rsidRDefault="00E303C7" w:rsidP="00BB726E">
            <w:pPr>
              <w:pStyle w:val="AGRTOCNumbers-notbold"/>
              <w:tabs>
                <w:tab w:val="clear" w:pos="643"/>
                <w:tab w:val="decimal" w:pos="432"/>
              </w:tabs>
            </w:pPr>
            <w:r w:rsidRPr="00CD3A14">
              <w:fldChar w:fldCharType="begin"/>
            </w:r>
            <w:r w:rsidRPr="00CD3A14">
              <w:instrText xml:space="preserve"> PAGEREF  ACA \h </w:instrText>
            </w:r>
            <w:r w:rsidRPr="00CD3A14">
              <w:fldChar w:fldCharType="separate"/>
            </w:r>
            <w:r w:rsidR="008D47F9">
              <w:rPr>
                <w:noProof/>
              </w:rPr>
              <w:t>46</w:t>
            </w:r>
            <w:r w:rsidRPr="00CD3A14">
              <w:fldChar w:fldCharType="end"/>
            </w:r>
          </w:p>
        </w:tc>
      </w:tr>
      <w:tr w:rsidR="00E303C7" w:rsidRPr="00CD3A14" w:rsidTr="008D3FE5">
        <w:tc>
          <w:tcPr>
            <w:tcW w:w="7817" w:type="dxa"/>
            <w:tcBorders>
              <w:top w:val="nil"/>
              <w:left w:val="nil"/>
              <w:bottom w:val="nil"/>
              <w:right w:val="nil"/>
            </w:tcBorders>
          </w:tcPr>
          <w:p w:rsidR="00E303C7" w:rsidRPr="00CD3A14" w:rsidRDefault="00E303C7" w:rsidP="008D3FE5">
            <w:pPr>
              <w:pStyle w:val="AGRTOC"/>
            </w:pPr>
            <w:r w:rsidRPr="00CD3A14">
              <w:t>Public Information Act</w:t>
            </w:r>
          </w:p>
        </w:tc>
        <w:tc>
          <w:tcPr>
            <w:tcW w:w="989" w:type="dxa"/>
            <w:tcBorders>
              <w:top w:val="nil"/>
              <w:left w:val="nil"/>
              <w:bottom w:val="nil"/>
              <w:right w:val="nil"/>
            </w:tcBorders>
            <w:vAlign w:val="bottom"/>
          </w:tcPr>
          <w:p w:rsidR="00E303C7" w:rsidRPr="00CD3A14" w:rsidRDefault="006F6A8C" w:rsidP="008D3FE5">
            <w:pPr>
              <w:pStyle w:val="AGRTOCNumbers-notbold"/>
              <w:tabs>
                <w:tab w:val="clear" w:pos="643"/>
                <w:tab w:val="decimal" w:pos="432"/>
              </w:tabs>
            </w:pPr>
            <w:r>
              <w:fldChar w:fldCharType="begin"/>
            </w:r>
            <w:r>
              <w:instrText xml:space="preserve"> PAGEREF  PIA \h </w:instrText>
            </w:r>
            <w:r>
              <w:fldChar w:fldCharType="separate"/>
            </w:r>
            <w:r w:rsidR="008D47F9">
              <w:rPr>
                <w:noProof/>
              </w:rPr>
              <w:t>83</w:t>
            </w:r>
            <w:r>
              <w:fldChar w:fldCharType="end"/>
            </w:r>
          </w:p>
        </w:tc>
      </w:tr>
      <w:tr w:rsidR="00E303C7" w:rsidRPr="00CD3A14" w:rsidTr="00A862A6">
        <w:tc>
          <w:tcPr>
            <w:tcW w:w="7817" w:type="dxa"/>
            <w:tcBorders>
              <w:top w:val="nil"/>
              <w:left w:val="nil"/>
              <w:bottom w:val="nil"/>
              <w:right w:val="nil"/>
            </w:tcBorders>
          </w:tcPr>
          <w:p w:rsidR="00E303C7" w:rsidRPr="00CD3A14" w:rsidRDefault="0060117E" w:rsidP="00A862A6">
            <w:pPr>
              <w:pStyle w:val="AGRTOC"/>
            </w:pPr>
            <w:r w:rsidRPr="00CD3A14">
              <w:t>Territory Insurance Office</w:t>
            </w:r>
          </w:p>
        </w:tc>
        <w:tc>
          <w:tcPr>
            <w:tcW w:w="989" w:type="dxa"/>
            <w:tcBorders>
              <w:top w:val="nil"/>
              <w:left w:val="nil"/>
              <w:bottom w:val="nil"/>
              <w:right w:val="nil"/>
            </w:tcBorders>
            <w:vAlign w:val="bottom"/>
          </w:tcPr>
          <w:p w:rsidR="00E303C7" w:rsidRPr="00CD3A14" w:rsidRDefault="00E303C7" w:rsidP="00A862A6">
            <w:pPr>
              <w:pStyle w:val="AGRTOCNumbers-notbold"/>
              <w:tabs>
                <w:tab w:val="clear" w:pos="643"/>
                <w:tab w:val="decimal" w:pos="432"/>
              </w:tabs>
            </w:pPr>
          </w:p>
        </w:tc>
      </w:tr>
      <w:tr w:rsidR="0060117E" w:rsidRPr="00CD3A14" w:rsidTr="00C51B9B">
        <w:tc>
          <w:tcPr>
            <w:tcW w:w="7817" w:type="dxa"/>
            <w:tcBorders>
              <w:top w:val="nil"/>
              <w:left w:val="nil"/>
              <w:bottom w:val="nil"/>
              <w:right w:val="nil"/>
            </w:tcBorders>
          </w:tcPr>
          <w:p w:rsidR="0060117E" w:rsidRPr="00CD3A14" w:rsidRDefault="0060117E" w:rsidP="00C51B9B">
            <w:pPr>
              <w:pStyle w:val="AGRBodyText"/>
              <w:rPr>
                <w:noProof w:val="0"/>
                <w:lang w:val="en-AU"/>
              </w:rPr>
            </w:pPr>
            <w:r w:rsidRPr="00CD3A14">
              <w:rPr>
                <w:noProof w:val="0"/>
                <w:lang w:val="en-AU"/>
              </w:rPr>
              <w:fldChar w:fldCharType="begin"/>
            </w:r>
            <w:r w:rsidRPr="00CD3A14">
              <w:rPr>
                <w:noProof w:val="0"/>
                <w:lang w:val="en-AU"/>
              </w:rPr>
              <w:instrText xml:space="preserve"> REF  tio \h  \* MERGEFORMAT </w:instrText>
            </w:r>
            <w:r w:rsidRPr="00CD3A14">
              <w:rPr>
                <w:noProof w:val="0"/>
                <w:lang w:val="en-AU"/>
              </w:rPr>
            </w:r>
            <w:r w:rsidRPr="00CD3A14">
              <w:rPr>
                <w:noProof w:val="0"/>
                <w:lang w:val="en-AU"/>
              </w:rPr>
              <w:fldChar w:fldCharType="separate"/>
            </w:r>
            <w:r w:rsidR="008D47F9" w:rsidRPr="008D47F9">
              <w:rPr>
                <w:noProof w:val="0"/>
                <w:lang w:val="en-AU"/>
              </w:rPr>
              <w:t>Special Purpose Financial Reports at 31 December 2014</w:t>
            </w:r>
            <w:r w:rsidRPr="00CD3A14">
              <w:rPr>
                <w:noProof w:val="0"/>
                <w:lang w:val="en-AU"/>
              </w:rPr>
              <w:fldChar w:fldCharType="end"/>
            </w:r>
          </w:p>
        </w:tc>
        <w:tc>
          <w:tcPr>
            <w:tcW w:w="989" w:type="dxa"/>
            <w:tcBorders>
              <w:top w:val="nil"/>
              <w:left w:val="nil"/>
              <w:bottom w:val="nil"/>
              <w:right w:val="nil"/>
            </w:tcBorders>
          </w:tcPr>
          <w:p w:rsidR="0060117E" w:rsidRPr="00CD3A14" w:rsidRDefault="0060117E" w:rsidP="00C51B9B">
            <w:pPr>
              <w:pStyle w:val="AGRTOCNumbers-notbold"/>
              <w:tabs>
                <w:tab w:val="clear" w:pos="643"/>
                <w:tab w:val="decimal" w:pos="432"/>
              </w:tabs>
            </w:pPr>
            <w:r w:rsidRPr="00CD3A14">
              <w:fldChar w:fldCharType="begin"/>
            </w:r>
            <w:r w:rsidRPr="00CD3A14">
              <w:instrText xml:space="preserve"> PAGEREF  tio \h </w:instrText>
            </w:r>
            <w:r w:rsidRPr="00CD3A14">
              <w:fldChar w:fldCharType="separate"/>
            </w:r>
            <w:r w:rsidR="008D47F9">
              <w:rPr>
                <w:noProof/>
              </w:rPr>
              <w:t>81</w:t>
            </w:r>
            <w:r w:rsidRPr="00CD3A14">
              <w:fldChar w:fldCharType="end"/>
            </w:r>
          </w:p>
        </w:tc>
      </w:tr>
      <w:tr w:rsidR="0060117E" w:rsidRPr="00CD3A14" w:rsidTr="00A862A6">
        <w:tc>
          <w:tcPr>
            <w:tcW w:w="7817" w:type="dxa"/>
            <w:tcBorders>
              <w:top w:val="nil"/>
              <w:left w:val="nil"/>
              <w:bottom w:val="nil"/>
              <w:right w:val="nil"/>
            </w:tcBorders>
          </w:tcPr>
          <w:p w:rsidR="0060117E" w:rsidRPr="00CD3A14" w:rsidRDefault="0060117E" w:rsidP="0013400B">
            <w:pPr>
              <w:pStyle w:val="AGRBodyText"/>
              <w:rPr>
                <w:noProof w:val="0"/>
                <w:lang w:val="en-AU"/>
              </w:rPr>
            </w:pPr>
          </w:p>
        </w:tc>
        <w:tc>
          <w:tcPr>
            <w:tcW w:w="989" w:type="dxa"/>
            <w:tcBorders>
              <w:top w:val="nil"/>
              <w:left w:val="nil"/>
              <w:bottom w:val="nil"/>
              <w:right w:val="nil"/>
            </w:tcBorders>
            <w:vAlign w:val="bottom"/>
          </w:tcPr>
          <w:p w:rsidR="0060117E" w:rsidRPr="00CD3A14" w:rsidRDefault="0060117E" w:rsidP="00A862A6">
            <w:pPr>
              <w:pStyle w:val="AGRTOCNumbers-notbold"/>
              <w:tabs>
                <w:tab w:val="clear" w:pos="643"/>
                <w:tab w:val="decimal" w:pos="432"/>
              </w:tabs>
            </w:pPr>
          </w:p>
        </w:tc>
      </w:tr>
      <w:tr w:rsidR="0060117E" w:rsidRPr="00CD3A14" w:rsidTr="00BB1EAA">
        <w:tc>
          <w:tcPr>
            <w:tcW w:w="7817" w:type="dxa"/>
          </w:tcPr>
          <w:p w:rsidR="0060117E" w:rsidRPr="00CD3A14" w:rsidRDefault="0060117E" w:rsidP="0013400B">
            <w:pPr>
              <w:pStyle w:val="AGRBodyText"/>
              <w:rPr>
                <w:noProof w:val="0"/>
                <w:lang w:val="en-AU"/>
              </w:rPr>
            </w:pPr>
          </w:p>
        </w:tc>
        <w:tc>
          <w:tcPr>
            <w:tcW w:w="989" w:type="dxa"/>
            <w:vAlign w:val="bottom"/>
          </w:tcPr>
          <w:p w:rsidR="0060117E" w:rsidRPr="00CD3A14" w:rsidRDefault="0060117E" w:rsidP="00BB1EAA">
            <w:pPr>
              <w:pStyle w:val="AGRTOCNumbers-notbold"/>
              <w:tabs>
                <w:tab w:val="clear" w:pos="643"/>
                <w:tab w:val="decimal" w:pos="432"/>
              </w:tabs>
            </w:pPr>
          </w:p>
        </w:tc>
      </w:tr>
    </w:tbl>
    <w:p w:rsidR="00E95045" w:rsidRPr="00CD3A14" w:rsidRDefault="00E95045" w:rsidP="0013400B">
      <w:pPr>
        <w:pStyle w:val="AGRBodyText"/>
        <w:rPr>
          <w:noProof w:val="0"/>
          <w:lang w:val="en-AU"/>
        </w:rPr>
      </w:pPr>
    </w:p>
    <w:p w:rsidR="00E95045" w:rsidRPr="00CD3A14" w:rsidRDefault="00E95045" w:rsidP="0013400B">
      <w:pPr>
        <w:pStyle w:val="AGRBodyText"/>
        <w:rPr>
          <w:noProof w:val="0"/>
          <w:lang w:val="en-AU"/>
        </w:rPr>
      </w:pPr>
      <w:r w:rsidRPr="00CD3A14">
        <w:rPr>
          <w:noProof w:val="0"/>
          <w:lang w:val="en-AU"/>
        </w:rPr>
        <w:br w:type="page"/>
      </w:r>
    </w:p>
    <w:p w:rsidR="00E95045" w:rsidRPr="00D14EFB" w:rsidRDefault="00E95045" w:rsidP="0013400B">
      <w:pPr>
        <w:pStyle w:val="AGRBodyText"/>
        <w:rPr>
          <w:noProof w:val="0"/>
        </w:rPr>
      </w:pPr>
      <w:r w:rsidRPr="00D14EFB">
        <w:rPr>
          <w:lang w:val="en-AU"/>
        </w:rPr>
        <mc:AlternateContent>
          <mc:Choice Requires="wps">
            <w:drawing>
              <wp:anchor distT="0" distB="0" distL="114300" distR="114300" simplePos="0" relativeHeight="251704320" behindDoc="0" locked="0" layoutInCell="1" allowOverlap="1" wp14:anchorId="4EFD6BCB" wp14:editId="6B1D21A9">
                <wp:simplePos x="0" y="0"/>
                <wp:positionH relativeFrom="page">
                  <wp:align>center</wp:align>
                </wp:positionH>
                <wp:positionV relativeFrom="page">
                  <wp:align>center</wp:align>
                </wp:positionV>
                <wp:extent cx="1837055" cy="292735"/>
                <wp:effectExtent l="0" t="0" r="0" b="381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3C5B" w:rsidRDefault="002A3C5B" w:rsidP="00E9504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0;margin-top:0;width:144.65pt;height:23.05pt;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VtUcWn4CAAAABQAA&#10;DgAAAAAAAAAAAAAAAAAuAgAAZHJzL2Uyb0RvYy54bWxQSwECLQAUAAYACAAAACEAQLXHctoAAAAE&#10;AQAADwAAAAAAAAAAAAAAAADYBAAAZHJzL2Rvd25yZXYueG1sUEsFBgAAAAAEAAQA8wAAAN8FAAAA&#10;AA==&#10;" stroked="f" strokeweight="1pt">
                <v:textbox inset="0,0,0,0">
                  <w:txbxContent>
                    <w:p w:rsidR="002A3C5B" w:rsidRDefault="002A3C5B" w:rsidP="00E95045">
                      <w:pPr>
                        <w:pStyle w:val="AGRTableText"/>
                      </w:pPr>
                      <w:r>
                        <w:t>This page deliberately left blank.</w:t>
                      </w:r>
                    </w:p>
                  </w:txbxContent>
                </v:textbox>
                <w10:wrap anchorx="page" anchory="page"/>
              </v:rect>
            </w:pict>
          </mc:Fallback>
        </mc:AlternateContent>
      </w:r>
    </w:p>
    <w:p w:rsidR="00E54812" w:rsidRPr="00D14EFB" w:rsidRDefault="00E54812" w:rsidP="0013400B">
      <w:pPr>
        <w:pStyle w:val="AGRBodyText"/>
        <w:sectPr w:rsidR="00E54812" w:rsidRPr="00D14EFB" w:rsidSect="00E0428E">
          <w:pgSz w:w="11906" w:h="16838" w:code="9"/>
          <w:pgMar w:top="3119" w:right="1418" w:bottom="1134" w:left="1418" w:header="340" w:footer="567" w:gutter="284"/>
          <w:cols w:space="708"/>
          <w:docGrid w:linePitch="360"/>
        </w:sectPr>
      </w:pPr>
    </w:p>
    <w:p w:rsidR="00002BC2" w:rsidRPr="00D14EFB" w:rsidRDefault="005764E8" w:rsidP="0013400B">
      <w:pPr>
        <w:pStyle w:val="AGRBodyText"/>
      </w:pPr>
      <w:r w:rsidRPr="00D14EFB">
        <w:br w:type="page"/>
      </w:r>
    </w:p>
    <w:p w:rsidR="00002BC2" w:rsidRPr="00D14EFB" w:rsidRDefault="00002BC2" w:rsidP="0013400B">
      <w:pPr>
        <w:pStyle w:val="AGRBodyText"/>
        <w:sectPr w:rsidR="00002BC2" w:rsidRPr="00D14EFB" w:rsidSect="00E0428E">
          <w:footerReference w:type="even" r:id="rId42"/>
          <w:footerReference w:type="default" r:id="rId43"/>
          <w:pgSz w:w="11906" w:h="16838" w:code="9"/>
          <w:pgMar w:top="3119" w:right="1418" w:bottom="1134" w:left="1418" w:header="340" w:footer="567" w:gutter="284"/>
          <w:cols w:space="708"/>
          <w:docGrid w:linePitch="360"/>
        </w:sectPr>
      </w:pPr>
    </w:p>
    <w:p w:rsidR="00002BC2" w:rsidRPr="00D14EFB" w:rsidRDefault="00002BC2" w:rsidP="0013400B">
      <w:pPr>
        <w:pStyle w:val="AGRBodyText"/>
      </w:pPr>
    </w:p>
    <w:p w:rsidR="004A036F" w:rsidRPr="00D14EFB" w:rsidRDefault="00002BC2" w:rsidP="0013400B">
      <w:pPr>
        <w:pStyle w:val="AGRBodyText"/>
        <w:rPr>
          <w:noProof w:val="0"/>
        </w:rPr>
      </w:pPr>
      <w:r w:rsidRPr="00D14EFB">
        <w:rPr>
          <w:lang w:val="en-AU"/>
        </w:rPr>
        <w:drawing>
          <wp:anchor distT="0" distB="0" distL="114300" distR="114300" simplePos="0" relativeHeight="251691008" behindDoc="0" locked="0" layoutInCell="1" allowOverlap="1" wp14:anchorId="57A14535" wp14:editId="60E8E2FC">
            <wp:simplePos x="0" y="0"/>
            <wp:positionH relativeFrom="page">
              <wp:align>left</wp:align>
            </wp:positionH>
            <wp:positionV relativeFrom="page">
              <wp:align>top</wp:align>
            </wp:positionV>
            <wp:extent cx="7603200" cy="10692000"/>
            <wp:effectExtent l="0" t="0" r="0" b="0"/>
            <wp:wrapNone/>
            <wp:docPr id="12" name="Picture 12" descr="Back Cover Page"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4.jpg"/>
                    <pic:cNvPicPr/>
                  </pic:nvPicPr>
                  <pic:blipFill>
                    <a:blip r:embed="rId44">
                      <a:extLst>
                        <a:ext uri="{28A0092B-C50C-407E-A947-70E740481C1C}">
                          <a14:useLocalDpi xmlns:a14="http://schemas.microsoft.com/office/drawing/2010/main" val="0"/>
                        </a:ext>
                      </a:extLst>
                    </a:blip>
                    <a:stretch>
                      <a:fillRect/>
                    </a:stretch>
                  </pic:blipFill>
                  <pic:spPr>
                    <a:xfrm>
                      <a:off x="0" y="0"/>
                      <a:ext cx="7603200" cy="10692000"/>
                    </a:xfrm>
                    <a:prstGeom prst="rect">
                      <a:avLst/>
                    </a:prstGeom>
                  </pic:spPr>
                </pic:pic>
              </a:graphicData>
            </a:graphic>
            <wp14:sizeRelH relativeFrom="margin">
              <wp14:pctWidth>0</wp14:pctWidth>
            </wp14:sizeRelH>
            <wp14:sizeRelV relativeFrom="margin">
              <wp14:pctHeight>0</wp14:pctHeight>
            </wp14:sizeRelV>
          </wp:anchor>
        </w:drawing>
      </w:r>
    </w:p>
    <w:sectPr w:rsidR="004A036F" w:rsidRPr="00D14EFB" w:rsidSect="00E0428E">
      <w:headerReference w:type="even" r:id="rId45"/>
      <w:footerReference w:type="even" r:id="rId46"/>
      <w:footerReference w:type="default" r:id="rId47"/>
      <w:pgSz w:w="11906" w:h="16838" w:code="9"/>
      <w:pgMar w:top="3119" w:right="1418" w:bottom="1134" w:left="1418" w:header="340"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5B" w:rsidRDefault="002A3C5B">
      <w:r>
        <w:separator/>
      </w:r>
    </w:p>
    <w:p w:rsidR="002A3C5B" w:rsidRDefault="002A3C5B"/>
    <w:p w:rsidR="002A3C5B" w:rsidRDefault="002A3C5B"/>
  </w:endnote>
  <w:endnote w:type="continuationSeparator" w:id="0">
    <w:p w:rsidR="002A3C5B" w:rsidRDefault="002A3C5B">
      <w:r>
        <w:continuationSeparator/>
      </w:r>
    </w:p>
    <w:p w:rsidR="002A3C5B" w:rsidRDefault="002A3C5B"/>
    <w:p w:rsidR="002A3C5B" w:rsidRDefault="002A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Bold">
    <w:altName w:val="Courier New"/>
    <w:panose1 w:val="020B0704020202020204"/>
    <w:charset w:val="59"/>
    <w:family w:val="auto"/>
    <w:pitch w:val="variable"/>
    <w:sig w:usb0="01020000"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Std Cond">
    <w:panose1 w:val="00000000000000000000"/>
    <w:charset w:val="00"/>
    <w:family w:val="swiss"/>
    <w:notTrueType/>
    <w:pitch w:val="variable"/>
    <w:sig w:usb0="00000003" w:usb1="00000000" w:usb2="00000000" w:usb3="00000000" w:csb0="00000001" w:csb1="00000000"/>
  </w:font>
  <w:font w:name="Arial MT Std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8" w:rsidRDefault="0004198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A45B56">
      <w:rPr>
        <w:rStyle w:val="PageNumber"/>
        <w:rFonts w:ascii="Arial" w:hAnsi="Arial" w:cs="Arial"/>
        <w:noProof/>
      </w:rPr>
      <w:t>100</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August 2015</w:t>
    </w:r>
    <w:r w:rsidRPr="00584AB3">
      <w:rPr>
        <w:rFonts w:ascii="Arial" w:hAnsi="Arial" w:cs="Arial"/>
      </w:rPr>
      <w:t xml:space="preserve"> Report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Odd"/>
    </w:pPr>
    <w:r>
      <w:tab/>
    </w:r>
    <w:r w:rsidRPr="00584AB3">
      <w:rPr>
        <w:rFonts w:ascii="Arial" w:hAnsi="Arial" w:cs="Arial"/>
      </w:rPr>
      <w:t>Auditor-General for the Northern Territory</w:t>
    </w:r>
    <w:r>
      <w:rPr>
        <w:rFonts w:ascii="Arial" w:hAnsi="Arial" w:cs="Arial"/>
      </w:rPr>
      <w:t xml:space="preserve"> – August 2015 </w:t>
    </w:r>
    <w:r w:rsidRPr="00584AB3">
      <w:rPr>
        <w:rFonts w:ascii="Arial" w:hAnsi="Arial" w:cs="Arial"/>
      </w:rPr>
      <w:t>Report</w:t>
    </w:r>
    <w:r w:rsidRPr="00584AB3">
      <w:rPr>
        <w:rFonts w:ascii="Arial" w:hAnsi="Arial" w:cs="Arial"/>
      </w:rPr>
      <w:tab/>
    </w: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A45B56">
      <w:rPr>
        <w:rStyle w:val="PageNumber"/>
        <w:noProof/>
      </w:rPr>
      <w:t>99</w:t>
    </w:r>
    <w:r w:rsidRPr="004140EE">
      <w:rPr>
        <w:rStyle w:val="PageNumber"/>
      </w:rPr>
      <w:fldChar w:fldCharType="end"/>
    </w:r>
    <w:bookmarkStart w:id="7" w:name="_Toc177463394"/>
    <w:bookmarkStart w:id="8" w:name="_Toc177467219"/>
    <w:bookmarkStart w:id="9" w:name="_Toc177467405"/>
    <w:bookmarkStart w:id="10" w:name="_Toc177533778"/>
    <w:bookmarkStart w:id="11" w:name="_Toc178928814"/>
    <w:bookmarkStart w:id="12" w:name="_Toc185213311"/>
    <w:bookmarkStart w:id="13" w:name="_Toc185325698"/>
    <w:bookmarkEnd w:id="7"/>
    <w:bookmarkEnd w:id="8"/>
    <w:bookmarkEnd w:id="9"/>
    <w:bookmarkEnd w:id="10"/>
    <w:bookmarkEnd w:id="11"/>
    <w:bookmarkEnd w:id="12"/>
    <w:bookmarkEnd w:id="13"/>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746EF4" w:rsidRDefault="002A3C5B" w:rsidP="00746EF4">
    <w:pPr>
      <w:pStyle w:val="Footer"/>
      <w:ind w:left="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Even"/>
      <w:rPr>
        <w:rFonts w:ascii="Arial" w:hAnsi="Arial"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Odd"/>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Even"/>
      <w:rPr>
        <w:rFonts w:ascii="Arial" w:hAnsi="Arial" w:cs="Arial"/>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Od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7C22CF" w:rsidRDefault="002A3C5B" w:rsidP="0021315B">
    <w:pPr>
      <w:pStyle w:val="AGRFooterOdd"/>
    </w:pPr>
    <w:r w:rsidRPr="004140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2A3C5B" w:rsidRDefault="002A3C5B">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2A3C5B" w:rsidRDefault="002A3C5B">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2A3C5B" w:rsidRDefault="002A3C5B">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rsidP="003B11AF">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A45B56">
      <w:rPr>
        <w:rStyle w:val="PageNumber"/>
        <w:noProof/>
      </w:rPr>
      <w:t>4</w:t>
    </w:r>
    <w:r w:rsidRPr="004140EE">
      <w:rPr>
        <w:rStyle w:val="PageNumber"/>
      </w:rPr>
      <w:fldChar w:fldCharType="end"/>
    </w:r>
    <w:r w:rsidRPr="00584AB3">
      <w:rPr>
        <w:rStyle w:val="PageNumber"/>
        <w:rFonts w:ascii="Arial" w:hAnsi="Arial" w:cs="Arial"/>
      </w:rPr>
      <w:tab/>
    </w:r>
    <w:r w:rsidRPr="00584AB3">
      <w:rPr>
        <w:rFonts w:ascii="Arial" w:hAnsi="Arial" w:cs="Arial"/>
      </w:rPr>
      <w:t xml:space="preserve">Auditor-General for the Northern Territory – </w:t>
    </w:r>
    <w:r>
      <w:t>August 2015</w:t>
    </w:r>
    <w:r w:rsidRPr="00584AB3">
      <w:rPr>
        <w:rFonts w:ascii="Arial" w:hAnsi="Arial" w:cs="Arial"/>
      </w:rPr>
      <w:t xml:space="preserve">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C53E4D" w:rsidRDefault="002A3C5B" w:rsidP="003B11AF">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August 2015</w:t>
    </w:r>
    <w:r w:rsidRPr="00C53E4D">
      <w:rPr>
        <w:rFonts w:ascii="Arial" w:hAnsi="Arial" w:cs="Arial"/>
      </w:rPr>
      <w:t xml:space="preserve"> Report</w:t>
    </w:r>
    <w:r w:rsidRPr="00C53E4D">
      <w:rPr>
        <w:rFonts w:ascii="Arial" w:hAnsi="Arial" w:cs="Arial"/>
      </w:rPr>
      <w:tab/>
    </w:r>
    <w:r w:rsidRPr="00C53E4D">
      <w:rPr>
        <w:rStyle w:val="PageNumber"/>
        <w:rFonts w:ascii="Arial" w:hAnsi="Arial" w:cs="Arial"/>
      </w:rPr>
      <w:fldChar w:fldCharType="begin"/>
    </w:r>
    <w:r w:rsidRPr="00C53E4D">
      <w:rPr>
        <w:rStyle w:val="PageNumber"/>
        <w:rFonts w:ascii="Arial" w:hAnsi="Arial" w:cs="Arial"/>
      </w:rPr>
      <w:instrText xml:space="preserve"> PAGE </w:instrText>
    </w:r>
    <w:r w:rsidRPr="00C53E4D">
      <w:rPr>
        <w:rStyle w:val="PageNumber"/>
        <w:rFonts w:ascii="Arial" w:hAnsi="Arial" w:cs="Arial"/>
      </w:rPr>
      <w:fldChar w:fldCharType="separate"/>
    </w:r>
    <w:r w:rsidR="00A45B56">
      <w:rPr>
        <w:rStyle w:val="PageNumber"/>
        <w:rFonts w:ascii="Arial" w:hAnsi="Arial" w:cs="Arial"/>
        <w:noProof/>
      </w:rPr>
      <w:t>3</w:t>
    </w:r>
    <w:r w:rsidRPr="00C53E4D">
      <w:rPr>
        <w:rStyle w:val="PageNumbe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746EF4" w:rsidRDefault="002A3C5B" w:rsidP="00746EF4">
    <w:pPr>
      <w:pStyle w:val="Footer"/>
      <w:ind w:left="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584AB3" w:rsidRDefault="002A3C5B" w:rsidP="008713AF">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A45B56">
      <w:rPr>
        <w:rStyle w:val="PageNumber"/>
        <w:rFonts w:ascii="Arial" w:hAnsi="Arial" w:cs="Arial"/>
        <w:noProof/>
      </w:rPr>
      <w:t>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August 2015</w:t>
    </w:r>
    <w:r w:rsidRPr="00584AB3">
      <w:rPr>
        <w:rFonts w:ascii="Arial" w:hAnsi="Arial" w:cs="Arial"/>
      </w:rPr>
      <w:t xml:space="preserve"> Report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E01286" w:rsidRDefault="002A3C5B" w:rsidP="00E01286">
    <w:pPr>
      <w:pStyle w:val="Footer"/>
    </w:pPr>
    <w:r>
      <w:rPr>
        <w:noProof/>
        <w:lang w:eastAsia="en-AU"/>
      </w:rPr>
      <mc:AlternateContent>
        <mc:Choice Requires="wps">
          <w:drawing>
            <wp:anchor distT="0" distB="0" distL="114300" distR="114300" simplePos="0" relativeHeight="251661312" behindDoc="0" locked="0" layoutInCell="1" allowOverlap="1" wp14:anchorId="36C1B64C" wp14:editId="407B529B">
              <wp:simplePos x="0" y="0"/>
              <wp:positionH relativeFrom="page">
                <wp:posOffset>-13970</wp:posOffset>
              </wp:positionH>
              <wp:positionV relativeFrom="page">
                <wp:posOffset>9980295</wp:posOffset>
              </wp:positionV>
              <wp:extent cx="7543800" cy="0"/>
              <wp:effectExtent l="5080" t="7620" r="13970" b="11430"/>
              <wp:wrapNone/>
              <wp:docPr id="8"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alt="Title: Horizontal line - Description: Horizontal line to identify footer"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785.85pt" to="592.9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">
              <w10:wrap anchorx="page" anchory="page"/>
            </v:line>
          </w:pict>
        </mc:Fallback>
      </mc:AlternateContent>
    </w:r>
    <w:r>
      <w:rPr>
        <w:noProof/>
        <w:lang w:eastAsia="en-AU"/>
      </w:rPr>
      <mc:AlternateContent>
        <mc:Choice Requires="wps">
          <w:drawing>
            <wp:anchor distT="0" distB="0" distL="114300" distR="114300" simplePos="0" relativeHeight="251660288" behindDoc="0" locked="0" layoutInCell="1" allowOverlap="1" wp14:anchorId="561CEBB5" wp14:editId="2E8B7212">
              <wp:simplePos x="0" y="0"/>
              <wp:positionH relativeFrom="column">
                <wp:posOffset>98425</wp:posOffset>
              </wp:positionH>
              <wp:positionV relativeFrom="paragraph">
                <wp:posOffset>-16510</wp:posOffset>
              </wp:positionV>
              <wp:extent cx="6286500" cy="501650"/>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5B" w:rsidRPr="00313635" w:rsidRDefault="002A3C5B"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 xml:space="preserve">GPO Box 4594 </w:t>
                          </w:r>
                          <w:r w:rsidRPr="00313635">
                            <w:rPr>
                              <w:sz w:val="16"/>
                              <w:szCs w:val="19"/>
                              <w:lang w:eastAsia="en-AU"/>
                            </w:rPr>
                            <w:tab/>
                            <w:t>Telephone (08) 8999 7155</w:t>
                          </w:r>
                        </w:p>
                        <w:p w:rsidR="002A3C5B" w:rsidRPr="00313635" w:rsidRDefault="002A3C5B" w:rsidP="00E01286">
                          <w:pPr>
                            <w:pStyle w:val="Footer"/>
                            <w:keepLines w:val="0"/>
                            <w:tabs>
                              <w:tab w:val="clear" w:pos="4153"/>
                              <w:tab w:val="clear" w:pos="8306"/>
                              <w:tab w:val="left" w:pos="6804"/>
                            </w:tabs>
                            <w:spacing w:after="0" w:line="240" w:lineRule="auto"/>
                            <w:ind w:left="0"/>
                            <w:rPr>
                              <w:sz w:val="16"/>
                              <w:szCs w:val="19"/>
                              <w:lang w:eastAsia="en-AU"/>
                            </w:rPr>
                          </w:pPr>
                          <w:proofErr w:type="gramStart"/>
                          <w:r w:rsidRPr="00313635">
                            <w:rPr>
                              <w:sz w:val="16"/>
                              <w:szCs w:val="19"/>
                              <w:lang w:eastAsia="en-AU"/>
                            </w:rPr>
                            <w:t>DARWIN  NT</w:t>
                          </w:r>
                          <w:proofErr w:type="gramEnd"/>
                          <w:r w:rsidRPr="00313635">
                            <w:rPr>
                              <w:sz w:val="16"/>
                              <w:szCs w:val="19"/>
                              <w:lang w:eastAsia="en-AU"/>
                            </w:rPr>
                            <w:t xml:space="preserve">  0801</w:t>
                          </w:r>
                          <w:r w:rsidRPr="00313635">
                            <w:rPr>
                              <w:sz w:val="16"/>
                              <w:szCs w:val="19"/>
                              <w:lang w:eastAsia="en-AU"/>
                            </w:rPr>
                            <w:tab/>
                          </w:r>
                          <w:hyperlink r:id="rId1" w:history="1">
                            <w:r w:rsidRPr="00313635">
                              <w:rPr>
                                <w:sz w:val="16"/>
                                <w:szCs w:val="19"/>
                                <w:lang w:eastAsia="en-AU"/>
                              </w:rPr>
                              <w:t>www.nt.gov.au/ago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8" type="#_x0000_t202" style="position:absolute;left:0;text-align:left;margin-left:7.75pt;margin-top:-1.3pt;width:49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ld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" filled="f" stroked="f">
              <v:textbox>
                <w:txbxContent>
                  <w:p w:rsidR="002A3C5B" w:rsidRPr="00313635" w:rsidRDefault="002A3C5B"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 xml:space="preserve">GPO Box 4594 </w:t>
                    </w:r>
                    <w:r w:rsidRPr="00313635">
                      <w:rPr>
                        <w:sz w:val="16"/>
                        <w:szCs w:val="19"/>
                        <w:lang w:eastAsia="en-AU"/>
                      </w:rPr>
                      <w:tab/>
                      <w:t>Telephone (08) 8999 7155</w:t>
                    </w:r>
                  </w:p>
                  <w:p w:rsidR="002A3C5B" w:rsidRPr="00313635" w:rsidRDefault="002A3C5B" w:rsidP="00E01286">
                    <w:pPr>
                      <w:pStyle w:val="Footer"/>
                      <w:keepLines w:val="0"/>
                      <w:tabs>
                        <w:tab w:val="clear" w:pos="4153"/>
                        <w:tab w:val="clear" w:pos="8306"/>
                        <w:tab w:val="left" w:pos="6804"/>
                      </w:tabs>
                      <w:spacing w:after="0" w:line="240" w:lineRule="auto"/>
                      <w:ind w:left="0"/>
                      <w:rPr>
                        <w:sz w:val="16"/>
                        <w:szCs w:val="19"/>
                        <w:lang w:eastAsia="en-AU"/>
                      </w:rPr>
                    </w:pPr>
                    <w:proofErr w:type="gramStart"/>
                    <w:r w:rsidRPr="00313635">
                      <w:rPr>
                        <w:sz w:val="16"/>
                        <w:szCs w:val="19"/>
                        <w:lang w:eastAsia="en-AU"/>
                      </w:rPr>
                      <w:t>DARWIN  NT</w:t>
                    </w:r>
                    <w:proofErr w:type="gramEnd"/>
                    <w:r w:rsidRPr="00313635">
                      <w:rPr>
                        <w:sz w:val="16"/>
                        <w:szCs w:val="19"/>
                        <w:lang w:eastAsia="en-AU"/>
                      </w:rPr>
                      <w:t xml:space="preserve">  0801</w:t>
                    </w:r>
                    <w:r w:rsidRPr="00313635">
                      <w:rPr>
                        <w:sz w:val="16"/>
                        <w:szCs w:val="19"/>
                        <w:lang w:eastAsia="en-AU"/>
                      </w:rPr>
                      <w:tab/>
                    </w:r>
                    <w:hyperlink r:id="rId2" w:history="1">
                      <w:r w:rsidRPr="00313635">
                        <w:rPr>
                          <w:sz w:val="16"/>
                          <w:szCs w:val="19"/>
                          <w:lang w:eastAsia="en-AU"/>
                        </w:rPr>
                        <w:t>www.nt.gov.au/ago</w:t>
                      </w:r>
                    </w:hyperlink>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746EF4" w:rsidRDefault="002A3C5B" w:rsidP="00746EF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5B" w:rsidRDefault="002A3C5B" w:rsidP="00546479">
      <w:pPr>
        <w:spacing w:after="0" w:line="240" w:lineRule="auto"/>
      </w:pPr>
      <w:r>
        <w:separator/>
      </w:r>
    </w:p>
  </w:footnote>
  <w:footnote w:type="continuationSeparator" w:id="0">
    <w:p w:rsidR="002A3C5B" w:rsidRDefault="002A3C5B">
      <w:r>
        <w:continuationSeparator/>
      </w:r>
    </w:p>
    <w:p w:rsidR="002A3C5B" w:rsidRDefault="002A3C5B"/>
    <w:p w:rsidR="002A3C5B" w:rsidRDefault="002A3C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pPr>
      <w:ind w:right="360" w:firstLine="36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pPr>
      <w:ind w:right="360" w:firstLine="360"/>
      <w:jc w:val="cent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0E7E8A" w:rsidRDefault="002A3C5B" w:rsidP="000E7E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pPr>
      <w:tabs>
        <w:tab w:val="left" w:pos="284"/>
      </w:tabs>
      <w:jc w:val="center"/>
      <w:rPr>
        <w:rFonts w:ascii="Arial Narrow" w:hAnsi="Arial Narrow"/>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pPr>
      <w:tabs>
        <w:tab w:val="left" w:pos="284"/>
      </w:tabs>
      <w:jc w:val="center"/>
      <w:rPr>
        <w:rFonts w:ascii="Arial Narrow" w:hAnsi="Arial Narrow"/>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8" w:rsidRDefault="0004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8" w:rsidRDefault="000419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C872E5" w:rsidRDefault="002A3C5B" w:rsidP="000E7E8A">
    <w:pPr>
      <w:pStyle w:val="Header"/>
      <w:tabs>
        <w:tab w:val="left" w:pos="1440"/>
      </w:tabs>
      <w:spacing w:line="280" w:lineRule="exact"/>
      <w:ind w:left="720" w:firstLine="1260"/>
      <w:rPr>
        <w:rFonts w:cs="Arial"/>
        <w:b/>
        <w:sz w:val="28"/>
        <w:szCs w:val="28"/>
        <w:lang w:eastAsia="en-AU"/>
      </w:rPr>
    </w:pPr>
    <w:r>
      <w:rPr>
        <w:rFonts w:cs="Arial"/>
        <w:b/>
        <w:noProof/>
        <w:sz w:val="28"/>
        <w:szCs w:val="28"/>
        <w:lang w:eastAsia="en-AU"/>
      </w:rPr>
      <mc:AlternateContent>
        <mc:Choice Requires="wps">
          <w:drawing>
            <wp:anchor distT="0" distB="0" distL="114300" distR="114300" simplePos="0" relativeHeight="251667456" behindDoc="0" locked="0" layoutInCell="1" allowOverlap="1" wp14:anchorId="3E21463B" wp14:editId="1D900E91">
              <wp:simplePos x="0" y="0"/>
              <wp:positionH relativeFrom="column">
                <wp:posOffset>1143000</wp:posOffset>
              </wp:positionH>
              <wp:positionV relativeFrom="paragraph">
                <wp:posOffset>7620</wp:posOffset>
              </wp:positionV>
              <wp:extent cx="0" cy="457200"/>
              <wp:effectExtent l="13970" t="16510" r="14605" b="12065"/>
              <wp:wrapNone/>
              <wp:docPr id="10" name="Line 5"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Decorative Line - Description: Decorativ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" strokeweight="1.5pt"/>
          </w:pict>
        </mc:Fallback>
      </mc:AlternateContent>
    </w:r>
    <w:r w:rsidRPr="00C872E5">
      <w:rPr>
        <w:rFonts w:cs="Arial"/>
        <w:b/>
        <w:noProof/>
        <w:sz w:val="28"/>
        <w:szCs w:val="28"/>
        <w:lang w:eastAsia="en-AU"/>
      </w:rPr>
      <w:drawing>
        <wp:anchor distT="0" distB="0" distL="114300" distR="114300" simplePos="0" relativeHeight="251666432" behindDoc="0" locked="0" layoutInCell="1" allowOverlap="1" wp14:anchorId="3A8B8EF1" wp14:editId="16F78B38">
          <wp:simplePos x="0" y="0"/>
          <wp:positionH relativeFrom="column">
            <wp:posOffset>342900</wp:posOffset>
          </wp:positionH>
          <wp:positionV relativeFrom="paragraph">
            <wp:posOffset>-106680</wp:posOffset>
          </wp:positionV>
          <wp:extent cx="772160" cy="670560"/>
          <wp:effectExtent l="0" t="0" r="8890" b="0"/>
          <wp:wrapNone/>
          <wp:docPr id="16" name="Picture 16"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biLevel thresh="50000"/>
                  </a:blip>
                  <a:srcRect/>
                  <a:stretch>
                    <a:fillRect/>
                  </a:stretch>
                </pic:blipFill>
                <pic:spPr bwMode="auto">
                  <a:xfrm>
                    <a:off x="0" y="0"/>
                    <a:ext cx="772160" cy="670560"/>
                  </a:xfrm>
                  <a:prstGeom prst="rect">
                    <a:avLst/>
                  </a:prstGeom>
                  <a:noFill/>
                </pic:spPr>
              </pic:pic>
            </a:graphicData>
          </a:graphic>
        </wp:anchor>
      </w:drawing>
    </w:r>
    <w:r w:rsidRPr="00C872E5">
      <w:rPr>
        <w:rFonts w:cs="Arial"/>
        <w:b/>
        <w:sz w:val="28"/>
        <w:szCs w:val="28"/>
        <w:lang w:eastAsia="en-AU"/>
      </w:rPr>
      <w:t>Auditor-General for the Northern Territory</w:t>
    </w:r>
  </w:p>
  <w:p w:rsidR="002A3C5B" w:rsidRPr="00C872E5" w:rsidRDefault="002A3C5B" w:rsidP="000E7E8A">
    <w:pPr>
      <w:pStyle w:val="Header"/>
      <w:tabs>
        <w:tab w:val="left" w:pos="1440"/>
      </w:tabs>
      <w:spacing w:line="280" w:lineRule="exact"/>
      <w:rPr>
        <w:rFonts w:cs="Arial"/>
        <w:b/>
        <w:color w:val="B5AF9D"/>
        <w:sz w:val="22"/>
        <w:szCs w:val="22"/>
      </w:rPr>
    </w:pPr>
    <w:r w:rsidRPr="00C872E5">
      <w:rPr>
        <w:rFonts w:cs="Arial"/>
        <w:b/>
        <w:color w:val="B5AF9D"/>
        <w:sz w:val="22"/>
        <w:szCs w:val="22"/>
      </w:rPr>
      <w:tab/>
    </w:r>
    <w:r w:rsidRPr="00C872E5">
      <w:rPr>
        <w:rFonts w:cs="Arial"/>
        <w:b/>
        <w:color w:val="B5AF9D"/>
        <w:sz w:val="22"/>
        <w:szCs w:val="22"/>
      </w:rPr>
      <w:tab/>
      <w:t>Auditing for Parliament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pPr>
      <w:ind w:right="360" w:firstLine="360"/>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Pr="00DD511F" w:rsidRDefault="002A3C5B" w:rsidP="00DD511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rsidP="008713AF">
    <w:pPr>
      <w:spacing w:after="0"/>
      <w:ind w:left="-993" w:right="-1179"/>
    </w:pPr>
  </w:p>
  <w:p w:rsidR="002A3C5B" w:rsidRPr="00112C6B" w:rsidRDefault="002A3C5B" w:rsidP="008713AF">
    <w:pPr>
      <w:tabs>
        <w:tab w:val="left" w:pos="1440"/>
      </w:tabs>
      <w:ind w:left="720" w:firstLine="1260"/>
      <w:rPr>
        <w:rFonts w:cs="Arial"/>
        <w:b/>
        <w:sz w:val="28"/>
        <w:szCs w:val="28"/>
      </w:rPr>
    </w:pPr>
    <w:r>
      <w:rPr>
        <w:rFonts w:cs="Arial"/>
        <w:noProof/>
        <w:lang w:eastAsia="en-AU"/>
      </w:rPr>
      <mc:AlternateContent>
        <mc:Choice Requires="wps">
          <w:drawing>
            <wp:anchor distT="0" distB="0" distL="114300" distR="114300" simplePos="0" relativeHeight="251659264" behindDoc="0" locked="0" layoutInCell="1" allowOverlap="1" wp14:anchorId="31A4AAC0" wp14:editId="15376590">
              <wp:simplePos x="0" y="0"/>
              <wp:positionH relativeFrom="column">
                <wp:posOffset>1143000</wp:posOffset>
              </wp:positionH>
              <wp:positionV relativeFrom="paragraph">
                <wp:posOffset>7620</wp:posOffset>
              </wp:positionV>
              <wp:extent cx="0" cy="457200"/>
              <wp:effectExtent l="13970" t="13970" r="14605" b="14605"/>
              <wp:wrapNone/>
              <wp:docPr id="9" name="Line 4" descr="Decorative line only"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Vertical line - Description: Decorative line only"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" strokeweight="1.5pt"/>
          </w:pict>
        </mc:Fallback>
      </mc:AlternateContent>
    </w:r>
    <w:r>
      <w:rPr>
        <w:rFonts w:cs="Arial"/>
        <w:noProof/>
        <w:lang w:eastAsia="en-AU"/>
      </w:rPr>
      <w:drawing>
        <wp:anchor distT="0" distB="0" distL="114300" distR="114300" simplePos="0" relativeHeight="251658240" behindDoc="0" locked="0" layoutInCell="1" allowOverlap="1" wp14:anchorId="094008AD" wp14:editId="789993A2">
          <wp:simplePos x="0" y="0"/>
          <wp:positionH relativeFrom="column">
            <wp:posOffset>342900</wp:posOffset>
          </wp:positionH>
          <wp:positionV relativeFrom="paragraph">
            <wp:posOffset>-106680</wp:posOffset>
          </wp:positionV>
          <wp:extent cx="772160" cy="670560"/>
          <wp:effectExtent l="0" t="0" r="8890" b="0"/>
          <wp:wrapNone/>
          <wp:docPr id="23" name="Picture 23"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112C6B">
      <w:rPr>
        <w:rFonts w:cs="Arial"/>
        <w:b/>
        <w:sz w:val="28"/>
        <w:szCs w:val="28"/>
      </w:rPr>
      <w:t>Northern Territory Auditor-General’s Office</w:t>
    </w:r>
  </w:p>
  <w:p w:rsidR="002A3C5B" w:rsidRPr="00112C6B" w:rsidRDefault="002A3C5B" w:rsidP="008713AF">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5B" w:rsidRDefault="002A3C5B" w:rsidP="00DD511F">
    <w:pPr>
      <w:spacing w:after="0"/>
      <w:ind w:left="-993" w:right="-117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37"/>
    <w:multiLevelType w:val="hybridMultilevel"/>
    <w:tmpl w:val="6E30C77A"/>
    <w:lvl w:ilvl="0" w:tplc="428692CE">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nsid w:val="05332829"/>
    <w:multiLevelType w:val="multilevel"/>
    <w:tmpl w:val="C34E3EE2"/>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88C1823"/>
    <w:multiLevelType w:val="multilevel"/>
    <w:tmpl w:val="31AE7188"/>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4">
    <w:nsid w:val="3635487C"/>
    <w:multiLevelType w:val="multilevel"/>
    <w:tmpl w:val="05E0AD3C"/>
    <w:lvl w:ilvl="0">
      <w:start w:val="1"/>
      <w:numFmt w:val="decimal"/>
      <w:pStyle w:val="AGRBodyCom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6860376"/>
    <w:multiLevelType w:val="multilevel"/>
    <w:tmpl w:val="41B07F7E"/>
    <w:lvl w:ilvl="0">
      <w:start w:val="1"/>
      <w:numFmt w:val="bullet"/>
      <w:pStyle w:val="AGRBulletText"/>
      <w:lvlText w:val=""/>
      <w:lvlJc w:val="left"/>
      <w:pPr>
        <w:tabs>
          <w:tab w:val="num" w:pos="1211"/>
        </w:tabs>
        <w:ind w:left="1211" w:hanging="360"/>
      </w:pPr>
      <w:rPr>
        <w:rFonts w:ascii="Wingdings" w:hAnsi="Wingdings" w:hint="default"/>
        <w:b w:val="0"/>
        <w:i w:val="0"/>
        <w:sz w:val="22"/>
        <w:szCs w:val="22"/>
      </w:rPr>
    </w:lvl>
    <w:lvl w:ilvl="1">
      <w:start w:val="1"/>
      <w:numFmt w:val="bullet"/>
      <w:lvlText w:val="-"/>
      <w:lvlJc w:val="left"/>
      <w:pPr>
        <w:tabs>
          <w:tab w:val="num" w:pos="1571"/>
        </w:tabs>
        <w:ind w:left="1571" w:hanging="360"/>
      </w:pPr>
      <w:rPr>
        <w:rFonts w:ascii="Arial" w:hAnsi="Arial" w:hint="default"/>
        <w:b w:val="0"/>
        <w:i w:val="0"/>
        <w:sz w:val="28"/>
        <w:szCs w:val="28"/>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6">
    <w:nsid w:val="46AF6325"/>
    <w:multiLevelType w:val="singleLevel"/>
    <w:tmpl w:val="CDCA4506"/>
    <w:lvl w:ilvl="0">
      <w:start w:val="1"/>
      <w:numFmt w:val="lowerRoman"/>
      <w:pStyle w:val="ListRoman"/>
      <w:lvlText w:val="%1)"/>
      <w:lvlJc w:val="left"/>
      <w:pPr>
        <w:tabs>
          <w:tab w:val="num" w:pos="425"/>
        </w:tabs>
        <w:ind w:left="425" w:hanging="425"/>
      </w:pPr>
    </w:lvl>
  </w:abstractNum>
  <w:abstractNum w:abstractNumId="7">
    <w:nsid w:val="49BE3511"/>
    <w:multiLevelType w:val="multilevel"/>
    <w:tmpl w:val="804C714E"/>
    <w:lvl w:ilvl="0">
      <w:start w:val="1"/>
      <w:numFmt w:val="decimal"/>
      <w:pStyle w:val="ListBullet"/>
      <w:lvlText w:val=""/>
      <w:lvlJc w:val="left"/>
      <w:pPr>
        <w:tabs>
          <w:tab w:val="num" w:pos="425"/>
        </w:tabs>
        <w:ind w:left="425" w:hanging="425"/>
      </w:pPr>
      <w:rPr>
        <w:rFonts w:ascii="Wingdings" w:hAnsi="Wingdings" w:hint="default"/>
        <w:sz w:val="18"/>
      </w:rPr>
    </w:lvl>
    <w:lvl w:ilvl="1">
      <w:start w:val="1"/>
      <w:numFmt w:val="lowerLetter"/>
      <w:pStyle w:val="ListBullet2"/>
      <w:lvlText w:val=""/>
      <w:lvlJc w:val="left"/>
      <w:pPr>
        <w:tabs>
          <w:tab w:val="num" w:pos="850"/>
        </w:tabs>
        <w:ind w:left="850" w:hanging="425"/>
      </w:pPr>
      <w:rPr>
        <w:rFonts w:ascii="Symbol" w:hAnsi="Symbo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9FA2F79"/>
    <w:multiLevelType w:val="hybridMultilevel"/>
    <w:tmpl w:val="FCE2F432"/>
    <w:lvl w:ilvl="0" w:tplc="59F44E20">
      <w:start w:val="1"/>
      <w:numFmt w:val="bullet"/>
      <w:pStyle w:val="dotpoint"/>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Courier New"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Courier New"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Courier New"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9">
    <w:nsid w:val="50DC6143"/>
    <w:multiLevelType w:val="singleLevel"/>
    <w:tmpl w:val="1D767EE0"/>
    <w:lvl w:ilvl="0">
      <w:start w:val="1"/>
      <w:numFmt w:val="bullet"/>
      <w:pStyle w:val="CGCsubBullet"/>
      <w:lvlText w:val="-"/>
      <w:lvlJc w:val="left"/>
      <w:pPr>
        <w:tabs>
          <w:tab w:val="num" w:pos="927"/>
        </w:tabs>
        <w:ind w:left="927" w:hanging="360"/>
      </w:pPr>
      <w:rPr>
        <w:rFonts w:hint="default"/>
      </w:rPr>
    </w:lvl>
  </w:abstractNum>
  <w:abstractNum w:abstractNumId="10">
    <w:nsid w:val="692B5800"/>
    <w:multiLevelType w:val="singleLevel"/>
    <w:tmpl w:val="BC161856"/>
    <w:lvl w:ilvl="0">
      <w:start w:val="1"/>
      <w:numFmt w:val="decimal"/>
      <w:pStyle w:val="ListNumber"/>
      <w:lvlText w:val="%1."/>
      <w:lvlJc w:val="left"/>
      <w:pPr>
        <w:tabs>
          <w:tab w:val="num" w:pos="425"/>
        </w:tabs>
        <w:ind w:left="425" w:hanging="425"/>
      </w:pPr>
    </w:lvl>
  </w:abstractNum>
  <w:abstractNum w:abstractNumId="11">
    <w:nsid w:val="6D517EA6"/>
    <w:multiLevelType w:val="multilevel"/>
    <w:tmpl w:val="EA2C5946"/>
    <w:lvl w:ilvl="0">
      <w:start w:val="1"/>
      <w:numFmt w:val="bullet"/>
      <w:pStyle w:val="CGCBulletlis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593"/>
        </w:tabs>
        <w:ind w:left="1593" w:hanging="360"/>
      </w:pPr>
      <w:rPr>
        <w:rFonts w:hint="default"/>
      </w:rPr>
    </w:lvl>
    <w:lvl w:ilvl="2">
      <w:start w:val="1"/>
      <w:numFmt w:val="lowerRoman"/>
      <w:lvlText w:val="%3)"/>
      <w:lvlJc w:val="left"/>
      <w:pPr>
        <w:tabs>
          <w:tab w:val="num" w:pos="1953"/>
        </w:tabs>
        <w:ind w:left="1953" w:hanging="36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2673"/>
        </w:tabs>
        <w:ind w:left="2673" w:hanging="360"/>
      </w:pPr>
      <w:rPr>
        <w:rFonts w:hint="default"/>
      </w:rPr>
    </w:lvl>
    <w:lvl w:ilvl="5">
      <w:start w:val="1"/>
      <w:numFmt w:val="lowerRoman"/>
      <w:lvlText w:val="(%6)"/>
      <w:lvlJc w:val="left"/>
      <w:pPr>
        <w:tabs>
          <w:tab w:val="num" w:pos="3033"/>
        </w:tabs>
        <w:ind w:left="3033" w:hanging="360"/>
      </w:pPr>
      <w:rPr>
        <w:rFonts w:hint="default"/>
      </w:rPr>
    </w:lvl>
    <w:lvl w:ilvl="6">
      <w:start w:val="1"/>
      <w:numFmt w:val="decimal"/>
      <w:lvlText w:val="%7."/>
      <w:lvlJc w:val="left"/>
      <w:pPr>
        <w:tabs>
          <w:tab w:val="num" w:pos="3393"/>
        </w:tabs>
        <w:ind w:left="3393" w:hanging="360"/>
      </w:pPr>
      <w:rPr>
        <w:rFonts w:hint="default"/>
      </w:rPr>
    </w:lvl>
    <w:lvl w:ilvl="7">
      <w:start w:val="1"/>
      <w:numFmt w:val="lowerLetter"/>
      <w:lvlText w:val="%8."/>
      <w:lvlJc w:val="left"/>
      <w:pPr>
        <w:tabs>
          <w:tab w:val="num" w:pos="3753"/>
        </w:tabs>
        <w:ind w:left="3753" w:hanging="360"/>
      </w:pPr>
      <w:rPr>
        <w:rFonts w:hint="default"/>
      </w:rPr>
    </w:lvl>
    <w:lvl w:ilvl="8">
      <w:start w:val="1"/>
      <w:numFmt w:val="lowerRoman"/>
      <w:lvlText w:val="%9."/>
      <w:lvlJc w:val="left"/>
      <w:pPr>
        <w:tabs>
          <w:tab w:val="num" w:pos="4113"/>
        </w:tabs>
        <w:ind w:left="4113" w:hanging="360"/>
      </w:pPr>
      <w:rPr>
        <w:rFonts w:hint="default"/>
      </w:rPr>
    </w:lvl>
  </w:abstractNum>
  <w:abstractNum w:abstractNumId="12">
    <w:nsid w:val="74176C15"/>
    <w:multiLevelType w:val="hybridMultilevel"/>
    <w:tmpl w:val="5EA8A8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CFC1EBB"/>
    <w:multiLevelType w:val="singleLevel"/>
    <w:tmpl w:val="0C3EE932"/>
    <w:lvl w:ilvl="0">
      <w:start w:val="1"/>
      <w:numFmt w:val="lowerLetter"/>
      <w:pStyle w:val="ListAlpha"/>
      <w:lvlText w:val="%1)"/>
      <w:lvlJc w:val="left"/>
      <w:pPr>
        <w:tabs>
          <w:tab w:val="num" w:pos="425"/>
        </w:tabs>
        <w:ind w:left="425" w:hanging="425"/>
      </w:pPr>
    </w:lvl>
  </w:abstractNum>
  <w:num w:numId="1">
    <w:abstractNumId w:val="1"/>
  </w:num>
  <w:num w:numId="2">
    <w:abstractNumId w:val="7"/>
  </w:num>
  <w:num w:numId="3">
    <w:abstractNumId w:val="10"/>
  </w:num>
  <w:num w:numId="4">
    <w:abstractNumId w:val="13"/>
  </w:num>
  <w:num w:numId="5">
    <w:abstractNumId w:val="6"/>
  </w:num>
  <w:num w:numId="6">
    <w:abstractNumId w:val="8"/>
  </w:num>
  <w:num w:numId="7">
    <w:abstractNumId w:val="4"/>
  </w:num>
  <w:num w:numId="8">
    <w:abstractNumId w:val="5"/>
  </w:num>
  <w:num w:numId="9">
    <w:abstractNumId w:val="2"/>
  </w:num>
  <w:num w:numId="10">
    <w:abstractNumId w:val="3"/>
  </w:num>
  <w:num w:numId="11">
    <w:abstractNumId w:val="9"/>
  </w:num>
  <w:num w:numId="12">
    <w:abstractNumId w:val="11"/>
  </w:num>
  <w:num w:numId="13">
    <w:abstractNumId w:val="5"/>
  </w:num>
  <w:num w:numId="14">
    <w:abstractNumId w:val="0"/>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356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A0"/>
    <w:rsid w:val="00000015"/>
    <w:rsid w:val="00000A68"/>
    <w:rsid w:val="00001839"/>
    <w:rsid w:val="0000275D"/>
    <w:rsid w:val="00002BC2"/>
    <w:rsid w:val="0000315E"/>
    <w:rsid w:val="00003AA5"/>
    <w:rsid w:val="00005103"/>
    <w:rsid w:val="000054CE"/>
    <w:rsid w:val="00007B37"/>
    <w:rsid w:val="00010A26"/>
    <w:rsid w:val="0001120C"/>
    <w:rsid w:val="00012F3C"/>
    <w:rsid w:val="00012FA7"/>
    <w:rsid w:val="00013427"/>
    <w:rsid w:val="0001421C"/>
    <w:rsid w:val="000155C1"/>
    <w:rsid w:val="0001599C"/>
    <w:rsid w:val="00015BA3"/>
    <w:rsid w:val="00015E27"/>
    <w:rsid w:val="00016650"/>
    <w:rsid w:val="00017C94"/>
    <w:rsid w:val="00017F54"/>
    <w:rsid w:val="000219A2"/>
    <w:rsid w:val="00021DA0"/>
    <w:rsid w:val="00022160"/>
    <w:rsid w:val="000228AE"/>
    <w:rsid w:val="000254B0"/>
    <w:rsid w:val="00025C55"/>
    <w:rsid w:val="00026092"/>
    <w:rsid w:val="0002747C"/>
    <w:rsid w:val="000276EB"/>
    <w:rsid w:val="00030C09"/>
    <w:rsid w:val="0003191B"/>
    <w:rsid w:val="00033CC3"/>
    <w:rsid w:val="00033FDD"/>
    <w:rsid w:val="00034C8B"/>
    <w:rsid w:val="00035463"/>
    <w:rsid w:val="0003587F"/>
    <w:rsid w:val="00036669"/>
    <w:rsid w:val="00036698"/>
    <w:rsid w:val="00037936"/>
    <w:rsid w:val="00037E2D"/>
    <w:rsid w:val="00041312"/>
    <w:rsid w:val="000415B7"/>
    <w:rsid w:val="00041988"/>
    <w:rsid w:val="00042480"/>
    <w:rsid w:val="00042BE8"/>
    <w:rsid w:val="00042C3B"/>
    <w:rsid w:val="000431B4"/>
    <w:rsid w:val="0004358D"/>
    <w:rsid w:val="0004367E"/>
    <w:rsid w:val="00043DEE"/>
    <w:rsid w:val="000456E6"/>
    <w:rsid w:val="00045B75"/>
    <w:rsid w:val="00046369"/>
    <w:rsid w:val="00047746"/>
    <w:rsid w:val="00050155"/>
    <w:rsid w:val="0005264B"/>
    <w:rsid w:val="000546B6"/>
    <w:rsid w:val="000579EA"/>
    <w:rsid w:val="000600C9"/>
    <w:rsid w:val="000603D9"/>
    <w:rsid w:val="00060509"/>
    <w:rsid w:val="00060AEC"/>
    <w:rsid w:val="00061C8B"/>
    <w:rsid w:val="00061E92"/>
    <w:rsid w:val="00062148"/>
    <w:rsid w:val="00062DD0"/>
    <w:rsid w:val="00063010"/>
    <w:rsid w:val="000657B1"/>
    <w:rsid w:val="00065BBF"/>
    <w:rsid w:val="00066B06"/>
    <w:rsid w:val="000701CA"/>
    <w:rsid w:val="00070C6A"/>
    <w:rsid w:val="000717FB"/>
    <w:rsid w:val="00073266"/>
    <w:rsid w:val="00073A4C"/>
    <w:rsid w:val="00074352"/>
    <w:rsid w:val="00074668"/>
    <w:rsid w:val="0007543C"/>
    <w:rsid w:val="00077610"/>
    <w:rsid w:val="00080532"/>
    <w:rsid w:val="000805E1"/>
    <w:rsid w:val="00080D06"/>
    <w:rsid w:val="00081F29"/>
    <w:rsid w:val="000845E5"/>
    <w:rsid w:val="00084E3B"/>
    <w:rsid w:val="00084F24"/>
    <w:rsid w:val="000873D9"/>
    <w:rsid w:val="00090A12"/>
    <w:rsid w:val="000918E2"/>
    <w:rsid w:val="0009611D"/>
    <w:rsid w:val="0009732B"/>
    <w:rsid w:val="00097369"/>
    <w:rsid w:val="00097AC3"/>
    <w:rsid w:val="00097D7D"/>
    <w:rsid w:val="000A0766"/>
    <w:rsid w:val="000A17F0"/>
    <w:rsid w:val="000A1A35"/>
    <w:rsid w:val="000A2684"/>
    <w:rsid w:val="000A3A5D"/>
    <w:rsid w:val="000A5B92"/>
    <w:rsid w:val="000A5EBE"/>
    <w:rsid w:val="000A5F64"/>
    <w:rsid w:val="000A60A0"/>
    <w:rsid w:val="000B0904"/>
    <w:rsid w:val="000B1B9E"/>
    <w:rsid w:val="000B236A"/>
    <w:rsid w:val="000B351C"/>
    <w:rsid w:val="000B438B"/>
    <w:rsid w:val="000B447C"/>
    <w:rsid w:val="000B5FC9"/>
    <w:rsid w:val="000C58F1"/>
    <w:rsid w:val="000C72FD"/>
    <w:rsid w:val="000C7A75"/>
    <w:rsid w:val="000D0F1B"/>
    <w:rsid w:val="000D1A53"/>
    <w:rsid w:val="000D1C34"/>
    <w:rsid w:val="000D1F52"/>
    <w:rsid w:val="000D2159"/>
    <w:rsid w:val="000D2670"/>
    <w:rsid w:val="000D3E41"/>
    <w:rsid w:val="000D3F97"/>
    <w:rsid w:val="000D474E"/>
    <w:rsid w:val="000D6262"/>
    <w:rsid w:val="000D6B52"/>
    <w:rsid w:val="000E142E"/>
    <w:rsid w:val="000E1C05"/>
    <w:rsid w:val="000E21E5"/>
    <w:rsid w:val="000E22C8"/>
    <w:rsid w:val="000E3F86"/>
    <w:rsid w:val="000E428C"/>
    <w:rsid w:val="000E560B"/>
    <w:rsid w:val="000E77C5"/>
    <w:rsid w:val="000E7E8A"/>
    <w:rsid w:val="000F0163"/>
    <w:rsid w:val="000F45F7"/>
    <w:rsid w:val="000F4AB5"/>
    <w:rsid w:val="000F4C1B"/>
    <w:rsid w:val="000F56AD"/>
    <w:rsid w:val="000F6F9B"/>
    <w:rsid w:val="000F71F1"/>
    <w:rsid w:val="00100E9A"/>
    <w:rsid w:val="0010169A"/>
    <w:rsid w:val="001018F7"/>
    <w:rsid w:val="00102F5F"/>
    <w:rsid w:val="0010318C"/>
    <w:rsid w:val="001056CC"/>
    <w:rsid w:val="00105DA4"/>
    <w:rsid w:val="001072F0"/>
    <w:rsid w:val="00107A7A"/>
    <w:rsid w:val="0011037D"/>
    <w:rsid w:val="00111CE3"/>
    <w:rsid w:val="0011205A"/>
    <w:rsid w:val="001125E4"/>
    <w:rsid w:val="00112738"/>
    <w:rsid w:val="00112B4F"/>
    <w:rsid w:val="001134E9"/>
    <w:rsid w:val="00113878"/>
    <w:rsid w:val="001139C7"/>
    <w:rsid w:val="00114C3C"/>
    <w:rsid w:val="00115DD0"/>
    <w:rsid w:val="00115E65"/>
    <w:rsid w:val="00116CC4"/>
    <w:rsid w:val="00120775"/>
    <w:rsid w:val="001218F7"/>
    <w:rsid w:val="00121BB2"/>
    <w:rsid w:val="0012491C"/>
    <w:rsid w:val="00124E31"/>
    <w:rsid w:val="00125EA2"/>
    <w:rsid w:val="001307B1"/>
    <w:rsid w:val="001308D2"/>
    <w:rsid w:val="00130D0F"/>
    <w:rsid w:val="00131977"/>
    <w:rsid w:val="00132172"/>
    <w:rsid w:val="0013400B"/>
    <w:rsid w:val="00134C8F"/>
    <w:rsid w:val="001357AC"/>
    <w:rsid w:val="00135B24"/>
    <w:rsid w:val="00137639"/>
    <w:rsid w:val="001376B7"/>
    <w:rsid w:val="00140666"/>
    <w:rsid w:val="00140DD9"/>
    <w:rsid w:val="001410DB"/>
    <w:rsid w:val="001415A2"/>
    <w:rsid w:val="00142913"/>
    <w:rsid w:val="00142B5B"/>
    <w:rsid w:val="00143F28"/>
    <w:rsid w:val="00144197"/>
    <w:rsid w:val="001444A0"/>
    <w:rsid w:val="001447C2"/>
    <w:rsid w:val="0014511E"/>
    <w:rsid w:val="00147E6C"/>
    <w:rsid w:val="00147F38"/>
    <w:rsid w:val="00150A9B"/>
    <w:rsid w:val="00150AFA"/>
    <w:rsid w:val="00150F31"/>
    <w:rsid w:val="00151479"/>
    <w:rsid w:val="00151A35"/>
    <w:rsid w:val="001529F0"/>
    <w:rsid w:val="00152EB7"/>
    <w:rsid w:val="00154069"/>
    <w:rsid w:val="001548A6"/>
    <w:rsid w:val="00155D50"/>
    <w:rsid w:val="00156076"/>
    <w:rsid w:val="00156287"/>
    <w:rsid w:val="0015656F"/>
    <w:rsid w:val="0015672F"/>
    <w:rsid w:val="00156EF0"/>
    <w:rsid w:val="001608C3"/>
    <w:rsid w:val="001610DF"/>
    <w:rsid w:val="00164ABE"/>
    <w:rsid w:val="00165A60"/>
    <w:rsid w:val="00165BCF"/>
    <w:rsid w:val="00165CAA"/>
    <w:rsid w:val="001669C2"/>
    <w:rsid w:val="00166AEE"/>
    <w:rsid w:val="00167D77"/>
    <w:rsid w:val="001708CB"/>
    <w:rsid w:val="00171F75"/>
    <w:rsid w:val="00172314"/>
    <w:rsid w:val="001731BD"/>
    <w:rsid w:val="00176951"/>
    <w:rsid w:val="00177A69"/>
    <w:rsid w:val="00177B01"/>
    <w:rsid w:val="00177BC6"/>
    <w:rsid w:val="0018172D"/>
    <w:rsid w:val="001833A1"/>
    <w:rsid w:val="00184831"/>
    <w:rsid w:val="001850D9"/>
    <w:rsid w:val="00187736"/>
    <w:rsid w:val="00190059"/>
    <w:rsid w:val="0019027F"/>
    <w:rsid w:val="00190630"/>
    <w:rsid w:val="001919F5"/>
    <w:rsid w:val="0019322D"/>
    <w:rsid w:val="00194ACC"/>
    <w:rsid w:val="00195C54"/>
    <w:rsid w:val="00196505"/>
    <w:rsid w:val="00196599"/>
    <w:rsid w:val="00196868"/>
    <w:rsid w:val="001A05B5"/>
    <w:rsid w:val="001A14C6"/>
    <w:rsid w:val="001A2203"/>
    <w:rsid w:val="001A2D5E"/>
    <w:rsid w:val="001A5800"/>
    <w:rsid w:val="001B097E"/>
    <w:rsid w:val="001B27BA"/>
    <w:rsid w:val="001B43C1"/>
    <w:rsid w:val="001B53D2"/>
    <w:rsid w:val="001B68B4"/>
    <w:rsid w:val="001B7EE1"/>
    <w:rsid w:val="001C139D"/>
    <w:rsid w:val="001C13B3"/>
    <w:rsid w:val="001C1D1E"/>
    <w:rsid w:val="001C270F"/>
    <w:rsid w:val="001C2859"/>
    <w:rsid w:val="001C406D"/>
    <w:rsid w:val="001C4808"/>
    <w:rsid w:val="001C703A"/>
    <w:rsid w:val="001C72AB"/>
    <w:rsid w:val="001C773D"/>
    <w:rsid w:val="001C7A8A"/>
    <w:rsid w:val="001C7FE2"/>
    <w:rsid w:val="001D0C0C"/>
    <w:rsid w:val="001D0C1B"/>
    <w:rsid w:val="001D0C97"/>
    <w:rsid w:val="001D152E"/>
    <w:rsid w:val="001D19E8"/>
    <w:rsid w:val="001D2479"/>
    <w:rsid w:val="001D2779"/>
    <w:rsid w:val="001D2F0B"/>
    <w:rsid w:val="001D3A1A"/>
    <w:rsid w:val="001D445C"/>
    <w:rsid w:val="001D448B"/>
    <w:rsid w:val="001D49AD"/>
    <w:rsid w:val="001D59D1"/>
    <w:rsid w:val="001D6B74"/>
    <w:rsid w:val="001D6EE1"/>
    <w:rsid w:val="001D702B"/>
    <w:rsid w:val="001D77C2"/>
    <w:rsid w:val="001D7A16"/>
    <w:rsid w:val="001E2515"/>
    <w:rsid w:val="001E3A79"/>
    <w:rsid w:val="001E4BE1"/>
    <w:rsid w:val="001E518F"/>
    <w:rsid w:val="001E5272"/>
    <w:rsid w:val="001E5E5C"/>
    <w:rsid w:val="001E6473"/>
    <w:rsid w:val="001E732F"/>
    <w:rsid w:val="001E7375"/>
    <w:rsid w:val="001F13A9"/>
    <w:rsid w:val="001F1597"/>
    <w:rsid w:val="001F4356"/>
    <w:rsid w:val="001F7495"/>
    <w:rsid w:val="001F7E28"/>
    <w:rsid w:val="002000B2"/>
    <w:rsid w:val="0020043B"/>
    <w:rsid w:val="00200FDD"/>
    <w:rsid w:val="00201259"/>
    <w:rsid w:val="0020276C"/>
    <w:rsid w:val="0020494B"/>
    <w:rsid w:val="0020495C"/>
    <w:rsid w:val="0020547F"/>
    <w:rsid w:val="00205581"/>
    <w:rsid w:val="00205856"/>
    <w:rsid w:val="00206E2A"/>
    <w:rsid w:val="00210FB6"/>
    <w:rsid w:val="002123A2"/>
    <w:rsid w:val="00212B34"/>
    <w:rsid w:val="0021315B"/>
    <w:rsid w:val="00214554"/>
    <w:rsid w:val="00214631"/>
    <w:rsid w:val="002148AA"/>
    <w:rsid w:val="00215C91"/>
    <w:rsid w:val="00217EEF"/>
    <w:rsid w:val="00220BF7"/>
    <w:rsid w:val="00224375"/>
    <w:rsid w:val="002250EC"/>
    <w:rsid w:val="00225150"/>
    <w:rsid w:val="0022565B"/>
    <w:rsid w:val="00226D93"/>
    <w:rsid w:val="00227C30"/>
    <w:rsid w:val="002312C9"/>
    <w:rsid w:val="0023215F"/>
    <w:rsid w:val="00232401"/>
    <w:rsid w:val="00232454"/>
    <w:rsid w:val="002335F6"/>
    <w:rsid w:val="0023413D"/>
    <w:rsid w:val="002342BC"/>
    <w:rsid w:val="0023438A"/>
    <w:rsid w:val="002345B6"/>
    <w:rsid w:val="00236AB7"/>
    <w:rsid w:val="002416EA"/>
    <w:rsid w:val="00241989"/>
    <w:rsid w:val="002437C7"/>
    <w:rsid w:val="00245DA7"/>
    <w:rsid w:val="00245E35"/>
    <w:rsid w:val="002465F7"/>
    <w:rsid w:val="00250850"/>
    <w:rsid w:val="00251671"/>
    <w:rsid w:val="00251B26"/>
    <w:rsid w:val="00254EA3"/>
    <w:rsid w:val="00255C81"/>
    <w:rsid w:val="00256112"/>
    <w:rsid w:val="0025643C"/>
    <w:rsid w:val="00256DC0"/>
    <w:rsid w:val="00257681"/>
    <w:rsid w:val="00257AB7"/>
    <w:rsid w:val="00260573"/>
    <w:rsid w:val="00260FD6"/>
    <w:rsid w:val="00262380"/>
    <w:rsid w:val="00262E28"/>
    <w:rsid w:val="00263B89"/>
    <w:rsid w:val="00264DF3"/>
    <w:rsid w:val="00266A3F"/>
    <w:rsid w:val="00267B6D"/>
    <w:rsid w:val="002713CE"/>
    <w:rsid w:val="00273311"/>
    <w:rsid w:val="002748BF"/>
    <w:rsid w:val="002765A9"/>
    <w:rsid w:val="0027672D"/>
    <w:rsid w:val="00280365"/>
    <w:rsid w:val="002810BD"/>
    <w:rsid w:val="002816A9"/>
    <w:rsid w:val="00281CAD"/>
    <w:rsid w:val="0028294C"/>
    <w:rsid w:val="00282FB7"/>
    <w:rsid w:val="00284B06"/>
    <w:rsid w:val="002850B5"/>
    <w:rsid w:val="002865C8"/>
    <w:rsid w:val="00286C62"/>
    <w:rsid w:val="00287A64"/>
    <w:rsid w:val="00287F26"/>
    <w:rsid w:val="00290917"/>
    <w:rsid w:val="00290E52"/>
    <w:rsid w:val="00290FA3"/>
    <w:rsid w:val="00291721"/>
    <w:rsid w:val="00291892"/>
    <w:rsid w:val="002926D8"/>
    <w:rsid w:val="00293C4C"/>
    <w:rsid w:val="00294167"/>
    <w:rsid w:val="00294E71"/>
    <w:rsid w:val="00294FEE"/>
    <w:rsid w:val="00297342"/>
    <w:rsid w:val="002A31A9"/>
    <w:rsid w:val="002A33F5"/>
    <w:rsid w:val="002A3C5B"/>
    <w:rsid w:val="002A435D"/>
    <w:rsid w:val="002A5DB3"/>
    <w:rsid w:val="002A74B6"/>
    <w:rsid w:val="002A7641"/>
    <w:rsid w:val="002A77CD"/>
    <w:rsid w:val="002B00AC"/>
    <w:rsid w:val="002B0488"/>
    <w:rsid w:val="002B0B11"/>
    <w:rsid w:val="002B1FDE"/>
    <w:rsid w:val="002B3096"/>
    <w:rsid w:val="002B361C"/>
    <w:rsid w:val="002B3B1D"/>
    <w:rsid w:val="002B4486"/>
    <w:rsid w:val="002B570D"/>
    <w:rsid w:val="002B5EFA"/>
    <w:rsid w:val="002B65A8"/>
    <w:rsid w:val="002B710A"/>
    <w:rsid w:val="002C0576"/>
    <w:rsid w:val="002C3C53"/>
    <w:rsid w:val="002C3EC9"/>
    <w:rsid w:val="002C4B88"/>
    <w:rsid w:val="002C583B"/>
    <w:rsid w:val="002C6836"/>
    <w:rsid w:val="002C6B7F"/>
    <w:rsid w:val="002D0212"/>
    <w:rsid w:val="002D0A24"/>
    <w:rsid w:val="002D4B8D"/>
    <w:rsid w:val="002D7558"/>
    <w:rsid w:val="002D7FFB"/>
    <w:rsid w:val="002E0480"/>
    <w:rsid w:val="002E0CA5"/>
    <w:rsid w:val="002E19A8"/>
    <w:rsid w:val="002E1CB5"/>
    <w:rsid w:val="002E32E0"/>
    <w:rsid w:val="002E6614"/>
    <w:rsid w:val="002E6702"/>
    <w:rsid w:val="002E6E53"/>
    <w:rsid w:val="002E76A9"/>
    <w:rsid w:val="002E779D"/>
    <w:rsid w:val="002F1331"/>
    <w:rsid w:val="002F13CF"/>
    <w:rsid w:val="002F19E8"/>
    <w:rsid w:val="002F2388"/>
    <w:rsid w:val="002F2E0C"/>
    <w:rsid w:val="002F4BB0"/>
    <w:rsid w:val="002F4F0B"/>
    <w:rsid w:val="002F57F0"/>
    <w:rsid w:val="002F7B30"/>
    <w:rsid w:val="0030115F"/>
    <w:rsid w:val="00301452"/>
    <w:rsid w:val="003021F0"/>
    <w:rsid w:val="0030223E"/>
    <w:rsid w:val="00303FE1"/>
    <w:rsid w:val="00304702"/>
    <w:rsid w:val="00304820"/>
    <w:rsid w:val="003053B6"/>
    <w:rsid w:val="00305BE5"/>
    <w:rsid w:val="0030695C"/>
    <w:rsid w:val="00306E26"/>
    <w:rsid w:val="00307FF6"/>
    <w:rsid w:val="00312FAB"/>
    <w:rsid w:val="00313635"/>
    <w:rsid w:val="00316489"/>
    <w:rsid w:val="00320457"/>
    <w:rsid w:val="00320C76"/>
    <w:rsid w:val="00322288"/>
    <w:rsid w:val="00322388"/>
    <w:rsid w:val="003236BE"/>
    <w:rsid w:val="00325142"/>
    <w:rsid w:val="00325292"/>
    <w:rsid w:val="00325475"/>
    <w:rsid w:val="003271EE"/>
    <w:rsid w:val="0033026F"/>
    <w:rsid w:val="00330AA6"/>
    <w:rsid w:val="00330C69"/>
    <w:rsid w:val="00331B56"/>
    <w:rsid w:val="00333A41"/>
    <w:rsid w:val="00333B72"/>
    <w:rsid w:val="00333CB9"/>
    <w:rsid w:val="003341B7"/>
    <w:rsid w:val="00335A54"/>
    <w:rsid w:val="00335F88"/>
    <w:rsid w:val="00340129"/>
    <w:rsid w:val="00342AD3"/>
    <w:rsid w:val="003437A7"/>
    <w:rsid w:val="00343B2E"/>
    <w:rsid w:val="003463E3"/>
    <w:rsid w:val="003477CA"/>
    <w:rsid w:val="0035002A"/>
    <w:rsid w:val="003502FB"/>
    <w:rsid w:val="00350ED3"/>
    <w:rsid w:val="0035282F"/>
    <w:rsid w:val="00352AFD"/>
    <w:rsid w:val="003530AB"/>
    <w:rsid w:val="003533AC"/>
    <w:rsid w:val="0035375D"/>
    <w:rsid w:val="00353AA4"/>
    <w:rsid w:val="00354D35"/>
    <w:rsid w:val="00355849"/>
    <w:rsid w:val="00355BD0"/>
    <w:rsid w:val="003574B6"/>
    <w:rsid w:val="003579FB"/>
    <w:rsid w:val="00357F87"/>
    <w:rsid w:val="003601CC"/>
    <w:rsid w:val="0036023D"/>
    <w:rsid w:val="00360B68"/>
    <w:rsid w:val="003616BE"/>
    <w:rsid w:val="003629A6"/>
    <w:rsid w:val="003641F5"/>
    <w:rsid w:val="003701CF"/>
    <w:rsid w:val="003704AD"/>
    <w:rsid w:val="00372E3B"/>
    <w:rsid w:val="00372E62"/>
    <w:rsid w:val="0037381C"/>
    <w:rsid w:val="00380CD5"/>
    <w:rsid w:val="00384702"/>
    <w:rsid w:val="00386370"/>
    <w:rsid w:val="003865C9"/>
    <w:rsid w:val="00387605"/>
    <w:rsid w:val="003876E2"/>
    <w:rsid w:val="00387830"/>
    <w:rsid w:val="00387B93"/>
    <w:rsid w:val="00390902"/>
    <w:rsid w:val="00390B01"/>
    <w:rsid w:val="00390EEC"/>
    <w:rsid w:val="00391B5B"/>
    <w:rsid w:val="00391F4B"/>
    <w:rsid w:val="00392196"/>
    <w:rsid w:val="003928A1"/>
    <w:rsid w:val="00392F54"/>
    <w:rsid w:val="0039370E"/>
    <w:rsid w:val="0039387B"/>
    <w:rsid w:val="00396388"/>
    <w:rsid w:val="003A046F"/>
    <w:rsid w:val="003A4DF4"/>
    <w:rsid w:val="003A4E9A"/>
    <w:rsid w:val="003A50FC"/>
    <w:rsid w:val="003A5E2F"/>
    <w:rsid w:val="003A65CB"/>
    <w:rsid w:val="003A7669"/>
    <w:rsid w:val="003A778D"/>
    <w:rsid w:val="003A7E18"/>
    <w:rsid w:val="003B0163"/>
    <w:rsid w:val="003B09F7"/>
    <w:rsid w:val="003B0B2A"/>
    <w:rsid w:val="003B0F14"/>
    <w:rsid w:val="003B11AF"/>
    <w:rsid w:val="003B1C34"/>
    <w:rsid w:val="003B252A"/>
    <w:rsid w:val="003B42CA"/>
    <w:rsid w:val="003B5514"/>
    <w:rsid w:val="003C01E3"/>
    <w:rsid w:val="003C0494"/>
    <w:rsid w:val="003C0DB8"/>
    <w:rsid w:val="003C0E29"/>
    <w:rsid w:val="003C111A"/>
    <w:rsid w:val="003C18BC"/>
    <w:rsid w:val="003C1CE8"/>
    <w:rsid w:val="003C303C"/>
    <w:rsid w:val="003C4AC2"/>
    <w:rsid w:val="003C6A3E"/>
    <w:rsid w:val="003C7E6D"/>
    <w:rsid w:val="003D21F8"/>
    <w:rsid w:val="003D259D"/>
    <w:rsid w:val="003D2B95"/>
    <w:rsid w:val="003D2CEA"/>
    <w:rsid w:val="003D2F04"/>
    <w:rsid w:val="003D4093"/>
    <w:rsid w:val="003D44C5"/>
    <w:rsid w:val="003D4870"/>
    <w:rsid w:val="003D5894"/>
    <w:rsid w:val="003D7725"/>
    <w:rsid w:val="003D7933"/>
    <w:rsid w:val="003E006E"/>
    <w:rsid w:val="003E0680"/>
    <w:rsid w:val="003E2298"/>
    <w:rsid w:val="003E23C6"/>
    <w:rsid w:val="003E4624"/>
    <w:rsid w:val="003E6F93"/>
    <w:rsid w:val="003E7D92"/>
    <w:rsid w:val="003F004E"/>
    <w:rsid w:val="003F09DE"/>
    <w:rsid w:val="003F0BA3"/>
    <w:rsid w:val="003F0CC3"/>
    <w:rsid w:val="003F1328"/>
    <w:rsid w:val="003F302E"/>
    <w:rsid w:val="003F4769"/>
    <w:rsid w:val="003F5C13"/>
    <w:rsid w:val="003F5F40"/>
    <w:rsid w:val="003F66A8"/>
    <w:rsid w:val="00401974"/>
    <w:rsid w:val="004042FD"/>
    <w:rsid w:val="00406BEC"/>
    <w:rsid w:val="00406FDD"/>
    <w:rsid w:val="00411949"/>
    <w:rsid w:val="00412F50"/>
    <w:rsid w:val="00413B61"/>
    <w:rsid w:val="00413C0D"/>
    <w:rsid w:val="00414FF3"/>
    <w:rsid w:val="00416751"/>
    <w:rsid w:val="00417532"/>
    <w:rsid w:val="004175B7"/>
    <w:rsid w:val="0042042F"/>
    <w:rsid w:val="0042069E"/>
    <w:rsid w:val="00420872"/>
    <w:rsid w:val="00421C0D"/>
    <w:rsid w:val="004240B9"/>
    <w:rsid w:val="00424226"/>
    <w:rsid w:val="00424F08"/>
    <w:rsid w:val="004252B7"/>
    <w:rsid w:val="00426727"/>
    <w:rsid w:val="004268BA"/>
    <w:rsid w:val="00427893"/>
    <w:rsid w:val="00430121"/>
    <w:rsid w:val="0043044E"/>
    <w:rsid w:val="00430D4C"/>
    <w:rsid w:val="004313D6"/>
    <w:rsid w:val="00431ED6"/>
    <w:rsid w:val="00433A20"/>
    <w:rsid w:val="00433B09"/>
    <w:rsid w:val="00433C99"/>
    <w:rsid w:val="004341A9"/>
    <w:rsid w:val="00436C4A"/>
    <w:rsid w:val="004376A1"/>
    <w:rsid w:val="00440546"/>
    <w:rsid w:val="00440C99"/>
    <w:rsid w:val="00441B79"/>
    <w:rsid w:val="00441E83"/>
    <w:rsid w:val="004430E4"/>
    <w:rsid w:val="00444AA6"/>
    <w:rsid w:val="004454BC"/>
    <w:rsid w:val="00445FE7"/>
    <w:rsid w:val="00452224"/>
    <w:rsid w:val="00454477"/>
    <w:rsid w:val="00454E39"/>
    <w:rsid w:val="00455F22"/>
    <w:rsid w:val="004560C4"/>
    <w:rsid w:val="00456F4B"/>
    <w:rsid w:val="00460357"/>
    <w:rsid w:val="0046125A"/>
    <w:rsid w:val="004617F6"/>
    <w:rsid w:val="004618EB"/>
    <w:rsid w:val="0046328A"/>
    <w:rsid w:val="00463740"/>
    <w:rsid w:val="00463824"/>
    <w:rsid w:val="00465781"/>
    <w:rsid w:val="004710A4"/>
    <w:rsid w:val="004717A1"/>
    <w:rsid w:val="004720AF"/>
    <w:rsid w:val="0047417B"/>
    <w:rsid w:val="0047489C"/>
    <w:rsid w:val="0047539E"/>
    <w:rsid w:val="004764F9"/>
    <w:rsid w:val="004803C6"/>
    <w:rsid w:val="00480852"/>
    <w:rsid w:val="00480E7C"/>
    <w:rsid w:val="00481E1D"/>
    <w:rsid w:val="00483EA3"/>
    <w:rsid w:val="00483FA0"/>
    <w:rsid w:val="00484D52"/>
    <w:rsid w:val="00484EA6"/>
    <w:rsid w:val="004874CB"/>
    <w:rsid w:val="00487A05"/>
    <w:rsid w:val="00490084"/>
    <w:rsid w:val="00490F44"/>
    <w:rsid w:val="0049169A"/>
    <w:rsid w:val="004922AF"/>
    <w:rsid w:val="00492BD8"/>
    <w:rsid w:val="00494D02"/>
    <w:rsid w:val="00497421"/>
    <w:rsid w:val="004A036F"/>
    <w:rsid w:val="004A0698"/>
    <w:rsid w:val="004A1F33"/>
    <w:rsid w:val="004A2426"/>
    <w:rsid w:val="004A41C8"/>
    <w:rsid w:val="004A431A"/>
    <w:rsid w:val="004A5C7E"/>
    <w:rsid w:val="004A6288"/>
    <w:rsid w:val="004A6BF1"/>
    <w:rsid w:val="004A702A"/>
    <w:rsid w:val="004B0301"/>
    <w:rsid w:val="004B15FC"/>
    <w:rsid w:val="004B1F76"/>
    <w:rsid w:val="004B3E0E"/>
    <w:rsid w:val="004B3E9B"/>
    <w:rsid w:val="004B45B6"/>
    <w:rsid w:val="004B5DF3"/>
    <w:rsid w:val="004B71F2"/>
    <w:rsid w:val="004B7FC7"/>
    <w:rsid w:val="004C0174"/>
    <w:rsid w:val="004C0F8F"/>
    <w:rsid w:val="004C233A"/>
    <w:rsid w:val="004C2899"/>
    <w:rsid w:val="004C2FA4"/>
    <w:rsid w:val="004C3EBD"/>
    <w:rsid w:val="004C516E"/>
    <w:rsid w:val="004C5492"/>
    <w:rsid w:val="004C5E15"/>
    <w:rsid w:val="004C616D"/>
    <w:rsid w:val="004D5711"/>
    <w:rsid w:val="004D5B11"/>
    <w:rsid w:val="004D7557"/>
    <w:rsid w:val="004D75FC"/>
    <w:rsid w:val="004E0AA2"/>
    <w:rsid w:val="004E1CE4"/>
    <w:rsid w:val="004E30AB"/>
    <w:rsid w:val="004E317B"/>
    <w:rsid w:val="004E31A4"/>
    <w:rsid w:val="004E3268"/>
    <w:rsid w:val="004E3D0D"/>
    <w:rsid w:val="004E45E1"/>
    <w:rsid w:val="004E4BD1"/>
    <w:rsid w:val="004E5F31"/>
    <w:rsid w:val="004E61CB"/>
    <w:rsid w:val="004E79EB"/>
    <w:rsid w:val="004F01F4"/>
    <w:rsid w:val="004F27B5"/>
    <w:rsid w:val="004F2AB8"/>
    <w:rsid w:val="004F3472"/>
    <w:rsid w:val="004F3B2C"/>
    <w:rsid w:val="004F3C62"/>
    <w:rsid w:val="004F4D4E"/>
    <w:rsid w:val="004F5987"/>
    <w:rsid w:val="00500962"/>
    <w:rsid w:val="00500A5A"/>
    <w:rsid w:val="00500E8A"/>
    <w:rsid w:val="00501A70"/>
    <w:rsid w:val="00501FBB"/>
    <w:rsid w:val="00502FE2"/>
    <w:rsid w:val="0050388B"/>
    <w:rsid w:val="00504194"/>
    <w:rsid w:val="005046D0"/>
    <w:rsid w:val="00504953"/>
    <w:rsid w:val="00504E2B"/>
    <w:rsid w:val="005051B2"/>
    <w:rsid w:val="0051027E"/>
    <w:rsid w:val="0051065B"/>
    <w:rsid w:val="00510DF5"/>
    <w:rsid w:val="005127F1"/>
    <w:rsid w:val="005146D2"/>
    <w:rsid w:val="0051534D"/>
    <w:rsid w:val="00516156"/>
    <w:rsid w:val="00517597"/>
    <w:rsid w:val="00520280"/>
    <w:rsid w:val="00522697"/>
    <w:rsid w:val="00522A62"/>
    <w:rsid w:val="00523391"/>
    <w:rsid w:val="00524BB5"/>
    <w:rsid w:val="00524CA3"/>
    <w:rsid w:val="00526722"/>
    <w:rsid w:val="005268C6"/>
    <w:rsid w:val="00526DBD"/>
    <w:rsid w:val="00527919"/>
    <w:rsid w:val="00530DB6"/>
    <w:rsid w:val="005313F5"/>
    <w:rsid w:val="00533A66"/>
    <w:rsid w:val="0053412D"/>
    <w:rsid w:val="005347A8"/>
    <w:rsid w:val="005349E3"/>
    <w:rsid w:val="0053637A"/>
    <w:rsid w:val="00537460"/>
    <w:rsid w:val="0054030E"/>
    <w:rsid w:val="005404DB"/>
    <w:rsid w:val="005408EF"/>
    <w:rsid w:val="00546112"/>
    <w:rsid w:val="00546479"/>
    <w:rsid w:val="00546EB8"/>
    <w:rsid w:val="00547116"/>
    <w:rsid w:val="0054719C"/>
    <w:rsid w:val="0054791F"/>
    <w:rsid w:val="00550254"/>
    <w:rsid w:val="005517BC"/>
    <w:rsid w:val="005602EC"/>
    <w:rsid w:val="0056351C"/>
    <w:rsid w:val="0056501D"/>
    <w:rsid w:val="00566ED4"/>
    <w:rsid w:val="0057069C"/>
    <w:rsid w:val="005717AB"/>
    <w:rsid w:val="00571C2A"/>
    <w:rsid w:val="00571D93"/>
    <w:rsid w:val="005723AE"/>
    <w:rsid w:val="00573302"/>
    <w:rsid w:val="0057378D"/>
    <w:rsid w:val="00573D2E"/>
    <w:rsid w:val="00574101"/>
    <w:rsid w:val="005754FF"/>
    <w:rsid w:val="00575C0F"/>
    <w:rsid w:val="005764BC"/>
    <w:rsid w:val="005764E8"/>
    <w:rsid w:val="00576534"/>
    <w:rsid w:val="0057767D"/>
    <w:rsid w:val="0057767F"/>
    <w:rsid w:val="0058023E"/>
    <w:rsid w:val="00580589"/>
    <w:rsid w:val="00582223"/>
    <w:rsid w:val="005831EF"/>
    <w:rsid w:val="005841B9"/>
    <w:rsid w:val="00585AB6"/>
    <w:rsid w:val="00585E8F"/>
    <w:rsid w:val="00586084"/>
    <w:rsid w:val="00586375"/>
    <w:rsid w:val="00586708"/>
    <w:rsid w:val="005868CC"/>
    <w:rsid w:val="00587033"/>
    <w:rsid w:val="00587B51"/>
    <w:rsid w:val="00591D5A"/>
    <w:rsid w:val="00592B9C"/>
    <w:rsid w:val="00593734"/>
    <w:rsid w:val="0059422C"/>
    <w:rsid w:val="00594A27"/>
    <w:rsid w:val="0059523C"/>
    <w:rsid w:val="005954A5"/>
    <w:rsid w:val="005956ED"/>
    <w:rsid w:val="00595F13"/>
    <w:rsid w:val="005964EF"/>
    <w:rsid w:val="00596F6E"/>
    <w:rsid w:val="005A1998"/>
    <w:rsid w:val="005A2C99"/>
    <w:rsid w:val="005A385C"/>
    <w:rsid w:val="005A3ACB"/>
    <w:rsid w:val="005A3C30"/>
    <w:rsid w:val="005A5332"/>
    <w:rsid w:val="005A5AAE"/>
    <w:rsid w:val="005A762F"/>
    <w:rsid w:val="005B2508"/>
    <w:rsid w:val="005B6312"/>
    <w:rsid w:val="005C07A3"/>
    <w:rsid w:val="005C0E17"/>
    <w:rsid w:val="005C27B9"/>
    <w:rsid w:val="005C3B9D"/>
    <w:rsid w:val="005C5562"/>
    <w:rsid w:val="005C6AD1"/>
    <w:rsid w:val="005C71C1"/>
    <w:rsid w:val="005C74B7"/>
    <w:rsid w:val="005C781C"/>
    <w:rsid w:val="005C7DE0"/>
    <w:rsid w:val="005D05A6"/>
    <w:rsid w:val="005D307D"/>
    <w:rsid w:val="005D6396"/>
    <w:rsid w:val="005D6469"/>
    <w:rsid w:val="005D71CD"/>
    <w:rsid w:val="005D7AE6"/>
    <w:rsid w:val="005E1908"/>
    <w:rsid w:val="005E1D75"/>
    <w:rsid w:val="005E1FE4"/>
    <w:rsid w:val="005E3B3E"/>
    <w:rsid w:val="005E4911"/>
    <w:rsid w:val="005E5550"/>
    <w:rsid w:val="005E5ADB"/>
    <w:rsid w:val="005E6503"/>
    <w:rsid w:val="005E6D80"/>
    <w:rsid w:val="005E6F42"/>
    <w:rsid w:val="005F02F4"/>
    <w:rsid w:val="005F0F2D"/>
    <w:rsid w:val="005F2501"/>
    <w:rsid w:val="005F2889"/>
    <w:rsid w:val="005F3FF3"/>
    <w:rsid w:val="005F4442"/>
    <w:rsid w:val="005F47B5"/>
    <w:rsid w:val="005F491D"/>
    <w:rsid w:val="005F5A60"/>
    <w:rsid w:val="006008DF"/>
    <w:rsid w:val="0060117E"/>
    <w:rsid w:val="00603223"/>
    <w:rsid w:val="006043E1"/>
    <w:rsid w:val="00604F7E"/>
    <w:rsid w:val="0060744C"/>
    <w:rsid w:val="006074B9"/>
    <w:rsid w:val="006074E6"/>
    <w:rsid w:val="00607516"/>
    <w:rsid w:val="006075E8"/>
    <w:rsid w:val="00607711"/>
    <w:rsid w:val="00607FAE"/>
    <w:rsid w:val="006124C6"/>
    <w:rsid w:val="0061330D"/>
    <w:rsid w:val="00613356"/>
    <w:rsid w:val="006138AF"/>
    <w:rsid w:val="0061436E"/>
    <w:rsid w:val="00616640"/>
    <w:rsid w:val="006169FD"/>
    <w:rsid w:val="00617064"/>
    <w:rsid w:val="00617B80"/>
    <w:rsid w:val="00620E61"/>
    <w:rsid w:val="00621F8A"/>
    <w:rsid w:val="00622F8F"/>
    <w:rsid w:val="0062545D"/>
    <w:rsid w:val="0062614E"/>
    <w:rsid w:val="00626B43"/>
    <w:rsid w:val="00631413"/>
    <w:rsid w:val="006332A3"/>
    <w:rsid w:val="0063380D"/>
    <w:rsid w:val="00634868"/>
    <w:rsid w:val="006352F5"/>
    <w:rsid w:val="00635FDF"/>
    <w:rsid w:val="0063667B"/>
    <w:rsid w:val="006368FE"/>
    <w:rsid w:val="00637972"/>
    <w:rsid w:val="00637C7B"/>
    <w:rsid w:val="00637D24"/>
    <w:rsid w:val="00640437"/>
    <w:rsid w:val="00640549"/>
    <w:rsid w:val="00640E17"/>
    <w:rsid w:val="00641FA9"/>
    <w:rsid w:val="00644711"/>
    <w:rsid w:val="00646A0F"/>
    <w:rsid w:val="00646C37"/>
    <w:rsid w:val="00647F18"/>
    <w:rsid w:val="00650391"/>
    <w:rsid w:val="00650719"/>
    <w:rsid w:val="0065133D"/>
    <w:rsid w:val="00651932"/>
    <w:rsid w:val="00651986"/>
    <w:rsid w:val="006526EB"/>
    <w:rsid w:val="00652B6B"/>
    <w:rsid w:val="006533DD"/>
    <w:rsid w:val="0065484F"/>
    <w:rsid w:val="006548D9"/>
    <w:rsid w:val="0065536C"/>
    <w:rsid w:val="00655623"/>
    <w:rsid w:val="006557D9"/>
    <w:rsid w:val="0065589F"/>
    <w:rsid w:val="00656EF5"/>
    <w:rsid w:val="006570EA"/>
    <w:rsid w:val="0066007D"/>
    <w:rsid w:val="006605DB"/>
    <w:rsid w:val="006612E9"/>
    <w:rsid w:val="00661338"/>
    <w:rsid w:val="00661F87"/>
    <w:rsid w:val="00663972"/>
    <w:rsid w:val="006645AF"/>
    <w:rsid w:val="00665DE8"/>
    <w:rsid w:val="00666139"/>
    <w:rsid w:val="00666259"/>
    <w:rsid w:val="00666B35"/>
    <w:rsid w:val="00666D98"/>
    <w:rsid w:val="00666E26"/>
    <w:rsid w:val="00671056"/>
    <w:rsid w:val="0067154A"/>
    <w:rsid w:val="00671CCD"/>
    <w:rsid w:val="00672FF9"/>
    <w:rsid w:val="00673CF5"/>
    <w:rsid w:val="00673F91"/>
    <w:rsid w:val="00677120"/>
    <w:rsid w:val="00680887"/>
    <w:rsid w:val="006809A0"/>
    <w:rsid w:val="006811CF"/>
    <w:rsid w:val="00682DCB"/>
    <w:rsid w:val="00683520"/>
    <w:rsid w:val="006852FD"/>
    <w:rsid w:val="00685E14"/>
    <w:rsid w:val="00685E34"/>
    <w:rsid w:val="00685F00"/>
    <w:rsid w:val="006878E9"/>
    <w:rsid w:val="00687CE3"/>
    <w:rsid w:val="00693F7F"/>
    <w:rsid w:val="00694433"/>
    <w:rsid w:val="0069483F"/>
    <w:rsid w:val="00694D4C"/>
    <w:rsid w:val="006950BE"/>
    <w:rsid w:val="00695108"/>
    <w:rsid w:val="006951F9"/>
    <w:rsid w:val="0069557D"/>
    <w:rsid w:val="00697169"/>
    <w:rsid w:val="006978EA"/>
    <w:rsid w:val="00697BCF"/>
    <w:rsid w:val="006A094F"/>
    <w:rsid w:val="006A0CF4"/>
    <w:rsid w:val="006A1ACE"/>
    <w:rsid w:val="006A1B3E"/>
    <w:rsid w:val="006A1B99"/>
    <w:rsid w:val="006A1F59"/>
    <w:rsid w:val="006A447F"/>
    <w:rsid w:val="006A5435"/>
    <w:rsid w:val="006A77DB"/>
    <w:rsid w:val="006B01D4"/>
    <w:rsid w:val="006B107D"/>
    <w:rsid w:val="006B2D58"/>
    <w:rsid w:val="006B37CD"/>
    <w:rsid w:val="006B3EC1"/>
    <w:rsid w:val="006B4334"/>
    <w:rsid w:val="006B567B"/>
    <w:rsid w:val="006B64EF"/>
    <w:rsid w:val="006B79B6"/>
    <w:rsid w:val="006C156E"/>
    <w:rsid w:val="006C38AB"/>
    <w:rsid w:val="006C4181"/>
    <w:rsid w:val="006C45A7"/>
    <w:rsid w:val="006C614B"/>
    <w:rsid w:val="006C6A24"/>
    <w:rsid w:val="006D160C"/>
    <w:rsid w:val="006D1AEF"/>
    <w:rsid w:val="006D38D1"/>
    <w:rsid w:val="006D3B3F"/>
    <w:rsid w:val="006D4489"/>
    <w:rsid w:val="006D494A"/>
    <w:rsid w:val="006D4A4D"/>
    <w:rsid w:val="006D673B"/>
    <w:rsid w:val="006E01D3"/>
    <w:rsid w:val="006E09FA"/>
    <w:rsid w:val="006E0ED5"/>
    <w:rsid w:val="006E1F29"/>
    <w:rsid w:val="006E1F8A"/>
    <w:rsid w:val="006E264D"/>
    <w:rsid w:val="006E2847"/>
    <w:rsid w:val="006E2C29"/>
    <w:rsid w:val="006E3323"/>
    <w:rsid w:val="006E3EB6"/>
    <w:rsid w:val="006E4728"/>
    <w:rsid w:val="006E7D20"/>
    <w:rsid w:val="006F0B22"/>
    <w:rsid w:val="006F0E7E"/>
    <w:rsid w:val="006F21D8"/>
    <w:rsid w:val="006F4AAA"/>
    <w:rsid w:val="006F556F"/>
    <w:rsid w:val="006F56B3"/>
    <w:rsid w:val="006F5DB8"/>
    <w:rsid w:val="006F678B"/>
    <w:rsid w:val="006F6A8C"/>
    <w:rsid w:val="006F77CC"/>
    <w:rsid w:val="00700890"/>
    <w:rsid w:val="0070192D"/>
    <w:rsid w:val="00703134"/>
    <w:rsid w:val="00703602"/>
    <w:rsid w:val="0070590A"/>
    <w:rsid w:val="007061F3"/>
    <w:rsid w:val="0070731E"/>
    <w:rsid w:val="007076BC"/>
    <w:rsid w:val="00707803"/>
    <w:rsid w:val="00711103"/>
    <w:rsid w:val="00711C29"/>
    <w:rsid w:val="00713AC6"/>
    <w:rsid w:val="00713C8B"/>
    <w:rsid w:val="0071400A"/>
    <w:rsid w:val="00714A8A"/>
    <w:rsid w:val="00715613"/>
    <w:rsid w:val="00716071"/>
    <w:rsid w:val="007162A5"/>
    <w:rsid w:val="007169C8"/>
    <w:rsid w:val="00716F71"/>
    <w:rsid w:val="00717D67"/>
    <w:rsid w:val="00720F7A"/>
    <w:rsid w:val="00722A91"/>
    <w:rsid w:val="00722D33"/>
    <w:rsid w:val="00724427"/>
    <w:rsid w:val="00725ADF"/>
    <w:rsid w:val="00725BCB"/>
    <w:rsid w:val="00725D05"/>
    <w:rsid w:val="00726BAC"/>
    <w:rsid w:val="007270FE"/>
    <w:rsid w:val="00732782"/>
    <w:rsid w:val="007336FD"/>
    <w:rsid w:val="00733E05"/>
    <w:rsid w:val="00734C81"/>
    <w:rsid w:val="00735F4B"/>
    <w:rsid w:val="007366A8"/>
    <w:rsid w:val="00736835"/>
    <w:rsid w:val="007371EB"/>
    <w:rsid w:val="0074014D"/>
    <w:rsid w:val="0074050D"/>
    <w:rsid w:val="00740CBB"/>
    <w:rsid w:val="007416CF"/>
    <w:rsid w:val="00743265"/>
    <w:rsid w:val="007433B9"/>
    <w:rsid w:val="007456F5"/>
    <w:rsid w:val="00746C17"/>
    <w:rsid w:val="00746EF4"/>
    <w:rsid w:val="007477E8"/>
    <w:rsid w:val="007478CE"/>
    <w:rsid w:val="00750E14"/>
    <w:rsid w:val="007510D1"/>
    <w:rsid w:val="007521B3"/>
    <w:rsid w:val="00754674"/>
    <w:rsid w:val="00754BEB"/>
    <w:rsid w:val="00756390"/>
    <w:rsid w:val="00756CB5"/>
    <w:rsid w:val="007570A2"/>
    <w:rsid w:val="00761752"/>
    <w:rsid w:val="007621AE"/>
    <w:rsid w:val="007632B7"/>
    <w:rsid w:val="0076572A"/>
    <w:rsid w:val="00765E89"/>
    <w:rsid w:val="00766A93"/>
    <w:rsid w:val="00766CAE"/>
    <w:rsid w:val="00767F51"/>
    <w:rsid w:val="00770A3C"/>
    <w:rsid w:val="00770D78"/>
    <w:rsid w:val="00771678"/>
    <w:rsid w:val="00771955"/>
    <w:rsid w:val="00772442"/>
    <w:rsid w:val="007767CF"/>
    <w:rsid w:val="00777015"/>
    <w:rsid w:val="00777936"/>
    <w:rsid w:val="00777EE3"/>
    <w:rsid w:val="00780F23"/>
    <w:rsid w:val="00781D4E"/>
    <w:rsid w:val="00781DBF"/>
    <w:rsid w:val="00784C50"/>
    <w:rsid w:val="00785230"/>
    <w:rsid w:val="007855D2"/>
    <w:rsid w:val="007859C4"/>
    <w:rsid w:val="00785C49"/>
    <w:rsid w:val="00785CC2"/>
    <w:rsid w:val="00785D93"/>
    <w:rsid w:val="00785F48"/>
    <w:rsid w:val="00786DFE"/>
    <w:rsid w:val="0079059D"/>
    <w:rsid w:val="00790B35"/>
    <w:rsid w:val="00790C54"/>
    <w:rsid w:val="0079133F"/>
    <w:rsid w:val="00791FF8"/>
    <w:rsid w:val="00793A59"/>
    <w:rsid w:val="00793F63"/>
    <w:rsid w:val="007952DA"/>
    <w:rsid w:val="007960C0"/>
    <w:rsid w:val="007962E0"/>
    <w:rsid w:val="00797552"/>
    <w:rsid w:val="007A09A2"/>
    <w:rsid w:val="007A3D33"/>
    <w:rsid w:val="007A43E7"/>
    <w:rsid w:val="007A5595"/>
    <w:rsid w:val="007A6C5D"/>
    <w:rsid w:val="007A6CAF"/>
    <w:rsid w:val="007A6D42"/>
    <w:rsid w:val="007A6DFB"/>
    <w:rsid w:val="007A770B"/>
    <w:rsid w:val="007A7F00"/>
    <w:rsid w:val="007B11B1"/>
    <w:rsid w:val="007B1B9B"/>
    <w:rsid w:val="007B2F8C"/>
    <w:rsid w:val="007B44EE"/>
    <w:rsid w:val="007B540B"/>
    <w:rsid w:val="007B5743"/>
    <w:rsid w:val="007B6336"/>
    <w:rsid w:val="007B7882"/>
    <w:rsid w:val="007B790F"/>
    <w:rsid w:val="007C0310"/>
    <w:rsid w:val="007C05E2"/>
    <w:rsid w:val="007C30EA"/>
    <w:rsid w:val="007C4CE6"/>
    <w:rsid w:val="007C69E8"/>
    <w:rsid w:val="007C7B56"/>
    <w:rsid w:val="007D1C99"/>
    <w:rsid w:val="007D267A"/>
    <w:rsid w:val="007D2AFE"/>
    <w:rsid w:val="007D2C81"/>
    <w:rsid w:val="007D2F59"/>
    <w:rsid w:val="007D30D8"/>
    <w:rsid w:val="007D44F0"/>
    <w:rsid w:val="007D4705"/>
    <w:rsid w:val="007D487D"/>
    <w:rsid w:val="007D5807"/>
    <w:rsid w:val="007D5F67"/>
    <w:rsid w:val="007D79A3"/>
    <w:rsid w:val="007E0377"/>
    <w:rsid w:val="007E10BD"/>
    <w:rsid w:val="007E1367"/>
    <w:rsid w:val="007E14CC"/>
    <w:rsid w:val="007E1FB4"/>
    <w:rsid w:val="007E3141"/>
    <w:rsid w:val="007E31F5"/>
    <w:rsid w:val="007E491E"/>
    <w:rsid w:val="007E5D79"/>
    <w:rsid w:val="007E7333"/>
    <w:rsid w:val="007E73E7"/>
    <w:rsid w:val="007E7725"/>
    <w:rsid w:val="007F0384"/>
    <w:rsid w:val="007F0B2B"/>
    <w:rsid w:val="007F13E1"/>
    <w:rsid w:val="007F1C73"/>
    <w:rsid w:val="007F1D16"/>
    <w:rsid w:val="007F2054"/>
    <w:rsid w:val="007F240E"/>
    <w:rsid w:val="007F2AB5"/>
    <w:rsid w:val="007F434C"/>
    <w:rsid w:val="007F51F4"/>
    <w:rsid w:val="007F5266"/>
    <w:rsid w:val="007F5D9D"/>
    <w:rsid w:val="007F7D29"/>
    <w:rsid w:val="00800111"/>
    <w:rsid w:val="00801F57"/>
    <w:rsid w:val="008044D8"/>
    <w:rsid w:val="00804F00"/>
    <w:rsid w:val="00805782"/>
    <w:rsid w:val="00806C20"/>
    <w:rsid w:val="00806C28"/>
    <w:rsid w:val="00807C4D"/>
    <w:rsid w:val="0081364F"/>
    <w:rsid w:val="00815E73"/>
    <w:rsid w:val="00816079"/>
    <w:rsid w:val="00816198"/>
    <w:rsid w:val="00816CA2"/>
    <w:rsid w:val="00817211"/>
    <w:rsid w:val="00817BFD"/>
    <w:rsid w:val="00817EA2"/>
    <w:rsid w:val="00820854"/>
    <w:rsid w:val="00820E6B"/>
    <w:rsid w:val="00821330"/>
    <w:rsid w:val="00822180"/>
    <w:rsid w:val="00822F5A"/>
    <w:rsid w:val="00823573"/>
    <w:rsid w:val="00826359"/>
    <w:rsid w:val="0083079C"/>
    <w:rsid w:val="0083183F"/>
    <w:rsid w:val="00833201"/>
    <w:rsid w:val="00833FEA"/>
    <w:rsid w:val="00834452"/>
    <w:rsid w:val="008347AA"/>
    <w:rsid w:val="00835C56"/>
    <w:rsid w:val="0083642C"/>
    <w:rsid w:val="008373A7"/>
    <w:rsid w:val="00837B46"/>
    <w:rsid w:val="008406BA"/>
    <w:rsid w:val="008409C5"/>
    <w:rsid w:val="00842953"/>
    <w:rsid w:val="00843E36"/>
    <w:rsid w:val="00845BC4"/>
    <w:rsid w:val="0084626D"/>
    <w:rsid w:val="00852430"/>
    <w:rsid w:val="0085247F"/>
    <w:rsid w:val="0085271D"/>
    <w:rsid w:val="0085498D"/>
    <w:rsid w:val="00855D64"/>
    <w:rsid w:val="00855F52"/>
    <w:rsid w:val="0085708F"/>
    <w:rsid w:val="00857207"/>
    <w:rsid w:val="00857418"/>
    <w:rsid w:val="00857FE3"/>
    <w:rsid w:val="00860022"/>
    <w:rsid w:val="00860F49"/>
    <w:rsid w:val="00861983"/>
    <w:rsid w:val="0086354B"/>
    <w:rsid w:val="0086727D"/>
    <w:rsid w:val="0087017B"/>
    <w:rsid w:val="008713AF"/>
    <w:rsid w:val="008729BE"/>
    <w:rsid w:val="00873939"/>
    <w:rsid w:val="00875A49"/>
    <w:rsid w:val="00875DC2"/>
    <w:rsid w:val="00877192"/>
    <w:rsid w:val="00877389"/>
    <w:rsid w:val="0087759C"/>
    <w:rsid w:val="008802CF"/>
    <w:rsid w:val="00880D0C"/>
    <w:rsid w:val="00880E3B"/>
    <w:rsid w:val="008811AE"/>
    <w:rsid w:val="00881EF8"/>
    <w:rsid w:val="00882440"/>
    <w:rsid w:val="00882F5D"/>
    <w:rsid w:val="008843B3"/>
    <w:rsid w:val="00885AD3"/>
    <w:rsid w:val="00891E39"/>
    <w:rsid w:val="00891F8C"/>
    <w:rsid w:val="00892199"/>
    <w:rsid w:val="0089298D"/>
    <w:rsid w:val="0089453C"/>
    <w:rsid w:val="00895BA3"/>
    <w:rsid w:val="00896527"/>
    <w:rsid w:val="0089673E"/>
    <w:rsid w:val="00896D47"/>
    <w:rsid w:val="008970FB"/>
    <w:rsid w:val="00897F11"/>
    <w:rsid w:val="008A127F"/>
    <w:rsid w:val="008A35D0"/>
    <w:rsid w:val="008A4280"/>
    <w:rsid w:val="008A5271"/>
    <w:rsid w:val="008A580E"/>
    <w:rsid w:val="008A653D"/>
    <w:rsid w:val="008B1816"/>
    <w:rsid w:val="008B77CF"/>
    <w:rsid w:val="008B7E1F"/>
    <w:rsid w:val="008C0638"/>
    <w:rsid w:val="008C3097"/>
    <w:rsid w:val="008C3D15"/>
    <w:rsid w:val="008C3FCB"/>
    <w:rsid w:val="008C461C"/>
    <w:rsid w:val="008C62A3"/>
    <w:rsid w:val="008C6848"/>
    <w:rsid w:val="008C71F3"/>
    <w:rsid w:val="008C755E"/>
    <w:rsid w:val="008D0813"/>
    <w:rsid w:val="008D0827"/>
    <w:rsid w:val="008D0996"/>
    <w:rsid w:val="008D13B8"/>
    <w:rsid w:val="008D3C78"/>
    <w:rsid w:val="008D3FE5"/>
    <w:rsid w:val="008D4645"/>
    <w:rsid w:val="008D47F9"/>
    <w:rsid w:val="008D52A1"/>
    <w:rsid w:val="008D55CF"/>
    <w:rsid w:val="008D60AC"/>
    <w:rsid w:val="008D6105"/>
    <w:rsid w:val="008D773C"/>
    <w:rsid w:val="008E0255"/>
    <w:rsid w:val="008E090B"/>
    <w:rsid w:val="008E15D6"/>
    <w:rsid w:val="008E20EE"/>
    <w:rsid w:val="008E22A4"/>
    <w:rsid w:val="008E302F"/>
    <w:rsid w:val="008E3DE2"/>
    <w:rsid w:val="008E493D"/>
    <w:rsid w:val="008E5F1A"/>
    <w:rsid w:val="008E6077"/>
    <w:rsid w:val="008E672F"/>
    <w:rsid w:val="008E676E"/>
    <w:rsid w:val="008E6D49"/>
    <w:rsid w:val="008F0450"/>
    <w:rsid w:val="008F05C8"/>
    <w:rsid w:val="008F0BA7"/>
    <w:rsid w:val="008F126C"/>
    <w:rsid w:val="008F1D5B"/>
    <w:rsid w:val="008F228D"/>
    <w:rsid w:val="008F2EAA"/>
    <w:rsid w:val="008F353F"/>
    <w:rsid w:val="008F3751"/>
    <w:rsid w:val="008F3B69"/>
    <w:rsid w:val="008F3C9E"/>
    <w:rsid w:val="008F3CFF"/>
    <w:rsid w:val="008F41BC"/>
    <w:rsid w:val="008F44DA"/>
    <w:rsid w:val="008F4C6E"/>
    <w:rsid w:val="008F7727"/>
    <w:rsid w:val="00900957"/>
    <w:rsid w:val="009026FC"/>
    <w:rsid w:val="00902C78"/>
    <w:rsid w:val="00902CD9"/>
    <w:rsid w:val="00903D0F"/>
    <w:rsid w:val="00904F1A"/>
    <w:rsid w:val="009056B3"/>
    <w:rsid w:val="009066EB"/>
    <w:rsid w:val="009069B7"/>
    <w:rsid w:val="009069C7"/>
    <w:rsid w:val="00906CBA"/>
    <w:rsid w:val="00906CF4"/>
    <w:rsid w:val="0090770E"/>
    <w:rsid w:val="009117A8"/>
    <w:rsid w:val="00913688"/>
    <w:rsid w:val="00914618"/>
    <w:rsid w:val="00915514"/>
    <w:rsid w:val="00916452"/>
    <w:rsid w:val="00916CF2"/>
    <w:rsid w:val="00920635"/>
    <w:rsid w:val="0092259E"/>
    <w:rsid w:val="00922D9C"/>
    <w:rsid w:val="0092339A"/>
    <w:rsid w:val="009254D1"/>
    <w:rsid w:val="00925F89"/>
    <w:rsid w:val="0092645E"/>
    <w:rsid w:val="00926C72"/>
    <w:rsid w:val="00931145"/>
    <w:rsid w:val="00931162"/>
    <w:rsid w:val="0093182F"/>
    <w:rsid w:val="00934897"/>
    <w:rsid w:val="00934909"/>
    <w:rsid w:val="00937BE6"/>
    <w:rsid w:val="00940077"/>
    <w:rsid w:val="00940DDB"/>
    <w:rsid w:val="009418F9"/>
    <w:rsid w:val="0094455B"/>
    <w:rsid w:val="009455D8"/>
    <w:rsid w:val="0094561D"/>
    <w:rsid w:val="00945663"/>
    <w:rsid w:val="0094568E"/>
    <w:rsid w:val="009458BC"/>
    <w:rsid w:val="009462CD"/>
    <w:rsid w:val="00946871"/>
    <w:rsid w:val="00950B01"/>
    <w:rsid w:val="00950C0E"/>
    <w:rsid w:val="00950F52"/>
    <w:rsid w:val="00951E85"/>
    <w:rsid w:val="00952EC0"/>
    <w:rsid w:val="00960E2D"/>
    <w:rsid w:val="00961974"/>
    <w:rsid w:val="00961C18"/>
    <w:rsid w:val="009635E5"/>
    <w:rsid w:val="00963F00"/>
    <w:rsid w:val="00964168"/>
    <w:rsid w:val="00964E22"/>
    <w:rsid w:val="00965A20"/>
    <w:rsid w:val="00966178"/>
    <w:rsid w:val="00966F0D"/>
    <w:rsid w:val="009712A7"/>
    <w:rsid w:val="00972091"/>
    <w:rsid w:val="00982C76"/>
    <w:rsid w:val="00984BBD"/>
    <w:rsid w:val="009868FF"/>
    <w:rsid w:val="00987241"/>
    <w:rsid w:val="00987FB3"/>
    <w:rsid w:val="00990B62"/>
    <w:rsid w:val="00991716"/>
    <w:rsid w:val="0099433D"/>
    <w:rsid w:val="009947BA"/>
    <w:rsid w:val="009951B2"/>
    <w:rsid w:val="0099536C"/>
    <w:rsid w:val="00995A09"/>
    <w:rsid w:val="00995F88"/>
    <w:rsid w:val="00997476"/>
    <w:rsid w:val="00997A99"/>
    <w:rsid w:val="009A0355"/>
    <w:rsid w:val="009A0BA1"/>
    <w:rsid w:val="009A1C97"/>
    <w:rsid w:val="009A1F16"/>
    <w:rsid w:val="009A2C14"/>
    <w:rsid w:val="009A2C30"/>
    <w:rsid w:val="009A4C04"/>
    <w:rsid w:val="009A7470"/>
    <w:rsid w:val="009A7BC8"/>
    <w:rsid w:val="009A7C41"/>
    <w:rsid w:val="009B02A0"/>
    <w:rsid w:val="009B11A8"/>
    <w:rsid w:val="009B2A61"/>
    <w:rsid w:val="009B490B"/>
    <w:rsid w:val="009B5CDA"/>
    <w:rsid w:val="009B6FDF"/>
    <w:rsid w:val="009B72A3"/>
    <w:rsid w:val="009C01B4"/>
    <w:rsid w:val="009C0401"/>
    <w:rsid w:val="009C1405"/>
    <w:rsid w:val="009C43A1"/>
    <w:rsid w:val="009D15C5"/>
    <w:rsid w:val="009D3755"/>
    <w:rsid w:val="009D4528"/>
    <w:rsid w:val="009D763D"/>
    <w:rsid w:val="009E1401"/>
    <w:rsid w:val="009E23E2"/>
    <w:rsid w:val="009E2A74"/>
    <w:rsid w:val="009E4C2C"/>
    <w:rsid w:val="009E5CE6"/>
    <w:rsid w:val="009E6290"/>
    <w:rsid w:val="009E6594"/>
    <w:rsid w:val="009F1955"/>
    <w:rsid w:val="009F2184"/>
    <w:rsid w:val="009F2271"/>
    <w:rsid w:val="009F3771"/>
    <w:rsid w:val="009F3906"/>
    <w:rsid w:val="009F54D8"/>
    <w:rsid w:val="009F5C66"/>
    <w:rsid w:val="009F6BF9"/>
    <w:rsid w:val="00A03618"/>
    <w:rsid w:val="00A03D96"/>
    <w:rsid w:val="00A03DF0"/>
    <w:rsid w:val="00A04252"/>
    <w:rsid w:val="00A049AD"/>
    <w:rsid w:val="00A05D82"/>
    <w:rsid w:val="00A06AB3"/>
    <w:rsid w:val="00A070EC"/>
    <w:rsid w:val="00A07E24"/>
    <w:rsid w:val="00A07F32"/>
    <w:rsid w:val="00A10205"/>
    <w:rsid w:val="00A10351"/>
    <w:rsid w:val="00A11C4D"/>
    <w:rsid w:val="00A12680"/>
    <w:rsid w:val="00A12695"/>
    <w:rsid w:val="00A13AB6"/>
    <w:rsid w:val="00A16513"/>
    <w:rsid w:val="00A204E0"/>
    <w:rsid w:val="00A216FF"/>
    <w:rsid w:val="00A240FC"/>
    <w:rsid w:val="00A24915"/>
    <w:rsid w:val="00A2599E"/>
    <w:rsid w:val="00A26052"/>
    <w:rsid w:val="00A260A3"/>
    <w:rsid w:val="00A26433"/>
    <w:rsid w:val="00A26FC3"/>
    <w:rsid w:val="00A27186"/>
    <w:rsid w:val="00A27A24"/>
    <w:rsid w:val="00A30183"/>
    <w:rsid w:val="00A307B8"/>
    <w:rsid w:val="00A30915"/>
    <w:rsid w:val="00A31DFF"/>
    <w:rsid w:val="00A31F90"/>
    <w:rsid w:val="00A32148"/>
    <w:rsid w:val="00A33EDD"/>
    <w:rsid w:val="00A34530"/>
    <w:rsid w:val="00A364A9"/>
    <w:rsid w:val="00A40CEC"/>
    <w:rsid w:val="00A40DBF"/>
    <w:rsid w:val="00A42863"/>
    <w:rsid w:val="00A42B47"/>
    <w:rsid w:val="00A4429A"/>
    <w:rsid w:val="00A455AA"/>
    <w:rsid w:val="00A45B56"/>
    <w:rsid w:val="00A47C99"/>
    <w:rsid w:val="00A5089E"/>
    <w:rsid w:val="00A52B71"/>
    <w:rsid w:val="00A535B0"/>
    <w:rsid w:val="00A53718"/>
    <w:rsid w:val="00A53887"/>
    <w:rsid w:val="00A54CF7"/>
    <w:rsid w:val="00A570AB"/>
    <w:rsid w:val="00A57158"/>
    <w:rsid w:val="00A60125"/>
    <w:rsid w:val="00A60586"/>
    <w:rsid w:val="00A6101B"/>
    <w:rsid w:val="00A621EB"/>
    <w:rsid w:val="00A62BD1"/>
    <w:rsid w:val="00A64564"/>
    <w:rsid w:val="00A649A8"/>
    <w:rsid w:val="00A64B62"/>
    <w:rsid w:val="00A6594E"/>
    <w:rsid w:val="00A6668A"/>
    <w:rsid w:val="00A677BC"/>
    <w:rsid w:val="00A7015B"/>
    <w:rsid w:val="00A70ABD"/>
    <w:rsid w:val="00A70BD0"/>
    <w:rsid w:val="00A71822"/>
    <w:rsid w:val="00A7657C"/>
    <w:rsid w:val="00A77BE7"/>
    <w:rsid w:val="00A80A3F"/>
    <w:rsid w:val="00A828F9"/>
    <w:rsid w:val="00A836AC"/>
    <w:rsid w:val="00A84AAB"/>
    <w:rsid w:val="00A862A6"/>
    <w:rsid w:val="00A8710F"/>
    <w:rsid w:val="00A87A76"/>
    <w:rsid w:val="00A906F6"/>
    <w:rsid w:val="00A9071D"/>
    <w:rsid w:val="00A90A08"/>
    <w:rsid w:val="00A91058"/>
    <w:rsid w:val="00A92218"/>
    <w:rsid w:val="00A9273F"/>
    <w:rsid w:val="00A93B97"/>
    <w:rsid w:val="00A93F8E"/>
    <w:rsid w:val="00A952D4"/>
    <w:rsid w:val="00A956AB"/>
    <w:rsid w:val="00A95CC8"/>
    <w:rsid w:val="00A95D88"/>
    <w:rsid w:val="00A97CCA"/>
    <w:rsid w:val="00AA054E"/>
    <w:rsid w:val="00AA0797"/>
    <w:rsid w:val="00AA2360"/>
    <w:rsid w:val="00AA2A0C"/>
    <w:rsid w:val="00AA45D1"/>
    <w:rsid w:val="00AA4FEB"/>
    <w:rsid w:val="00AA5E94"/>
    <w:rsid w:val="00AA6715"/>
    <w:rsid w:val="00AA79DF"/>
    <w:rsid w:val="00AB0214"/>
    <w:rsid w:val="00AB0268"/>
    <w:rsid w:val="00AB19B2"/>
    <w:rsid w:val="00AB5E58"/>
    <w:rsid w:val="00AB6D6E"/>
    <w:rsid w:val="00AB7ECF"/>
    <w:rsid w:val="00AC06F5"/>
    <w:rsid w:val="00AC0C52"/>
    <w:rsid w:val="00AC28A4"/>
    <w:rsid w:val="00AC35E9"/>
    <w:rsid w:val="00AC3F58"/>
    <w:rsid w:val="00AC60A0"/>
    <w:rsid w:val="00AC6733"/>
    <w:rsid w:val="00AD0379"/>
    <w:rsid w:val="00AD249A"/>
    <w:rsid w:val="00AD294E"/>
    <w:rsid w:val="00AD6CF2"/>
    <w:rsid w:val="00AE0D5B"/>
    <w:rsid w:val="00AE1C52"/>
    <w:rsid w:val="00AE2AF6"/>
    <w:rsid w:val="00AE2C66"/>
    <w:rsid w:val="00AE2E56"/>
    <w:rsid w:val="00AE33DB"/>
    <w:rsid w:val="00AE3BB9"/>
    <w:rsid w:val="00AE45E0"/>
    <w:rsid w:val="00AE530A"/>
    <w:rsid w:val="00AE58FA"/>
    <w:rsid w:val="00AE603C"/>
    <w:rsid w:val="00AE73A4"/>
    <w:rsid w:val="00AF0665"/>
    <w:rsid w:val="00AF26A3"/>
    <w:rsid w:val="00AF346F"/>
    <w:rsid w:val="00AF3933"/>
    <w:rsid w:val="00AF422F"/>
    <w:rsid w:val="00AF4362"/>
    <w:rsid w:val="00AF4CDC"/>
    <w:rsid w:val="00AF6075"/>
    <w:rsid w:val="00AF65DB"/>
    <w:rsid w:val="00AF6CDA"/>
    <w:rsid w:val="00AF79C2"/>
    <w:rsid w:val="00B014B3"/>
    <w:rsid w:val="00B016C9"/>
    <w:rsid w:val="00B01895"/>
    <w:rsid w:val="00B02D6B"/>
    <w:rsid w:val="00B03D52"/>
    <w:rsid w:val="00B04A6E"/>
    <w:rsid w:val="00B04C02"/>
    <w:rsid w:val="00B104C7"/>
    <w:rsid w:val="00B13B5E"/>
    <w:rsid w:val="00B14C84"/>
    <w:rsid w:val="00B1505F"/>
    <w:rsid w:val="00B154CC"/>
    <w:rsid w:val="00B15D37"/>
    <w:rsid w:val="00B1650A"/>
    <w:rsid w:val="00B17029"/>
    <w:rsid w:val="00B178F8"/>
    <w:rsid w:val="00B20295"/>
    <w:rsid w:val="00B203A3"/>
    <w:rsid w:val="00B2097A"/>
    <w:rsid w:val="00B2187B"/>
    <w:rsid w:val="00B225D1"/>
    <w:rsid w:val="00B2285E"/>
    <w:rsid w:val="00B2316C"/>
    <w:rsid w:val="00B237BF"/>
    <w:rsid w:val="00B23C95"/>
    <w:rsid w:val="00B23F73"/>
    <w:rsid w:val="00B245C8"/>
    <w:rsid w:val="00B2502A"/>
    <w:rsid w:val="00B26378"/>
    <w:rsid w:val="00B26E64"/>
    <w:rsid w:val="00B27CC4"/>
    <w:rsid w:val="00B308E0"/>
    <w:rsid w:val="00B30BC0"/>
    <w:rsid w:val="00B3138B"/>
    <w:rsid w:val="00B331A0"/>
    <w:rsid w:val="00B33963"/>
    <w:rsid w:val="00B339A5"/>
    <w:rsid w:val="00B36DC6"/>
    <w:rsid w:val="00B37396"/>
    <w:rsid w:val="00B404D9"/>
    <w:rsid w:val="00B43568"/>
    <w:rsid w:val="00B435DD"/>
    <w:rsid w:val="00B447F5"/>
    <w:rsid w:val="00B44839"/>
    <w:rsid w:val="00B44F93"/>
    <w:rsid w:val="00B45088"/>
    <w:rsid w:val="00B46533"/>
    <w:rsid w:val="00B4664D"/>
    <w:rsid w:val="00B46708"/>
    <w:rsid w:val="00B46BAC"/>
    <w:rsid w:val="00B47CE1"/>
    <w:rsid w:val="00B47F48"/>
    <w:rsid w:val="00B50458"/>
    <w:rsid w:val="00B51735"/>
    <w:rsid w:val="00B5280F"/>
    <w:rsid w:val="00B538AD"/>
    <w:rsid w:val="00B53DC5"/>
    <w:rsid w:val="00B546BC"/>
    <w:rsid w:val="00B549AC"/>
    <w:rsid w:val="00B55802"/>
    <w:rsid w:val="00B5694A"/>
    <w:rsid w:val="00B56D7B"/>
    <w:rsid w:val="00B56ED6"/>
    <w:rsid w:val="00B57169"/>
    <w:rsid w:val="00B600C1"/>
    <w:rsid w:val="00B60E53"/>
    <w:rsid w:val="00B61EDF"/>
    <w:rsid w:val="00B624C0"/>
    <w:rsid w:val="00B625B5"/>
    <w:rsid w:val="00B62B3E"/>
    <w:rsid w:val="00B64970"/>
    <w:rsid w:val="00B652B1"/>
    <w:rsid w:val="00B66378"/>
    <w:rsid w:val="00B665B6"/>
    <w:rsid w:val="00B67AFD"/>
    <w:rsid w:val="00B718CA"/>
    <w:rsid w:val="00B71930"/>
    <w:rsid w:val="00B721A7"/>
    <w:rsid w:val="00B7252E"/>
    <w:rsid w:val="00B7323D"/>
    <w:rsid w:val="00B74230"/>
    <w:rsid w:val="00B7439B"/>
    <w:rsid w:val="00B745F2"/>
    <w:rsid w:val="00B74FD7"/>
    <w:rsid w:val="00B756BE"/>
    <w:rsid w:val="00B75768"/>
    <w:rsid w:val="00B75C67"/>
    <w:rsid w:val="00B77500"/>
    <w:rsid w:val="00B82329"/>
    <w:rsid w:val="00B83A50"/>
    <w:rsid w:val="00B85C6E"/>
    <w:rsid w:val="00B875B7"/>
    <w:rsid w:val="00B8779C"/>
    <w:rsid w:val="00B90243"/>
    <w:rsid w:val="00B91D5B"/>
    <w:rsid w:val="00B92624"/>
    <w:rsid w:val="00B93097"/>
    <w:rsid w:val="00B933AE"/>
    <w:rsid w:val="00B940E3"/>
    <w:rsid w:val="00B94157"/>
    <w:rsid w:val="00B95973"/>
    <w:rsid w:val="00B959DE"/>
    <w:rsid w:val="00B96B4C"/>
    <w:rsid w:val="00B976F3"/>
    <w:rsid w:val="00B97ECA"/>
    <w:rsid w:val="00BA0D44"/>
    <w:rsid w:val="00BA0D81"/>
    <w:rsid w:val="00BA1E81"/>
    <w:rsid w:val="00BA28E6"/>
    <w:rsid w:val="00BA466C"/>
    <w:rsid w:val="00BA50B4"/>
    <w:rsid w:val="00BA5242"/>
    <w:rsid w:val="00BA5598"/>
    <w:rsid w:val="00BA5706"/>
    <w:rsid w:val="00BA5A6E"/>
    <w:rsid w:val="00BA5C1C"/>
    <w:rsid w:val="00BA6192"/>
    <w:rsid w:val="00BA630D"/>
    <w:rsid w:val="00BA696A"/>
    <w:rsid w:val="00BA7194"/>
    <w:rsid w:val="00BA7694"/>
    <w:rsid w:val="00BA7EC0"/>
    <w:rsid w:val="00BB060A"/>
    <w:rsid w:val="00BB0EBC"/>
    <w:rsid w:val="00BB1EAA"/>
    <w:rsid w:val="00BB203E"/>
    <w:rsid w:val="00BB20C9"/>
    <w:rsid w:val="00BB20D6"/>
    <w:rsid w:val="00BB2190"/>
    <w:rsid w:val="00BB2B6B"/>
    <w:rsid w:val="00BB3B72"/>
    <w:rsid w:val="00BB3CCC"/>
    <w:rsid w:val="00BB49CC"/>
    <w:rsid w:val="00BB50ED"/>
    <w:rsid w:val="00BB5A6A"/>
    <w:rsid w:val="00BB726E"/>
    <w:rsid w:val="00BC014C"/>
    <w:rsid w:val="00BC087D"/>
    <w:rsid w:val="00BC0D07"/>
    <w:rsid w:val="00BC109F"/>
    <w:rsid w:val="00BC4579"/>
    <w:rsid w:val="00BC5397"/>
    <w:rsid w:val="00BC59F6"/>
    <w:rsid w:val="00BC7A1E"/>
    <w:rsid w:val="00BD0C9D"/>
    <w:rsid w:val="00BD4EA8"/>
    <w:rsid w:val="00BD52E7"/>
    <w:rsid w:val="00BD73D9"/>
    <w:rsid w:val="00BE0AA1"/>
    <w:rsid w:val="00BE2A88"/>
    <w:rsid w:val="00BE55B8"/>
    <w:rsid w:val="00BE6A43"/>
    <w:rsid w:val="00BE7A0D"/>
    <w:rsid w:val="00BE7EAD"/>
    <w:rsid w:val="00BF1259"/>
    <w:rsid w:val="00BF1680"/>
    <w:rsid w:val="00BF1F89"/>
    <w:rsid w:val="00BF25C5"/>
    <w:rsid w:val="00BF5860"/>
    <w:rsid w:val="00BF6C8E"/>
    <w:rsid w:val="00BF793D"/>
    <w:rsid w:val="00BF7D91"/>
    <w:rsid w:val="00C00331"/>
    <w:rsid w:val="00C02444"/>
    <w:rsid w:val="00C0289A"/>
    <w:rsid w:val="00C038C4"/>
    <w:rsid w:val="00C03C1A"/>
    <w:rsid w:val="00C04652"/>
    <w:rsid w:val="00C06B96"/>
    <w:rsid w:val="00C103E6"/>
    <w:rsid w:val="00C11EFD"/>
    <w:rsid w:val="00C1335B"/>
    <w:rsid w:val="00C13E34"/>
    <w:rsid w:val="00C16004"/>
    <w:rsid w:val="00C16175"/>
    <w:rsid w:val="00C162E9"/>
    <w:rsid w:val="00C1669D"/>
    <w:rsid w:val="00C16813"/>
    <w:rsid w:val="00C171E1"/>
    <w:rsid w:val="00C2075A"/>
    <w:rsid w:val="00C21CB4"/>
    <w:rsid w:val="00C223FE"/>
    <w:rsid w:val="00C23460"/>
    <w:rsid w:val="00C23A97"/>
    <w:rsid w:val="00C242FA"/>
    <w:rsid w:val="00C27153"/>
    <w:rsid w:val="00C27B16"/>
    <w:rsid w:val="00C30ABD"/>
    <w:rsid w:val="00C30AC6"/>
    <w:rsid w:val="00C3104E"/>
    <w:rsid w:val="00C32EDD"/>
    <w:rsid w:val="00C3417C"/>
    <w:rsid w:val="00C343B4"/>
    <w:rsid w:val="00C36D5C"/>
    <w:rsid w:val="00C372D5"/>
    <w:rsid w:val="00C373A3"/>
    <w:rsid w:val="00C37805"/>
    <w:rsid w:val="00C37A01"/>
    <w:rsid w:val="00C42656"/>
    <w:rsid w:val="00C43CD5"/>
    <w:rsid w:val="00C44C4C"/>
    <w:rsid w:val="00C44E61"/>
    <w:rsid w:val="00C456DA"/>
    <w:rsid w:val="00C45F29"/>
    <w:rsid w:val="00C46CD9"/>
    <w:rsid w:val="00C46D3F"/>
    <w:rsid w:val="00C508DA"/>
    <w:rsid w:val="00C511BB"/>
    <w:rsid w:val="00C511C5"/>
    <w:rsid w:val="00C5186C"/>
    <w:rsid w:val="00C51B9B"/>
    <w:rsid w:val="00C51C6F"/>
    <w:rsid w:val="00C54789"/>
    <w:rsid w:val="00C54984"/>
    <w:rsid w:val="00C55E04"/>
    <w:rsid w:val="00C567A6"/>
    <w:rsid w:val="00C61828"/>
    <w:rsid w:val="00C62DD6"/>
    <w:rsid w:val="00C64B1A"/>
    <w:rsid w:val="00C65F45"/>
    <w:rsid w:val="00C66E9C"/>
    <w:rsid w:val="00C6789C"/>
    <w:rsid w:val="00C678A8"/>
    <w:rsid w:val="00C67D5B"/>
    <w:rsid w:val="00C67DA8"/>
    <w:rsid w:val="00C708C3"/>
    <w:rsid w:val="00C70B2E"/>
    <w:rsid w:val="00C73127"/>
    <w:rsid w:val="00C732F3"/>
    <w:rsid w:val="00C74B95"/>
    <w:rsid w:val="00C76212"/>
    <w:rsid w:val="00C80E9C"/>
    <w:rsid w:val="00C820BB"/>
    <w:rsid w:val="00C822EA"/>
    <w:rsid w:val="00C82743"/>
    <w:rsid w:val="00C82E56"/>
    <w:rsid w:val="00C83C0D"/>
    <w:rsid w:val="00C83E78"/>
    <w:rsid w:val="00C852DA"/>
    <w:rsid w:val="00C86532"/>
    <w:rsid w:val="00C86BE4"/>
    <w:rsid w:val="00C9044F"/>
    <w:rsid w:val="00C90B4E"/>
    <w:rsid w:val="00C90BF2"/>
    <w:rsid w:val="00C91611"/>
    <w:rsid w:val="00C928CC"/>
    <w:rsid w:val="00C92D99"/>
    <w:rsid w:val="00C92FAD"/>
    <w:rsid w:val="00C93D7F"/>
    <w:rsid w:val="00C95A78"/>
    <w:rsid w:val="00CA18B6"/>
    <w:rsid w:val="00CA1A42"/>
    <w:rsid w:val="00CA22E4"/>
    <w:rsid w:val="00CA24C9"/>
    <w:rsid w:val="00CA2541"/>
    <w:rsid w:val="00CA2906"/>
    <w:rsid w:val="00CA4343"/>
    <w:rsid w:val="00CA77E0"/>
    <w:rsid w:val="00CB1996"/>
    <w:rsid w:val="00CB1F49"/>
    <w:rsid w:val="00CB2E99"/>
    <w:rsid w:val="00CB30DD"/>
    <w:rsid w:val="00CB514B"/>
    <w:rsid w:val="00CB5529"/>
    <w:rsid w:val="00CB72E4"/>
    <w:rsid w:val="00CB794D"/>
    <w:rsid w:val="00CB7A2D"/>
    <w:rsid w:val="00CC03E6"/>
    <w:rsid w:val="00CC0DC7"/>
    <w:rsid w:val="00CC0F60"/>
    <w:rsid w:val="00CC1FEF"/>
    <w:rsid w:val="00CC31B3"/>
    <w:rsid w:val="00CC32D7"/>
    <w:rsid w:val="00CC3C4C"/>
    <w:rsid w:val="00CC3D00"/>
    <w:rsid w:val="00CC4126"/>
    <w:rsid w:val="00CC4AF5"/>
    <w:rsid w:val="00CC665A"/>
    <w:rsid w:val="00CC6C20"/>
    <w:rsid w:val="00CC7D98"/>
    <w:rsid w:val="00CD097C"/>
    <w:rsid w:val="00CD1211"/>
    <w:rsid w:val="00CD12A3"/>
    <w:rsid w:val="00CD1E7F"/>
    <w:rsid w:val="00CD2636"/>
    <w:rsid w:val="00CD35E8"/>
    <w:rsid w:val="00CD3875"/>
    <w:rsid w:val="00CD3A14"/>
    <w:rsid w:val="00CD3B1B"/>
    <w:rsid w:val="00CD729E"/>
    <w:rsid w:val="00CE3521"/>
    <w:rsid w:val="00CE382F"/>
    <w:rsid w:val="00CE3C75"/>
    <w:rsid w:val="00CE3E3F"/>
    <w:rsid w:val="00CE469D"/>
    <w:rsid w:val="00CE4E60"/>
    <w:rsid w:val="00CE4FF7"/>
    <w:rsid w:val="00CE614C"/>
    <w:rsid w:val="00CF0D2C"/>
    <w:rsid w:val="00CF0D8B"/>
    <w:rsid w:val="00CF12E2"/>
    <w:rsid w:val="00CF51CD"/>
    <w:rsid w:val="00CF5A12"/>
    <w:rsid w:val="00CF60C8"/>
    <w:rsid w:val="00CF7F38"/>
    <w:rsid w:val="00D00225"/>
    <w:rsid w:val="00D027BD"/>
    <w:rsid w:val="00D0281D"/>
    <w:rsid w:val="00D02DF5"/>
    <w:rsid w:val="00D05743"/>
    <w:rsid w:val="00D05BA8"/>
    <w:rsid w:val="00D060F9"/>
    <w:rsid w:val="00D06180"/>
    <w:rsid w:val="00D10D77"/>
    <w:rsid w:val="00D11B15"/>
    <w:rsid w:val="00D1250D"/>
    <w:rsid w:val="00D12E01"/>
    <w:rsid w:val="00D13433"/>
    <w:rsid w:val="00D14EFB"/>
    <w:rsid w:val="00D158CF"/>
    <w:rsid w:val="00D161A8"/>
    <w:rsid w:val="00D2005E"/>
    <w:rsid w:val="00D20F0F"/>
    <w:rsid w:val="00D21256"/>
    <w:rsid w:val="00D2203E"/>
    <w:rsid w:val="00D24E18"/>
    <w:rsid w:val="00D250F5"/>
    <w:rsid w:val="00D25613"/>
    <w:rsid w:val="00D25B25"/>
    <w:rsid w:val="00D276B9"/>
    <w:rsid w:val="00D3086A"/>
    <w:rsid w:val="00D30BB2"/>
    <w:rsid w:val="00D3136D"/>
    <w:rsid w:val="00D3157F"/>
    <w:rsid w:val="00D31C39"/>
    <w:rsid w:val="00D3235A"/>
    <w:rsid w:val="00D32D64"/>
    <w:rsid w:val="00D356D7"/>
    <w:rsid w:val="00D35E3F"/>
    <w:rsid w:val="00D367D4"/>
    <w:rsid w:val="00D368B1"/>
    <w:rsid w:val="00D4035D"/>
    <w:rsid w:val="00D41DBB"/>
    <w:rsid w:val="00D43325"/>
    <w:rsid w:val="00D437BC"/>
    <w:rsid w:val="00D4531D"/>
    <w:rsid w:val="00D463C1"/>
    <w:rsid w:val="00D4750A"/>
    <w:rsid w:val="00D51053"/>
    <w:rsid w:val="00D51577"/>
    <w:rsid w:val="00D5328F"/>
    <w:rsid w:val="00D53C7A"/>
    <w:rsid w:val="00D5629B"/>
    <w:rsid w:val="00D6153E"/>
    <w:rsid w:val="00D62523"/>
    <w:rsid w:val="00D6386A"/>
    <w:rsid w:val="00D6388D"/>
    <w:rsid w:val="00D63D08"/>
    <w:rsid w:val="00D64DE7"/>
    <w:rsid w:val="00D674FC"/>
    <w:rsid w:val="00D709BD"/>
    <w:rsid w:val="00D7205E"/>
    <w:rsid w:val="00D72497"/>
    <w:rsid w:val="00D73ABE"/>
    <w:rsid w:val="00D762D0"/>
    <w:rsid w:val="00D7674D"/>
    <w:rsid w:val="00D76C6E"/>
    <w:rsid w:val="00D77480"/>
    <w:rsid w:val="00D8075A"/>
    <w:rsid w:val="00D8110F"/>
    <w:rsid w:val="00D81CD3"/>
    <w:rsid w:val="00D81E74"/>
    <w:rsid w:val="00D81F03"/>
    <w:rsid w:val="00D82212"/>
    <w:rsid w:val="00D8265A"/>
    <w:rsid w:val="00D8388F"/>
    <w:rsid w:val="00D83C49"/>
    <w:rsid w:val="00D846BD"/>
    <w:rsid w:val="00D84CA3"/>
    <w:rsid w:val="00D85A35"/>
    <w:rsid w:val="00D85FCA"/>
    <w:rsid w:val="00D8634A"/>
    <w:rsid w:val="00D86E0A"/>
    <w:rsid w:val="00D879B1"/>
    <w:rsid w:val="00D90468"/>
    <w:rsid w:val="00D90F8E"/>
    <w:rsid w:val="00D917B1"/>
    <w:rsid w:val="00D94024"/>
    <w:rsid w:val="00D96A46"/>
    <w:rsid w:val="00D96B84"/>
    <w:rsid w:val="00D970B9"/>
    <w:rsid w:val="00DA034A"/>
    <w:rsid w:val="00DA0EF4"/>
    <w:rsid w:val="00DA0F2D"/>
    <w:rsid w:val="00DA22C0"/>
    <w:rsid w:val="00DA29AB"/>
    <w:rsid w:val="00DA2E0D"/>
    <w:rsid w:val="00DA32E3"/>
    <w:rsid w:val="00DA3762"/>
    <w:rsid w:val="00DA3E76"/>
    <w:rsid w:val="00DA417F"/>
    <w:rsid w:val="00DA4378"/>
    <w:rsid w:val="00DA5C07"/>
    <w:rsid w:val="00DA5C6C"/>
    <w:rsid w:val="00DA6412"/>
    <w:rsid w:val="00DA7204"/>
    <w:rsid w:val="00DA7825"/>
    <w:rsid w:val="00DB0591"/>
    <w:rsid w:val="00DB11B1"/>
    <w:rsid w:val="00DB23DE"/>
    <w:rsid w:val="00DB4123"/>
    <w:rsid w:val="00DB426E"/>
    <w:rsid w:val="00DB44A3"/>
    <w:rsid w:val="00DB589F"/>
    <w:rsid w:val="00DB58A0"/>
    <w:rsid w:val="00DB62D1"/>
    <w:rsid w:val="00DC0DDC"/>
    <w:rsid w:val="00DC12A4"/>
    <w:rsid w:val="00DC1508"/>
    <w:rsid w:val="00DC3BD0"/>
    <w:rsid w:val="00DC48AC"/>
    <w:rsid w:val="00DC4B3F"/>
    <w:rsid w:val="00DC5774"/>
    <w:rsid w:val="00DC741D"/>
    <w:rsid w:val="00DC75C4"/>
    <w:rsid w:val="00DD05CE"/>
    <w:rsid w:val="00DD0A85"/>
    <w:rsid w:val="00DD1A36"/>
    <w:rsid w:val="00DD25AF"/>
    <w:rsid w:val="00DD3628"/>
    <w:rsid w:val="00DD4674"/>
    <w:rsid w:val="00DD511F"/>
    <w:rsid w:val="00DD5A3B"/>
    <w:rsid w:val="00DD64BF"/>
    <w:rsid w:val="00DD7386"/>
    <w:rsid w:val="00DD7585"/>
    <w:rsid w:val="00DE0303"/>
    <w:rsid w:val="00DE0ECC"/>
    <w:rsid w:val="00DE2437"/>
    <w:rsid w:val="00DE3219"/>
    <w:rsid w:val="00DF11DB"/>
    <w:rsid w:val="00DF1C28"/>
    <w:rsid w:val="00DF2139"/>
    <w:rsid w:val="00DF25AE"/>
    <w:rsid w:val="00DF2888"/>
    <w:rsid w:val="00DF2A59"/>
    <w:rsid w:val="00DF2F06"/>
    <w:rsid w:val="00DF4679"/>
    <w:rsid w:val="00DF5BA9"/>
    <w:rsid w:val="00DF7FBA"/>
    <w:rsid w:val="00E01286"/>
    <w:rsid w:val="00E0217D"/>
    <w:rsid w:val="00E02238"/>
    <w:rsid w:val="00E02993"/>
    <w:rsid w:val="00E029FA"/>
    <w:rsid w:val="00E03350"/>
    <w:rsid w:val="00E03944"/>
    <w:rsid w:val="00E0408B"/>
    <w:rsid w:val="00E0428E"/>
    <w:rsid w:val="00E05B12"/>
    <w:rsid w:val="00E0730F"/>
    <w:rsid w:val="00E1146D"/>
    <w:rsid w:val="00E13760"/>
    <w:rsid w:val="00E14408"/>
    <w:rsid w:val="00E14B5E"/>
    <w:rsid w:val="00E14F07"/>
    <w:rsid w:val="00E155AF"/>
    <w:rsid w:val="00E15CC7"/>
    <w:rsid w:val="00E16A4B"/>
    <w:rsid w:val="00E207A1"/>
    <w:rsid w:val="00E23686"/>
    <w:rsid w:val="00E239E9"/>
    <w:rsid w:val="00E244F6"/>
    <w:rsid w:val="00E266E4"/>
    <w:rsid w:val="00E27037"/>
    <w:rsid w:val="00E271DE"/>
    <w:rsid w:val="00E27737"/>
    <w:rsid w:val="00E303C7"/>
    <w:rsid w:val="00E30F54"/>
    <w:rsid w:val="00E31700"/>
    <w:rsid w:val="00E324F4"/>
    <w:rsid w:val="00E32505"/>
    <w:rsid w:val="00E32C69"/>
    <w:rsid w:val="00E3381C"/>
    <w:rsid w:val="00E33DD6"/>
    <w:rsid w:val="00E3462E"/>
    <w:rsid w:val="00E3664A"/>
    <w:rsid w:val="00E3711F"/>
    <w:rsid w:val="00E403F3"/>
    <w:rsid w:val="00E40D83"/>
    <w:rsid w:val="00E40F3A"/>
    <w:rsid w:val="00E412FE"/>
    <w:rsid w:val="00E429A8"/>
    <w:rsid w:val="00E42FC4"/>
    <w:rsid w:val="00E44492"/>
    <w:rsid w:val="00E44F88"/>
    <w:rsid w:val="00E45814"/>
    <w:rsid w:val="00E45A8B"/>
    <w:rsid w:val="00E46233"/>
    <w:rsid w:val="00E464D3"/>
    <w:rsid w:val="00E50092"/>
    <w:rsid w:val="00E5071E"/>
    <w:rsid w:val="00E514BF"/>
    <w:rsid w:val="00E5161E"/>
    <w:rsid w:val="00E5276B"/>
    <w:rsid w:val="00E52875"/>
    <w:rsid w:val="00E52B0B"/>
    <w:rsid w:val="00E54812"/>
    <w:rsid w:val="00E55933"/>
    <w:rsid w:val="00E55BF0"/>
    <w:rsid w:val="00E61C1F"/>
    <w:rsid w:val="00E61CCB"/>
    <w:rsid w:val="00E64745"/>
    <w:rsid w:val="00E64AD0"/>
    <w:rsid w:val="00E65876"/>
    <w:rsid w:val="00E679E5"/>
    <w:rsid w:val="00E70949"/>
    <w:rsid w:val="00E70FF4"/>
    <w:rsid w:val="00E71B6C"/>
    <w:rsid w:val="00E72099"/>
    <w:rsid w:val="00E744F0"/>
    <w:rsid w:val="00E74726"/>
    <w:rsid w:val="00E74C38"/>
    <w:rsid w:val="00E74CE1"/>
    <w:rsid w:val="00E76E56"/>
    <w:rsid w:val="00E7724B"/>
    <w:rsid w:val="00E77431"/>
    <w:rsid w:val="00E77B10"/>
    <w:rsid w:val="00E80212"/>
    <w:rsid w:val="00E80B90"/>
    <w:rsid w:val="00E811EF"/>
    <w:rsid w:val="00E81D1B"/>
    <w:rsid w:val="00E8275A"/>
    <w:rsid w:val="00E82966"/>
    <w:rsid w:val="00E835E4"/>
    <w:rsid w:val="00E8401B"/>
    <w:rsid w:val="00E8426D"/>
    <w:rsid w:val="00E84F76"/>
    <w:rsid w:val="00E8606E"/>
    <w:rsid w:val="00E95045"/>
    <w:rsid w:val="00E960A2"/>
    <w:rsid w:val="00E96CA6"/>
    <w:rsid w:val="00E97072"/>
    <w:rsid w:val="00E97761"/>
    <w:rsid w:val="00EA0F45"/>
    <w:rsid w:val="00EA2796"/>
    <w:rsid w:val="00EA2C6F"/>
    <w:rsid w:val="00EA4C8A"/>
    <w:rsid w:val="00EA54DC"/>
    <w:rsid w:val="00EA6130"/>
    <w:rsid w:val="00EA684F"/>
    <w:rsid w:val="00EA762F"/>
    <w:rsid w:val="00EB0039"/>
    <w:rsid w:val="00EB0212"/>
    <w:rsid w:val="00EB0428"/>
    <w:rsid w:val="00EB11D7"/>
    <w:rsid w:val="00EB15CC"/>
    <w:rsid w:val="00EB1CB1"/>
    <w:rsid w:val="00EB2BF3"/>
    <w:rsid w:val="00EB3908"/>
    <w:rsid w:val="00EB3EA2"/>
    <w:rsid w:val="00EB4346"/>
    <w:rsid w:val="00EB55ED"/>
    <w:rsid w:val="00EB70C9"/>
    <w:rsid w:val="00EC064F"/>
    <w:rsid w:val="00EC0688"/>
    <w:rsid w:val="00EC2D8F"/>
    <w:rsid w:val="00EC2ED4"/>
    <w:rsid w:val="00EC33A6"/>
    <w:rsid w:val="00EC36F1"/>
    <w:rsid w:val="00EC3F0B"/>
    <w:rsid w:val="00EC508F"/>
    <w:rsid w:val="00EC5CE5"/>
    <w:rsid w:val="00EC6263"/>
    <w:rsid w:val="00EC6B47"/>
    <w:rsid w:val="00EC6C4E"/>
    <w:rsid w:val="00EC75C3"/>
    <w:rsid w:val="00ED0056"/>
    <w:rsid w:val="00ED03A9"/>
    <w:rsid w:val="00ED08C6"/>
    <w:rsid w:val="00ED0F27"/>
    <w:rsid w:val="00ED1CD0"/>
    <w:rsid w:val="00ED3391"/>
    <w:rsid w:val="00ED3CB2"/>
    <w:rsid w:val="00ED43FC"/>
    <w:rsid w:val="00ED46FC"/>
    <w:rsid w:val="00ED4BF5"/>
    <w:rsid w:val="00ED6ED3"/>
    <w:rsid w:val="00EE05F5"/>
    <w:rsid w:val="00EE0858"/>
    <w:rsid w:val="00EE08AE"/>
    <w:rsid w:val="00EE2031"/>
    <w:rsid w:val="00EE268B"/>
    <w:rsid w:val="00EE3621"/>
    <w:rsid w:val="00EE438B"/>
    <w:rsid w:val="00EE58DF"/>
    <w:rsid w:val="00EE7D0A"/>
    <w:rsid w:val="00EF0DBD"/>
    <w:rsid w:val="00EF3206"/>
    <w:rsid w:val="00EF3A8A"/>
    <w:rsid w:val="00EF3C05"/>
    <w:rsid w:val="00EF3EAF"/>
    <w:rsid w:val="00EF4180"/>
    <w:rsid w:val="00EF4D9E"/>
    <w:rsid w:val="00EF5297"/>
    <w:rsid w:val="00EF58C8"/>
    <w:rsid w:val="00EF6507"/>
    <w:rsid w:val="00EF75D2"/>
    <w:rsid w:val="00F00727"/>
    <w:rsid w:val="00F0087F"/>
    <w:rsid w:val="00F00F66"/>
    <w:rsid w:val="00F015A0"/>
    <w:rsid w:val="00F01D7D"/>
    <w:rsid w:val="00F02022"/>
    <w:rsid w:val="00F030D2"/>
    <w:rsid w:val="00F04109"/>
    <w:rsid w:val="00F04B4B"/>
    <w:rsid w:val="00F05CCA"/>
    <w:rsid w:val="00F06289"/>
    <w:rsid w:val="00F07902"/>
    <w:rsid w:val="00F10F66"/>
    <w:rsid w:val="00F12AFC"/>
    <w:rsid w:val="00F12B2F"/>
    <w:rsid w:val="00F12EE6"/>
    <w:rsid w:val="00F1450B"/>
    <w:rsid w:val="00F158C4"/>
    <w:rsid w:val="00F1637B"/>
    <w:rsid w:val="00F17534"/>
    <w:rsid w:val="00F17676"/>
    <w:rsid w:val="00F17A48"/>
    <w:rsid w:val="00F20A46"/>
    <w:rsid w:val="00F22513"/>
    <w:rsid w:val="00F2720F"/>
    <w:rsid w:val="00F302B6"/>
    <w:rsid w:val="00F30D29"/>
    <w:rsid w:val="00F32307"/>
    <w:rsid w:val="00F32D83"/>
    <w:rsid w:val="00F33B2B"/>
    <w:rsid w:val="00F33ED8"/>
    <w:rsid w:val="00F34528"/>
    <w:rsid w:val="00F34CBF"/>
    <w:rsid w:val="00F3616B"/>
    <w:rsid w:val="00F362BA"/>
    <w:rsid w:val="00F36565"/>
    <w:rsid w:val="00F371DC"/>
    <w:rsid w:val="00F37890"/>
    <w:rsid w:val="00F40658"/>
    <w:rsid w:val="00F41EEA"/>
    <w:rsid w:val="00F4259B"/>
    <w:rsid w:val="00F42BEC"/>
    <w:rsid w:val="00F43432"/>
    <w:rsid w:val="00F44173"/>
    <w:rsid w:val="00F44716"/>
    <w:rsid w:val="00F44BA3"/>
    <w:rsid w:val="00F44DBE"/>
    <w:rsid w:val="00F453AE"/>
    <w:rsid w:val="00F46292"/>
    <w:rsid w:val="00F476B6"/>
    <w:rsid w:val="00F5017F"/>
    <w:rsid w:val="00F50F6C"/>
    <w:rsid w:val="00F51641"/>
    <w:rsid w:val="00F52D91"/>
    <w:rsid w:val="00F5629A"/>
    <w:rsid w:val="00F56BEB"/>
    <w:rsid w:val="00F57CB9"/>
    <w:rsid w:val="00F6167D"/>
    <w:rsid w:val="00F623FD"/>
    <w:rsid w:val="00F63A63"/>
    <w:rsid w:val="00F6576B"/>
    <w:rsid w:val="00F65CF2"/>
    <w:rsid w:val="00F667CE"/>
    <w:rsid w:val="00F66CAC"/>
    <w:rsid w:val="00F6739C"/>
    <w:rsid w:val="00F730E0"/>
    <w:rsid w:val="00F74DF3"/>
    <w:rsid w:val="00F768E8"/>
    <w:rsid w:val="00F76C2B"/>
    <w:rsid w:val="00F76F57"/>
    <w:rsid w:val="00F7761D"/>
    <w:rsid w:val="00F77ED6"/>
    <w:rsid w:val="00F8030A"/>
    <w:rsid w:val="00F81D19"/>
    <w:rsid w:val="00F820D1"/>
    <w:rsid w:val="00F820F0"/>
    <w:rsid w:val="00F835BD"/>
    <w:rsid w:val="00F84795"/>
    <w:rsid w:val="00F913E2"/>
    <w:rsid w:val="00F92542"/>
    <w:rsid w:val="00F925FD"/>
    <w:rsid w:val="00F94065"/>
    <w:rsid w:val="00F9424A"/>
    <w:rsid w:val="00F94437"/>
    <w:rsid w:val="00F94956"/>
    <w:rsid w:val="00F94F44"/>
    <w:rsid w:val="00FA0A65"/>
    <w:rsid w:val="00FA0C7E"/>
    <w:rsid w:val="00FA136A"/>
    <w:rsid w:val="00FA20F4"/>
    <w:rsid w:val="00FA2B6B"/>
    <w:rsid w:val="00FA3BF3"/>
    <w:rsid w:val="00FA481D"/>
    <w:rsid w:val="00FA5A36"/>
    <w:rsid w:val="00FA6789"/>
    <w:rsid w:val="00FA7137"/>
    <w:rsid w:val="00FA7686"/>
    <w:rsid w:val="00FA7CF4"/>
    <w:rsid w:val="00FB0B13"/>
    <w:rsid w:val="00FB2E52"/>
    <w:rsid w:val="00FB33FA"/>
    <w:rsid w:val="00FB38E0"/>
    <w:rsid w:val="00FB4D8F"/>
    <w:rsid w:val="00FB5800"/>
    <w:rsid w:val="00FB6D4C"/>
    <w:rsid w:val="00FB70D6"/>
    <w:rsid w:val="00FC320E"/>
    <w:rsid w:val="00FC3CCB"/>
    <w:rsid w:val="00FC4331"/>
    <w:rsid w:val="00FC49B7"/>
    <w:rsid w:val="00FC4BD5"/>
    <w:rsid w:val="00FC4FCE"/>
    <w:rsid w:val="00FC65BD"/>
    <w:rsid w:val="00FC6660"/>
    <w:rsid w:val="00FD0A86"/>
    <w:rsid w:val="00FD256D"/>
    <w:rsid w:val="00FD336E"/>
    <w:rsid w:val="00FD3A2A"/>
    <w:rsid w:val="00FD4058"/>
    <w:rsid w:val="00FD4071"/>
    <w:rsid w:val="00FD4681"/>
    <w:rsid w:val="00FD50BF"/>
    <w:rsid w:val="00FE01F5"/>
    <w:rsid w:val="00FE27A6"/>
    <w:rsid w:val="00FE2CF8"/>
    <w:rsid w:val="00FE3051"/>
    <w:rsid w:val="00FE30FB"/>
    <w:rsid w:val="00FE3A8E"/>
    <w:rsid w:val="00FE3D01"/>
    <w:rsid w:val="00FE5016"/>
    <w:rsid w:val="00FE5A71"/>
    <w:rsid w:val="00FE6BFB"/>
    <w:rsid w:val="00FE7914"/>
    <w:rsid w:val="00FE79C8"/>
    <w:rsid w:val="00FF07DE"/>
    <w:rsid w:val="00FF2661"/>
    <w:rsid w:val="00FF2EBC"/>
    <w:rsid w:val="00FF3A84"/>
    <w:rsid w:val="00FF3A9F"/>
    <w:rsid w:val="00FF4D25"/>
    <w:rsid w:val="00FF5D86"/>
    <w:rsid w:val="00FF6577"/>
    <w:rsid w:val="00FF71B7"/>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4750A"/>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F4259B"/>
    <w:pPr>
      <w:keepNext/>
      <w:spacing w:before="240" w:after="60"/>
      <w:outlineLvl w:val="1"/>
    </w:pPr>
    <w:rPr>
      <w:rFonts w:cs="Arial"/>
      <w:b/>
      <w:bCs/>
      <w:i/>
      <w:iCs/>
      <w:szCs w:val="28"/>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aliases w:val="(Sub-section Nos)"/>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aliases w:val="(Subsubsection Nos)"/>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0B447C"/>
    <w:rPr>
      <w:rFonts w:ascii="Arial" w:hAnsi="Arial" w:cs="Arial"/>
      <w:b/>
      <w:bCs/>
      <w:i/>
      <w:iCs/>
      <w:sz w:val="21"/>
      <w:szCs w:val="28"/>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0B447C"/>
    <w:rPr>
      <w:rFonts w:ascii="Arial Narrow" w:hAnsi="Arial Narrow"/>
      <w:b/>
      <w:bCs/>
      <w:i/>
      <w:sz w:val="24"/>
      <w:szCs w:val="26"/>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0B447C"/>
    <w:rPr>
      <w:rFonts w:ascii="Arial Narrow" w:hAnsi="Arial Narrow"/>
      <w:bCs/>
      <w:i/>
      <w:sz w:val="24"/>
      <w:szCs w:val="28"/>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0B447C"/>
    <w:rPr>
      <w:sz w:val="22"/>
      <w:szCs w:val="24"/>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0B447C"/>
    <w:rPr>
      <w:i/>
      <w:sz w:val="22"/>
      <w:szCs w:val="24"/>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0B447C"/>
    <w:rPr>
      <w:szCs w:val="24"/>
    </w:rPr>
  </w:style>
  <w:style w:type="character" w:customStyle="1" w:styleId="Heading8Char">
    <w:name w:val="Heading 8 Char"/>
    <w:aliases w:val="(Sub-section Nos) Char"/>
    <w:basedOn w:val="DefaultParagraphFont"/>
    <w:link w:val="Heading8"/>
    <w:rsid w:val="000B447C"/>
    <w:rPr>
      <w:i/>
      <w:szCs w:val="24"/>
    </w:rPr>
  </w:style>
  <w:style w:type="character" w:customStyle="1" w:styleId="Heading9Char">
    <w:name w:val="Heading 9 Char"/>
    <w:aliases w:val="(Subsubsection Nos)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customStyle="1" w:styleId="AGRHeading1">
    <w:name w:val="AGR Heading 1"/>
    <w:next w:val="AGRBodyText"/>
    <w:autoRedefine/>
    <w:rsid w:val="00C67DA8"/>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13400B"/>
    <w:pPr>
      <w:keepLines/>
      <w:spacing w:after="120" w:line="300" w:lineRule="exact"/>
      <w:ind w:left="851"/>
    </w:pPr>
    <w:rPr>
      <w:rFonts w:ascii="Arial" w:hAnsi="Arial" w:cs="Arial"/>
      <w:noProof/>
      <w:color w:val="000000" w:themeColor="text1"/>
      <w:lang w:val="en-US"/>
    </w:rPr>
  </w:style>
  <w:style w:type="character" w:customStyle="1" w:styleId="AGRBodyTextChar">
    <w:name w:val="AGR Body Text Char"/>
    <w:basedOn w:val="DefaultParagraphFont"/>
    <w:link w:val="AGRBodyText"/>
    <w:rsid w:val="0013400B"/>
    <w:rPr>
      <w:rFonts w:ascii="Arial" w:hAnsi="Arial" w:cs="Arial"/>
      <w:noProof/>
      <w:color w:val="000000" w:themeColor="text1"/>
      <w:lang w:val="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9E5CE6"/>
    <w:pPr>
      <w:numPr>
        <w:numId w:val="8"/>
      </w:numPr>
      <w:tabs>
        <w:tab w:val="left" w:pos="2127"/>
      </w:tabs>
    </w:pPr>
    <w:rPr>
      <w:szCs w:val="24"/>
    </w:rPr>
  </w:style>
  <w:style w:type="character" w:customStyle="1" w:styleId="AGRBulletTextCharChar">
    <w:name w:val="AGR Bullet Text Char Char"/>
    <w:basedOn w:val="AGRBodyTextChar"/>
    <w:link w:val="AGRBulletText"/>
    <w:rsid w:val="009E5CE6"/>
    <w:rPr>
      <w:rFonts w:ascii="Arial" w:hAnsi="Arial" w:cs="Arial"/>
      <w:noProof/>
      <w:color w:val="000000" w:themeColor="text1"/>
      <w:szCs w:val="24"/>
      <w:lang w:val="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link w:val="AGRHeading3Char"/>
    <w:autoRedefine/>
    <w:rsid w:val="00C708C3"/>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AD0379"/>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7"/>
      </w:numPr>
      <w:pBdr>
        <w:bottom w:val="single" w:sz="2" w:space="4" w:color="auto"/>
      </w:pBdr>
    </w:pPr>
    <w:rPr>
      <w:i/>
      <w:iCs/>
      <w:szCs w:val="19"/>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uiPriority w:val="99"/>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Normal"/>
    <w:link w:val="BodyTextIndentChar"/>
    <w:rsid w:val="00F77ED6"/>
    <w:pPr>
      <w:keepLines w:val="0"/>
      <w:overflowPunct w:val="0"/>
      <w:autoSpaceDE w:val="0"/>
      <w:autoSpaceDN w:val="0"/>
      <w:adjustRightInd w:val="0"/>
      <w:spacing w:line="240" w:lineRule="auto"/>
      <w:ind w:left="425"/>
      <w:textAlignment w:val="baseline"/>
    </w:pPr>
    <w:rPr>
      <w:rFonts w:ascii="Times New Roman" w:hAnsi="Times New Roman"/>
      <w:sz w:val="24"/>
      <w:szCs w:val="20"/>
      <w:lang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Normal"/>
    <w:rsid w:val="00F77ED6"/>
    <w:pPr>
      <w:keepLines w:val="0"/>
      <w:numPr>
        <w:numId w:val="2"/>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Normal"/>
    <w:next w:val="Normal"/>
    <w:autoRedefine/>
    <w:rsid w:val="00F77ED6"/>
    <w:pPr>
      <w:keepLines w:val="0"/>
      <w:tabs>
        <w:tab w:val="left" w:pos="284"/>
        <w:tab w:val="left" w:pos="1134"/>
      </w:tabs>
      <w:spacing w:after="0" w:line="240" w:lineRule="auto"/>
      <w:ind w:left="-108"/>
    </w:pPr>
    <w:rPr>
      <w:rFonts w:ascii="Arial Narrow" w:hAnsi="Arial Narrow"/>
      <w:b/>
      <w:sz w:val="22"/>
      <w:szCs w:val="22"/>
      <w:lang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Normal"/>
    <w:rsid w:val="00F77ED6"/>
    <w:pPr>
      <w:keepLines w:val="0"/>
      <w:numPr>
        <w:numId w:val="3"/>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Alpha">
    <w:name w:val="List Alpha"/>
    <w:basedOn w:val="Normal"/>
    <w:rsid w:val="00F77ED6"/>
    <w:pPr>
      <w:keepLines w:val="0"/>
      <w:numPr>
        <w:numId w:val="4"/>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Roman">
    <w:name w:val="List Roman"/>
    <w:basedOn w:val="Normal"/>
    <w:rsid w:val="00F77ED6"/>
    <w:pPr>
      <w:keepLines w:val="0"/>
      <w:numPr>
        <w:numId w:val="5"/>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6"/>
      </w:numPr>
      <w:tabs>
        <w:tab w:val="left" w:pos="1980"/>
      </w:tabs>
      <w:spacing w:after="140" w:line="240" w:lineRule="atLeast"/>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 w:type="paragraph" w:styleId="ListParagraph">
    <w:name w:val="List Paragraph"/>
    <w:basedOn w:val="Normal"/>
    <w:uiPriority w:val="34"/>
    <w:qFormat/>
    <w:rsid w:val="00BB203E"/>
    <w:pPr>
      <w:keepLines w:val="0"/>
      <w:spacing w:after="0" w:line="240" w:lineRule="auto"/>
      <w:ind w:left="720"/>
    </w:pPr>
    <w:rPr>
      <w:rFonts w:ascii="Times New Roman" w:hAnsi="Times New Roman"/>
      <w:sz w:val="24"/>
      <w:szCs w:val="24"/>
    </w:rPr>
  </w:style>
  <w:style w:type="paragraph" w:styleId="Header">
    <w:name w:val="header"/>
    <w:basedOn w:val="Normal"/>
    <w:link w:val="HeaderChar"/>
    <w:rsid w:val="00C708C3"/>
    <w:pPr>
      <w:tabs>
        <w:tab w:val="center" w:pos="4153"/>
        <w:tab w:val="right" w:pos="8306"/>
      </w:tabs>
    </w:pPr>
  </w:style>
  <w:style w:type="character" w:customStyle="1" w:styleId="HeaderChar">
    <w:name w:val="Header Char"/>
    <w:basedOn w:val="DefaultParagraphFont"/>
    <w:link w:val="Header"/>
    <w:rsid w:val="00C708C3"/>
    <w:rPr>
      <w:rFonts w:ascii="Arial" w:hAnsi="Arial"/>
      <w:sz w:val="21"/>
      <w:szCs w:val="21"/>
      <w:lang w:eastAsia="en-US"/>
    </w:rPr>
  </w:style>
  <w:style w:type="character" w:styleId="FootnoteReference">
    <w:name w:val="footnote reference"/>
    <w:rsid w:val="007B1B9B"/>
    <w:rPr>
      <w:vertAlign w:val="superscript"/>
    </w:rPr>
  </w:style>
  <w:style w:type="paragraph" w:styleId="Revision">
    <w:name w:val="Revision"/>
    <w:hidden/>
    <w:uiPriority w:val="99"/>
    <w:semiHidden/>
    <w:rsid w:val="00520280"/>
    <w:rPr>
      <w:rFonts w:ascii="Arial" w:hAnsi="Arial"/>
      <w:sz w:val="21"/>
      <w:szCs w:val="21"/>
      <w:lang w:eastAsia="en-US"/>
    </w:rPr>
  </w:style>
  <w:style w:type="paragraph" w:customStyle="1" w:styleId="StyleAGRBodyCommentJustifiedLeft0cmPatternClearBa">
    <w:name w:val="Style AGR Body Comment + Justified Left:  0 cm Pattern: Clear (Ba..."/>
    <w:basedOn w:val="Normal"/>
    <w:rsid w:val="00406BEC"/>
    <w:pPr>
      <w:ind w:left="0"/>
    </w:pPr>
    <w:rPr>
      <w:i/>
      <w:iCs/>
      <w:sz w:val="22"/>
      <w:szCs w:val="20"/>
      <w:lang w:eastAsia="en-AU"/>
    </w:rPr>
  </w:style>
  <w:style w:type="paragraph" w:customStyle="1" w:styleId="StyleAGRHeadingCommentJustifiedLeft0cm">
    <w:name w:val="Style AGR Heading Comment + Justified Left:  0 cm"/>
    <w:basedOn w:val="Normal"/>
    <w:rsid w:val="00406BEC"/>
    <w:pPr>
      <w:keepLines w:val="0"/>
      <w:spacing w:before="240" w:after="60" w:line="280" w:lineRule="exact"/>
      <w:ind w:left="0"/>
      <w:jc w:val="both"/>
    </w:pPr>
    <w:rPr>
      <w:rFonts w:ascii="Arial Bold" w:hAnsi="Arial Bold"/>
      <w:b/>
      <w:bCs/>
      <w:szCs w:val="20"/>
      <w:lang w:val="en-US"/>
    </w:rPr>
  </w:style>
  <w:style w:type="paragraph" w:customStyle="1" w:styleId="Heading-L1">
    <w:name w:val="Heading - L1"/>
    <w:basedOn w:val="Normal"/>
    <w:rsid w:val="00D3136D"/>
    <w:pPr>
      <w:keepLines w:val="0"/>
      <w:pageBreakBefore/>
      <w:pBdr>
        <w:top w:val="single" w:sz="12" w:space="1" w:color="auto"/>
        <w:left w:val="single" w:sz="12" w:space="4" w:color="auto"/>
        <w:bottom w:val="single" w:sz="12" w:space="1" w:color="auto"/>
        <w:right w:val="single" w:sz="12" w:space="4" w:color="auto"/>
      </w:pBdr>
      <w:shd w:val="pct12" w:color="auto" w:fill="FFFFFF"/>
      <w:spacing w:after="600"/>
      <w:ind w:left="0"/>
      <w:jc w:val="center"/>
    </w:pPr>
    <w:rPr>
      <w:b/>
      <w:sz w:val="32"/>
    </w:rPr>
  </w:style>
  <w:style w:type="paragraph" w:customStyle="1" w:styleId="Heading-L3">
    <w:name w:val="Heading - L3"/>
    <w:basedOn w:val="Normal"/>
    <w:next w:val="Normal"/>
    <w:rsid w:val="00D3136D"/>
    <w:pPr>
      <w:keepLines w:val="0"/>
      <w:ind w:left="0"/>
      <w:jc w:val="both"/>
    </w:pPr>
    <w:rPr>
      <w:b/>
      <w:sz w:val="32"/>
    </w:rPr>
  </w:style>
  <w:style w:type="paragraph" w:customStyle="1" w:styleId="Heading-L2">
    <w:name w:val="Heading - L2"/>
    <w:basedOn w:val="Heading-L3"/>
    <w:rsid w:val="00D3136D"/>
    <w:rPr>
      <w:bCs/>
      <w:i/>
      <w:iCs/>
    </w:rPr>
  </w:style>
  <w:style w:type="paragraph" w:customStyle="1" w:styleId="Heading-L5">
    <w:name w:val="Heading - L5"/>
    <w:basedOn w:val="Normal"/>
    <w:next w:val="Normal"/>
    <w:link w:val="Heading-L5Char"/>
    <w:rsid w:val="00D3136D"/>
    <w:pPr>
      <w:keepLines w:val="0"/>
      <w:ind w:left="0"/>
    </w:pPr>
    <w:rPr>
      <w:b/>
    </w:rPr>
  </w:style>
  <w:style w:type="character" w:customStyle="1" w:styleId="Heading-L5Char">
    <w:name w:val="Heading - L5 Char"/>
    <w:basedOn w:val="DefaultParagraphFont"/>
    <w:link w:val="Heading-L5"/>
    <w:rsid w:val="00D3136D"/>
    <w:rPr>
      <w:rFonts w:ascii="Arial" w:hAnsi="Arial"/>
      <w:b/>
      <w:sz w:val="21"/>
      <w:szCs w:val="21"/>
      <w:lang w:eastAsia="en-US"/>
    </w:rPr>
  </w:style>
  <w:style w:type="paragraph" w:customStyle="1" w:styleId="BulletLeader">
    <w:name w:val="Bullet Leader"/>
    <w:basedOn w:val="BulletedBody"/>
    <w:next w:val="BulletedBody"/>
    <w:rsid w:val="00D3136D"/>
    <w:pPr>
      <w:numPr>
        <w:numId w:val="0"/>
      </w:numPr>
      <w:spacing w:after="120" w:line="240" w:lineRule="auto"/>
    </w:pPr>
  </w:style>
  <w:style w:type="paragraph" w:customStyle="1" w:styleId="QualificationStyle">
    <w:name w:val="Qualification Style"/>
    <w:basedOn w:val="Normal"/>
    <w:next w:val="Normal"/>
    <w:rsid w:val="00D3136D"/>
    <w:pPr>
      <w:keepLines w:val="0"/>
      <w:ind w:left="510" w:right="340" w:hanging="170"/>
      <w:jc w:val="both"/>
    </w:pPr>
    <w:rPr>
      <w:i/>
    </w:rPr>
  </w:style>
  <w:style w:type="paragraph" w:customStyle="1" w:styleId="KeyFinding">
    <w:name w:val="Key Finding"/>
    <w:basedOn w:val="Heading-L5"/>
    <w:rsid w:val="00D3136D"/>
    <w:rPr>
      <w:sz w:val="28"/>
    </w:rPr>
  </w:style>
  <w:style w:type="paragraph" w:customStyle="1" w:styleId="Heading-L4">
    <w:name w:val="Heading - L4"/>
    <w:basedOn w:val="Heading-L5"/>
    <w:rsid w:val="00D3136D"/>
    <w:pPr>
      <w:spacing w:before="240"/>
    </w:pPr>
  </w:style>
  <w:style w:type="paragraph" w:customStyle="1" w:styleId="BulletedFinal">
    <w:name w:val="Bulleted Final"/>
    <w:basedOn w:val="BulletedBody"/>
    <w:next w:val="Normal"/>
    <w:rsid w:val="00D3136D"/>
    <w:pPr>
      <w:spacing w:after="240"/>
    </w:pPr>
  </w:style>
  <w:style w:type="character" w:customStyle="1" w:styleId="AGRHeading3Char">
    <w:name w:val="AGR Heading 3 Char"/>
    <w:basedOn w:val="DefaultParagraphFont"/>
    <w:link w:val="AGRHeading3"/>
    <w:rsid w:val="00D3136D"/>
    <w:rPr>
      <w:rFonts w:ascii="Arial" w:hAnsi="Arial" w:cs="Arial"/>
      <w:b/>
      <w:color w:val="808080"/>
      <w:w w:val="90"/>
      <w:sz w:val="24"/>
      <w:szCs w:val="19"/>
      <w:lang w:eastAsia="en-US"/>
    </w:rPr>
  </w:style>
  <w:style w:type="paragraph" w:customStyle="1" w:styleId="AGRDashText">
    <w:name w:val="AGR Dash Text"/>
    <w:basedOn w:val="AGRBulletText"/>
    <w:rsid w:val="00D3136D"/>
    <w:pPr>
      <w:numPr>
        <w:ilvl w:val="1"/>
        <w:numId w:val="10"/>
      </w:numPr>
    </w:pPr>
    <w:rPr>
      <w:noProof w:val="0"/>
      <w:sz w:val="22"/>
      <w:szCs w:val="21"/>
      <w:lang w:val="en-AU" w:eastAsia="en-US"/>
    </w:rPr>
  </w:style>
  <w:style w:type="paragraph" w:customStyle="1" w:styleId="AGRLetterText">
    <w:name w:val="AGR Letter Text"/>
    <w:basedOn w:val="AGRBodyText"/>
    <w:rsid w:val="00D3136D"/>
    <w:pPr>
      <w:spacing w:line="280" w:lineRule="exact"/>
    </w:pPr>
    <w:rPr>
      <w:noProof w:val="0"/>
      <w:sz w:val="22"/>
      <w:szCs w:val="22"/>
      <w:lang w:val="en-AU" w:eastAsia="en-US"/>
    </w:rPr>
  </w:style>
  <w:style w:type="paragraph" w:customStyle="1" w:styleId="AGRHeading2NoBold">
    <w:name w:val="AGR Heading 2 No Bold"/>
    <w:basedOn w:val="AGRHeading2"/>
    <w:autoRedefine/>
    <w:rsid w:val="00D3136D"/>
    <w:pPr>
      <w:spacing w:before="60"/>
    </w:pPr>
  </w:style>
  <w:style w:type="paragraph" w:customStyle="1" w:styleId="AGRBodyTextIndent">
    <w:name w:val="AGR Body Text Indent"/>
    <w:basedOn w:val="AGRBodyText"/>
    <w:rsid w:val="00D3136D"/>
    <w:pPr>
      <w:ind w:left="1134" w:right="284"/>
    </w:pPr>
    <w:rPr>
      <w:noProof w:val="0"/>
      <w:sz w:val="22"/>
      <w:szCs w:val="22"/>
      <w:lang w:val="en-AU" w:eastAsia="en-US"/>
    </w:rPr>
  </w:style>
  <w:style w:type="paragraph" w:customStyle="1" w:styleId="AGRTOC2">
    <w:name w:val="AGR TOC2"/>
    <w:basedOn w:val="AGRTOC"/>
    <w:rsid w:val="00D3136D"/>
    <w:pPr>
      <w:keepLines w:val="0"/>
      <w:tabs>
        <w:tab w:val="left" w:pos="1985"/>
        <w:tab w:val="left" w:pos="8505"/>
      </w:tabs>
    </w:pPr>
    <w:rPr>
      <w:rFonts w:cs="Arial"/>
      <w:b w:val="0"/>
      <w:noProof/>
      <w:sz w:val="20"/>
      <w:szCs w:val="20"/>
    </w:rPr>
  </w:style>
  <w:style w:type="paragraph" w:customStyle="1" w:styleId="StyleAGRHeading2NoBoldBold">
    <w:name w:val="Style AGR Heading 2 No Bold + Bold"/>
    <w:basedOn w:val="AGRHeading2NoBold"/>
    <w:autoRedefine/>
    <w:rsid w:val="00D3136D"/>
    <w:pPr>
      <w:spacing w:before="120"/>
    </w:pPr>
    <w:rPr>
      <w:bCs/>
    </w:rPr>
  </w:style>
  <w:style w:type="paragraph" w:customStyle="1" w:styleId="AGRHeading5">
    <w:name w:val="AGR Heading 5"/>
    <w:basedOn w:val="AGRBodyText"/>
    <w:rsid w:val="00D3136D"/>
    <w:rPr>
      <w:noProof w:val="0"/>
      <w:sz w:val="28"/>
      <w:szCs w:val="22"/>
      <w:lang w:val="en-AU" w:eastAsia="en-US"/>
    </w:rPr>
  </w:style>
  <w:style w:type="paragraph" w:customStyle="1" w:styleId="StyleTableText10ptBold">
    <w:name w:val="Style Table Text + 10 pt Bold"/>
    <w:basedOn w:val="Normal"/>
    <w:rsid w:val="00D3136D"/>
    <w:pPr>
      <w:keepLines w:val="0"/>
      <w:spacing w:after="100"/>
      <w:ind w:left="0"/>
    </w:pPr>
    <w:rPr>
      <w:b/>
      <w:bCs/>
      <w:sz w:val="20"/>
    </w:rPr>
  </w:style>
  <w:style w:type="paragraph" w:customStyle="1" w:styleId="StyleTableText10ptBold1">
    <w:name w:val="Style Table Text + 10 pt Bold1"/>
    <w:basedOn w:val="Normal"/>
    <w:rsid w:val="00D3136D"/>
    <w:pPr>
      <w:keepLines w:val="0"/>
      <w:spacing w:after="100"/>
      <w:ind w:left="0"/>
    </w:pPr>
    <w:rPr>
      <w:b/>
      <w:bCs/>
      <w:sz w:val="20"/>
    </w:rPr>
  </w:style>
  <w:style w:type="paragraph" w:customStyle="1" w:styleId="CharChar">
    <w:name w:val="Char Char"/>
    <w:basedOn w:val="Normal"/>
    <w:rsid w:val="00D3136D"/>
    <w:pPr>
      <w:keepLines w:val="0"/>
      <w:spacing w:after="160" w:line="240" w:lineRule="exact"/>
      <w:ind w:left="0"/>
    </w:pPr>
    <w:rPr>
      <w:rFonts w:ascii="Verdana" w:hAnsi="Verdana"/>
      <w:sz w:val="20"/>
      <w:szCs w:val="20"/>
      <w:lang w:val="en-US"/>
    </w:rPr>
  </w:style>
  <w:style w:type="paragraph" w:customStyle="1" w:styleId="keyfindings">
    <w:name w:val="keyfindings"/>
    <w:basedOn w:val="Normal"/>
    <w:rsid w:val="00D3136D"/>
    <w:pPr>
      <w:keepLines w:val="0"/>
      <w:spacing w:before="40" w:line="240" w:lineRule="auto"/>
      <w:ind w:left="709" w:right="522" w:hanging="425"/>
      <w:jc w:val="both"/>
    </w:pPr>
    <w:rPr>
      <w:rFonts w:ascii="Times New Roman" w:hAnsi="Times New Roman"/>
      <w:b/>
      <w:sz w:val="28"/>
      <w:szCs w:val="20"/>
    </w:rPr>
  </w:style>
  <w:style w:type="paragraph" w:customStyle="1" w:styleId="SecondHeading">
    <w:name w:val="SecondHeading"/>
    <w:basedOn w:val="Normal"/>
    <w:rsid w:val="00D3136D"/>
    <w:pPr>
      <w:keepLines w:val="0"/>
      <w:pBdr>
        <w:top w:val="single" w:sz="12" w:space="1" w:color="auto"/>
        <w:left w:val="single" w:sz="12" w:space="4" w:color="auto"/>
        <w:bottom w:val="single" w:sz="12" w:space="1" w:color="auto"/>
        <w:right w:val="single" w:sz="12" w:space="4" w:color="auto"/>
      </w:pBdr>
      <w:shd w:val="pct12" w:color="auto" w:fill="FFFFFF"/>
      <w:spacing w:after="360" w:line="240" w:lineRule="auto"/>
      <w:ind w:left="0"/>
      <w:jc w:val="center"/>
    </w:pPr>
    <w:rPr>
      <w:rFonts w:ascii="Times New Roman" w:hAnsi="Times New Roman"/>
      <w:b/>
      <w:sz w:val="28"/>
      <w:szCs w:val="20"/>
    </w:rPr>
  </w:style>
  <w:style w:type="paragraph" w:customStyle="1" w:styleId="TxBrp11">
    <w:name w:val="TxBr_p11"/>
    <w:basedOn w:val="Normal"/>
    <w:rsid w:val="00D3136D"/>
    <w:pPr>
      <w:keepLines w:val="0"/>
      <w:widowControl w:val="0"/>
      <w:tabs>
        <w:tab w:val="left" w:pos="2103"/>
      </w:tabs>
      <w:autoSpaceDE w:val="0"/>
      <w:autoSpaceDN w:val="0"/>
      <w:adjustRightInd w:val="0"/>
      <w:spacing w:after="0" w:line="283" w:lineRule="atLeast"/>
      <w:ind w:left="2103" w:hanging="1752"/>
    </w:pPr>
    <w:rPr>
      <w:rFonts w:ascii="Times New Roman" w:hAnsi="Times New Roman"/>
      <w:sz w:val="24"/>
      <w:szCs w:val="20"/>
    </w:rPr>
  </w:style>
  <w:style w:type="paragraph" w:customStyle="1" w:styleId="TxBrp14">
    <w:name w:val="TxBr_p14"/>
    <w:basedOn w:val="Normal"/>
    <w:rsid w:val="00D3136D"/>
    <w:pPr>
      <w:keepLines w:val="0"/>
      <w:widowControl w:val="0"/>
      <w:tabs>
        <w:tab w:val="left" w:pos="515"/>
      </w:tabs>
      <w:spacing w:after="0" w:line="283" w:lineRule="atLeast"/>
      <w:ind w:left="1112"/>
      <w:jc w:val="both"/>
    </w:pPr>
    <w:rPr>
      <w:rFonts w:ascii="Times New Roman" w:hAnsi="Times New Roman"/>
      <w:sz w:val="24"/>
      <w:szCs w:val="20"/>
    </w:rPr>
  </w:style>
  <w:style w:type="paragraph" w:customStyle="1" w:styleId="TxBrp17">
    <w:name w:val="TxBr_p17"/>
    <w:basedOn w:val="Normal"/>
    <w:rsid w:val="00D3136D"/>
    <w:pPr>
      <w:keepLines w:val="0"/>
      <w:widowControl w:val="0"/>
      <w:spacing w:after="0" w:line="240" w:lineRule="atLeast"/>
      <w:ind w:left="1083"/>
      <w:jc w:val="both"/>
    </w:pPr>
    <w:rPr>
      <w:rFonts w:ascii="Times New Roman" w:hAnsi="Times New Roman"/>
      <w:sz w:val="24"/>
      <w:szCs w:val="20"/>
    </w:rPr>
  </w:style>
  <w:style w:type="paragraph" w:customStyle="1" w:styleId="TxBrp18">
    <w:name w:val="TxBr_p18"/>
    <w:basedOn w:val="Normal"/>
    <w:rsid w:val="00D3136D"/>
    <w:pPr>
      <w:keepLines w:val="0"/>
      <w:widowControl w:val="0"/>
      <w:tabs>
        <w:tab w:val="left" w:pos="515"/>
        <w:tab w:val="left" w:pos="986"/>
      </w:tabs>
      <w:spacing w:after="0" w:line="283" w:lineRule="atLeast"/>
      <w:ind w:left="986" w:hanging="471"/>
      <w:jc w:val="both"/>
    </w:pPr>
    <w:rPr>
      <w:rFonts w:ascii="Times New Roman" w:hAnsi="Times New Roman"/>
      <w:sz w:val="24"/>
      <w:szCs w:val="20"/>
    </w:rPr>
  </w:style>
  <w:style w:type="paragraph" w:customStyle="1" w:styleId="TxBrp3">
    <w:name w:val="TxBr_p3"/>
    <w:basedOn w:val="Normal"/>
    <w:rsid w:val="00D3136D"/>
    <w:pPr>
      <w:keepLines w:val="0"/>
      <w:widowControl w:val="0"/>
      <w:tabs>
        <w:tab w:val="left" w:pos="204"/>
      </w:tabs>
      <w:spacing w:after="0" w:line="283" w:lineRule="atLeast"/>
      <w:ind w:left="0"/>
    </w:pPr>
    <w:rPr>
      <w:rFonts w:ascii="Times New Roman" w:hAnsi="Times New Roman"/>
      <w:sz w:val="24"/>
      <w:szCs w:val="20"/>
    </w:rPr>
  </w:style>
  <w:style w:type="paragraph" w:customStyle="1" w:styleId="TxBrp6">
    <w:name w:val="TxBr_p6"/>
    <w:basedOn w:val="Normal"/>
    <w:rsid w:val="00D3136D"/>
    <w:pPr>
      <w:keepLines w:val="0"/>
      <w:widowControl w:val="0"/>
      <w:tabs>
        <w:tab w:val="left" w:pos="345"/>
      </w:tabs>
      <w:autoSpaceDE w:val="0"/>
      <w:autoSpaceDN w:val="0"/>
      <w:adjustRightInd w:val="0"/>
      <w:spacing w:after="0" w:line="272" w:lineRule="atLeast"/>
      <w:ind w:left="1638" w:hanging="345"/>
    </w:pPr>
    <w:rPr>
      <w:rFonts w:ascii="Times New Roman" w:hAnsi="Times New Roman"/>
      <w:sz w:val="24"/>
      <w:szCs w:val="20"/>
    </w:rPr>
  </w:style>
  <w:style w:type="paragraph" w:customStyle="1" w:styleId="TxBrp13">
    <w:name w:val="TxBr_p13"/>
    <w:basedOn w:val="Normal"/>
    <w:rsid w:val="00D3136D"/>
    <w:pPr>
      <w:keepLines w:val="0"/>
      <w:widowControl w:val="0"/>
      <w:tabs>
        <w:tab w:val="left" w:pos="204"/>
      </w:tabs>
      <w:spacing w:after="0" w:line="240" w:lineRule="atLeast"/>
      <w:ind w:left="0"/>
      <w:jc w:val="both"/>
    </w:pPr>
    <w:rPr>
      <w:rFonts w:ascii="Times New Roman" w:hAnsi="Times New Roman"/>
      <w:sz w:val="24"/>
      <w:szCs w:val="20"/>
    </w:rPr>
  </w:style>
  <w:style w:type="paragraph" w:customStyle="1" w:styleId="StandardText">
    <w:name w:val="StandardText"/>
    <w:basedOn w:val="Normal"/>
    <w:rsid w:val="00D3136D"/>
    <w:pPr>
      <w:keepLines w:val="0"/>
      <w:spacing w:after="0" w:line="240" w:lineRule="auto"/>
      <w:ind w:left="0"/>
    </w:pPr>
    <w:rPr>
      <w:rFonts w:ascii="Times New Roman" w:hAnsi="Times New Roman"/>
      <w:sz w:val="24"/>
      <w:szCs w:val="20"/>
    </w:rPr>
  </w:style>
  <w:style w:type="paragraph" w:customStyle="1" w:styleId="TxBrc14">
    <w:name w:val="TxBr_c14"/>
    <w:basedOn w:val="Normal"/>
    <w:rsid w:val="00D3136D"/>
    <w:pPr>
      <w:keepLines w:val="0"/>
      <w:widowControl w:val="0"/>
      <w:spacing w:after="0" w:line="240" w:lineRule="atLeast"/>
      <w:ind w:left="0"/>
      <w:jc w:val="center"/>
    </w:pPr>
    <w:rPr>
      <w:rFonts w:ascii="Times New Roman" w:hAnsi="Times New Roman"/>
      <w:sz w:val="24"/>
      <w:szCs w:val="20"/>
    </w:rPr>
  </w:style>
  <w:style w:type="paragraph" w:customStyle="1" w:styleId="Block">
    <w:name w:val="Block"/>
    <w:basedOn w:val="Normal"/>
    <w:rsid w:val="00D3136D"/>
    <w:pPr>
      <w:keepLines w:val="0"/>
      <w:spacing w:after="240" w:line="240" w:lineRule="auto"/>
    </w:pPr>
    <w:rPr>
      <w:rFonts w:ascii="Times New Roman" w:hAnsi="Times New Roman"/>
      <w:sz w:val="24"/>
      <w:szCs w:val="20"/>
    </w:rPr>
  </w:style>
  <w:style w:type="paragraph" w:customStyle="1" w:styleId="DocumentType">
    <w:name w:val="Document Type"/>
    <w:basedOn w:val="Normal"/>
    <w:rsid w:val="00D3136D"/>
    <w:pPr>
      <w:keepLines w:val="0"/>
      <w:spacing w:after="0" w:line="240" w:lineRule="auto"/>
      <w:ind w:left="0"/>
      <w:jc w:val="right"/>
    </w:pPr>
    <w:rPr>
      <w:b/>
      <w:sz w:val="32"/>
      <w:szCs w:val="20"/>
    </w:rPr>
  </w:style>
  <w:style w:type="paragraph" w:customStyle="1" w:styleId="Client">
    <w:name w:val="Client"/>
    <w:basedOn w:val="Normal"/>
    <w:next w:val="Normal"/>
    <w:rsid w:val="00D3136D"/>
    <w:pPr>
      <w:keepLines w:val="0"/>
      <w:pBdr>
        <w:bottom w:val="single" w:sz="6" w:space="1" w:color="auto"/>
      </w:pBdr>
      <w:spacing w:after="0" w:line="240" w:lineRule="auto"/>
      <w:ind w:left="0" w:right="5"/>
      <w:jc w:val="right"/>
    </w:pPr>
    <w:rPr>
      <w:b/>
      <w:sz w:val="28"/>
      <w:szCs w:val="20"/>
    </w:rPr>
  </w:style>
  <w:style w:type="paragraph" w:customStyle="1" w:styleId="ProjectName">
    <w:name w:val="Project Name"/>
    <w:basedOn w:val="Normal"/>
    <w:next w:val="Normal"/>
    <w:rsid w:val="00D3136D"/>
    <w:pPr>
      <w:keepLines w:val="0"/>
      <w:spacing w:after="0" w:line="240" w:lineRule="auto"/>
      <w:ind w:left="0"/>
      <w:jc w:val="right"/>
    </w:pPr>
    <w:rPr>
      <w:b/>
      <w:sz w:val="28"/>
      <w:szCs w:val="20"/>
    </w:rPr>
  </w:style>
  <w:style w:type="paragraph" w:customStyle="1" w:styleId="Caption1">
    <w:name w:val="Caption1"/>
    <w:basedOn w:val="Normal"/>
    <w:next w:val="Normal"/>
    <w:rsid w:val="00D3136D"/>
    <w:pPr>
      <w:keepLines w:val="0"/>
      <w:spacing w:before="120" w:after="0" w:line="240" w:lineRule="auto"/>
      <w:ind w:left="0"/>
      <w:jc w:val="both"/>
    </w:pPr>
    <w:rPr>
      <w:rFonts w:ascii="Times New Roman" w:hAnsi="Times New Roman"/>
      <w:color w:val="000000"/>
      <w:sz w:val="24"/>
      <w:szCs w:val="20"/>
    </w:rPr>
  </w:style>
  <w:style w:type="paragraph" w:customStyle="1" w:styleId="Section">
    <w:name w:val="Section"/>
    <w:basedOn w:val="Normal"/>
    <w:rsid w:val="00D3136D"/>
    <w:pPr>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ind w:left="0"/>
      <w:jc w:val="both"/>
    </w:pPr>
    <w:rPr>
      <w:rFonts w:ascii="Times New Roman" w:hAnsi="Times New Roman"/>
      <w:spacing w:val="-3"/>
      <w:sz w:val="26"/>
      <w:szCs w:val="20"/>
      <w:lang w:val="en-GB"/>
    </w:rPr>
  </w:style>
  <w:style w:type="paragraph" w:styleId="List2">
    <w:name w:val="List 2"/>
    <w:basedOn w:val="Normal"/>
    <w:rsid w:val="00D3136D"/>
    <w:pPr>
      <w:keepLines w:val="0"/>
      <w:spacing w:after="240" w:line="240" w:lineRule="auto"/>
      <w:ind w:left="566" w:hanging="283"/>
      <w:jc w:val="both"/>
    </w:pPr>
    <w:rPr>
      <w:rFonts w:ascii="Times New Roman" w:hAnsi="Times New Roman"/>
      <w:sz w:val="24"/>
      <w:szCs w:val="20"/>
    </w:rPr>
  </w:style>
  <w:style w:type="paragraph" w:styleId="Salutation">
    <w:name w:val="Salutation"/>
    <w:basedOn w:val="Normal"/>
    <w:next w:val="Normal"/>
    <w:link w:val="SalutationChar"/>
    <w:rsid w:val="00D3136D"/>
    <w:pPr>
      <w:keepLines w:val="0"/>
      <w:spacing w:after="240" w:line="240" w:lineRule="auto"/>
      <w:ind w:left="0"/>
      <w:jc w:val="both"/>
    </w:pPr>
    <w:rPr>
      <w:rFonts w:ascii="Times New Roman" w:hAnsi="Times New Roman"/>
      <w:sz w:val="24"/>
      <w:szCs w:val="20"/>
    </w:rPr>
  </w:style>
  <w:style w:type="character" w:customStyle="1" w:styleId="SalutationChar">
    <w:name w:val="Salutation Char"/>
    <w:basedOn w:val="DefaultParagraphFont"/>
    <w:link w:val="Salutation"/>
    <w:rsid w:val="00D3136D"/>
    <w:rPr>
      <w:sz w:val="24"/>
      <w:lang w:eastAsia="en-US"/>
    </w:rPr>
  </w:style>
  <w:style w:type="paragraph" w:styleId="Date">
    <w:name w:val="Date"/>
    <w:basedOn w:val="Normal"/>
    <w:next w:val="Normal"/>
    <w:link w:val="DateChar"/>
    <w:rsid w:val="00D3136D"/>
    <w:pPr>
      <w:keepLines w:val="0"/>
      <w:spacing w:after="240" w:line="240" w:lineRule="auto"/>
      <w:ind w:left="0"/>
      <w:jc w:val="both"/>
    </w:pPr>
    <w:rPr>
      <w:rFonts w:ascii="Times New Roman" w:hAnsi="Times New Roman"/>
      <w:sz w:val="24"/>
      <w:szCs w:val="20"/>
    </w:rPr>
  </w:style>
  <w:style w:type="character" w:customStyle="1" w:styleId="DateChar">
    <w:name w:val="Date Char"/>
    <w:basedOn w:val="DefaultParagraphFont"/>
    <w:link w:val="Date"/>
    <w:rsid w:val="00D3136D"/>
    <w:rPr>
      <w:sz w:val="24"/>
      <w:lang w:eastAsia="en-US"/>
    </w:rPr>
  </w:style>
  <w:style w:type="paragraph" w:styleId="ListContinue">
    <w:name w:val="List Continue"/>
    <w:basedOn w:val="Normal"/>
    <w:rsid w:val="00D3136D"/>
    <w:pPr>
      <w:keepLines w:val="0"/>
      <w:spacing w:line="240" w:lineRule="auto"/>
      <w:ind w:left="283"/>
      <w:jc w:val="both"/>
    </w:pPr>
    <w:rPr>
      <w:rFonts w:ascii="Times New Roman" w:hAnsi="Times New Roman"/>
      <w:sz w:val="24"/>
      <w:szCs w:val="20"/>
    </w:rPr>
  </w:style>
  <w:style w:type="paragraph" w:customStyle="1" w:styleId="step2">
    <w:name w:val="step 2"/>
    <w:basedOn w:val="Normal"/>
    <w:rsid w:val="00D3136D"/>
    <w:pPr>
      <w:spacing w:before="240" w:after="0" w:line="240" w:lineRule="atLeast"/>
      <w:ind w:left="567" w:right="-57" w:hanging="567"/>
    </w:pPr>
    <w:rPr>
      <w:rFonts w:ascii="Times New Roman" w:hAnsi="Times New Roman"/>
      <w:snapToGrid w:val="0"/>
      <w:color w:val="000000"/>
      <w:sz w:val="24"/>
      <w:szCs w:val="20"/>
    </w:rPr>
  </w:style>
  <w:style w:type="paragraph" w:customStyle="1" w:styleId="CGCTableHeading">
    <w:name w:val="CGC Table Heading"/>
    <w:basedOn w:val="Normal"/>
    <w:next w:val="Normal"/>
    <w:rsid w:val="00D3136D"/>
    <w:pPr>
      <w:keepNext/>
      <w:tabs>
        <w:tab w:val="left" w:pos="1440"/>
      </w:tabs>
      <w:spacing w:before="120" w:line="240" w:lineRule="atLeast"/>
      <w:ind w:left="1440" w:hanging="1440"/>
    </w:pPr>
    <w:rPr>
      <w:rFonts w:ascii="Times New Roman" w:hAnsi="Times New Roman"/>
      <w:b/>
      <w:bCs/>
      <w:sz w:val="24"/>
      <w:szCs w:val="24"/>
    </w:rPr>
  </w:style>
  <w:style w:type="paragraph" w:customStyle="1" w:styleId="BodyCopy">
    <w:name w:val="Body Copy"/>
    <w:rsid w:val="00D3136D"/>
    <w:pPr>
      <w:spacing w:before="120" w:line="240" w:lineRule="atLeast"/>
      <w:jc w:val="both"/>
    </w:pPr>
    <w:rPr>
      <w:color w:val="000000"/>
      <w:sz w:val="21"/>
      <w:lang w:val="en-US" w:eastAsia="en-US"/>
    </w:rPr>
  </w:style>
  <w:style w:type="paragraph" w:customStyle="1" w:styleId="p4">
    <w:name w:val="p4"/>
    <w:basedOn w:val="Normal"/>
    <w:rsid w:val="00D3136D"/>
    <w:pPr>
      <w:keepLines w:val="0"/>
      <w:widowControl w:val="0"/>
      <w:tabs>
        <w:tab w:val="left" w:pos="720"/>
      </w:tabs>
      <w:spacing w:after="0" w:line="260" w:lineRule="atLeast"/>
      <w:ind w:left="0"/>
    </w:pPr>
    <w:rPr>
      <w:rFonts w:ascii="Times New Roman" w:hAnsi="Times New Roman"/>
      <w:snapToGrid w:val="0"/>
      <w:sz w:val="24"/>
      <w:szCs w:val="20"/>
    </w:rPr>
  </w:style>
  <w:style w:type="paragraph" w:customStyle="1" w:styleId="CGCTableFootnote">
    <w:name w:val="CGC Table Footnote"/>
    <w:basedOn w:val="Heading2"/>
    <w:next w:val="Heading2"/>
    <w:rsid w:val="00D3136D"/>
    <w:pPr>
      <w:keepNext w:val="0"/>
      <w:keepLines w:val="0"/>
      <w:tabs>
        <w:tab w:val="left" w:pos="567"/>
        <w:tab w:val="left" w:pos="1440"/>
        <w:tab w:val="left" w:pos="2160"/>
        <w:tab w:val="left" w:pos="2880"/>
      </w:tabs>
      <w:spacing w:before="0" w:after="0" w:line="240" w:lineRule="auto"/>
      <w:ind w:left="0" w:right="-193"/>
    </w:pPr>
    <w:rPr>
      <w:rFonts w:ascii="Times" w:hAnsi="Times" w:cs="Times"/>
      <w:b w:val="0"/>
      <w:bCs w:val="0"/>
      <w:i w:val="0"/>
      <w:iCs w:val="0"/>
      <w:sz w:val="18"/>
      <w:szCs w:val="18"/>
    </w:rPr>
  </w:style>
  <w:style w:type="paragraph" w:customStyle="1" w:styleId="CGCsubBullet">
    <w:name w:val="CGC sub Bullet"/>
    <w:basedOn w:val="Normal"/>
    <w:rsid w:val="00D3136D"/>
    <w:pPr>
      <w:keepLines w:val="0"/>
      <w:numPr>
        <w:numId w:val="11"/>
      </w:numPr>
      <w:tabs>
        <w:tab w:val="left" w:pos="964"/>
        <w:tab w:val="left" w:pos="1440"/>
        <w:tab w:val="left" w:pos="2160"/>
        <w:tab w:val="left" w:pos="2880"/>
      </w:tabs>
      <w:spacing w:after="80" w:line="320" w:lineRule="atLeast"/>
      <w:ind w:right="607"/>
    </w:pPr>
    <w:rPr>
      <w:rFonts w:ascii="Times" w:hAnsi="Times" w:cs="Times"/>
      <w:sz w:val="22"/>
      <w:szCs w:val="22"/>
    </w:rPr>
  </w:style>
  <w:style w:type="paragraph" w:customStyle="1" w:styleId="CGCBulletlist">
    <w:name w:val="CGC Bullet list"/>
    <w:basedOn w:val="Normal"/>
    <w:rsid w:val="00D3136D"/>
    <w:pPr>
      <w:keepLines w:val="0"/>
      <w:numPr>
        <w:numId w:val="12"/>
      </w:numPr>
      <w:tabs>
        <w:tab w:val="left" w:pos="567"/>
        <w:tab w:val="left" w:pos="1134"/>
        <w:tab w:val="left" w:pos="1440"/>
        <w:tab w:val="left" w:pos="1701"/>
        <w:tab w:val="left" w:pos="2160"/>
        <w:tab w:val="left" w:pos="2268"/>
        <w:tab w:val="left" w:pos="2880"/>
      </w:tabs>
      <w:spacing w:before="80" w:after="80" w:line="320" w:lineRule="atLeast"/>
    </w:pPr>
    <w:rPr>
      <w:rFonts w:ascii="Times" w:hAnsi="Times" w:cs="Times"/>
      <w:sz w:val="22"/>
      <w:szCs w:val="22"/>
    </w:rPr>
  </w:style>
  <w:style w:type="paragraph" w:customStyle="1" w:styleId="StyleAGRTableTextCenteredLeft0cmHanging127cm">
    <w:name w:val="Style AGR Table Text + Centered Left:  0 cm Hanging:  1.27 cm"/>
    <w:basedOn w:val="AGRTableText"/>
    <w:rsid w:val="00D3136D"/>
    <w:pPr>
      <w:keepLines w:val="0"/>
      <w:spacing w:after="0"/>
      <w:jc w:val="center"/>
    </w:pPr>
    <w:rPr>
      <w:rFonts w:cs="Times New Roman"/>
    </w:rPr>
  </w:style>
  <w:style w:type="paragraph" w:customStyle="1" w:styleId="StyleAGRTableTextHanging127cm1">
    <w:name w:val="Style AGR Table Text Hanging:  1.27 cm1"/>
    <w:basedOn w:val="AGRTableText"/>
    <w:rsid w:val="00D3136D"/>
    <w:pPr>
      <w:keepLines w:val="0"/>
      <w:spacing w:after="0"/>
      <w:ind w:left="720" w:hanging="720"/>
    </w:pPr>
    <w:rPr>
      <w:rFonts w:cs="Times New Roman"/>
    </w:rPr>
  </w:style>
  <w:style w:type="paragraph" w:customStyle="1" w:styleId="AGRTableTextLeft127cm2">
    <w:name w:val="AGR Table Text + Left:  1.27 cm2"/>
    <w:basedOn w:val="AGRTableText"/>
    <w:rsid w:val="00D3136D"/>
    <w:pPr>
      <w:keepLines w:val="0"/>
      <w:spacing w:after="0"/>
      <w:ind w:left="720"/>
    </w:pPr>
    <w:rPr>
      <w:rFonts w:cs="Times New Roman"/>
    </w:rPr>
  </w:style>
  <w:style w:type="paragraph" w:customStyle="1" w:styleId="StyleAGRBodyTextItalic">
    <w:name w:val="Style AGR Body Text + Italic"/>
    <w:basedOn w:val="AGRBodyText"/>
    <w:rsid w:val="00D3136D"/>
    <w:rPr>
      <w:i/>
      <w:iCs/>
      <w:noProof w:val="0"/>
      <w:sz w:val="22"/>
      <w:szCs w:val="22"/>
      <w:lang w:val="en-AU" w:eastAsia="en-US"/>
    </w:rPr>
  </w:style>
  <w:style w:type="paragraph" w:customStyle="1" w:styleId="StyleAGRBodyCommentPatternClearBackground1">
    <w:name w:val="Style AGR Body Comment + Pattern: Clear (Background 1)"/>
    <w:basedOn w:val="AGRBodyComment"/>
    <w:rsid w:val="00D3136D"/>
    <w:pPr>
      <w:numPr>
        <w:numId w:val="0"/>
      </w:numPr>
      <w:pBdr>
        <w:bottom w:val="none" w:sz="0" w:space="0" w:color="auto"/>
      </w:pBdr>
      <w:shd w:val="clear" w:color="auto" w:fill="F2F2F2" w:themeFill="background1" w:themeFillShade="F2"/>
      <w:ind w:left="851"/>
    </w:pPr>
    <w:rPr>
      <w:rFonts w:cs="Times New Roman"/>
      <w:noProof w:val="0"/>
      <w:sz w:val="22"/>
      <w:szCs w:val="20"/>
      <w:lang w:val="en-AU"/>
    </w:rPr>
  </w:style>
  <w:style w:type="paragraph" w:customStyle="1" w:styleId="StyleStyleAGRBodyCommentPatternClearBackground1Just">
    <w:name w:val="Style Style AGR Body Comment + Pattern: Clear (Background 1) + Just..."/>
    <w:basedOn w:val="StyleAGRBodyCommentPatternClearBackground1"/>
    <w:rsid w:val="00D3136D"/>
    <w:pPr>
      <w:shd w:val="clear" w:color="auto" w:fill="auto"/>
      <w:ind w:left="0"/>
      <w:jc w:val="both"/>
    </w:pPr>
  </w:style>
  <w:style w:type="paragraph" w:customStyle="1" w:styleId="StyleAGRHeadingCommentJustifiedLeft0cm1">
    <w:name w:val="Style AGR Heading Comment + Justified Left:  0 cm1"/>
    <w:basedOn w:val="AGRHeadingComment"/>
    <w:rsid w:val="00D3136D"/>
    <w:pPr>
      <w:pBdr>
        <w:top w:val="none" w:sz="0" w:space="0" w:color="auto"/>
      </w:pBdr>
      <w:ind w:left="0"/>
      <w:jc w:val="both"/>
    </w:pPr>
    <w:rPr>
      <w:rFonts w:cs="Times New Roman"/>
      <w:bCs/>
      <w:iCs w:val="0"/>
      <w:szCs w:val="20"/>
    </w:rPr>
  </w:style>
  <w:style w:type="paragraph" w:customStyle="1" w:styleId="AGRBodyTextItalicLeft2cm">
    <w:name w:val="AGR Body Text + Italic Left:  2 cm"/>
    <w:basedOn w:val="AGRBodyText"/>
    <w:rsid w:val="00C64B1A"/>
    <w:pPr>
      <w:ind w:left="1134"/>
    </w:pPr>
    <w:rPr>
      <w:rFonts w:cs="Times New Roman"/>
      <w:i/>
      <w:iCs/>
      <w:noProof w:val="0"/>
      <w:color w:val="auto"/>
      <w:w w:val="90"/>
      <w:sz w:val="22"/>
      <w:lang w:val="en-AU" w:eastAsia="en-US"/>
    </w:rPr>
  </w:style>
  <w:style w:type="paragraph" w:customStyle="1" w:styleId="AGRHeadingCommentJustifiedLeft0cm">
    <w:name w:val="AGR Heading Comment + Justified Left:  0 cm"/>
    <w:basedOn w:val="AGRHeadingComment"/>
    <w:rsid w:val="00226D93"/>
    <w:pPr>
      <w:pBdr>
        <w:top w:val="none" w:sz="0" w:space="0" w:color="auto"/>
      </w:pBdr>
      <w:ind w:left="0"/>
      <w:jc w:val="both"/>
    </w:pPr>
    <w:rPr>
      <w:rFonts w:cs="Times New Roman"/>
      <w:bCs/>
      <w:iCs w:val="0"/>
      <w:szCs w:val="20"/>
    </w:rPr>
  </w:style>
  <w:style w:type="character" w:customStyle="1" w:styleId="tgc">
    <w:name w:val="_tgc"/>
    <w:basedOn w:val="DefaultParagraphFont"/>
    <w:rsid w:val="00393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4750A"/>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F4259B"/>
    <w:pPr>
      <w:keepNext/>
      <w:spacing w:before="240" w:after="60"/>
      <w:outlineLvl w:val="1"/>
    </w:pPr>
    <w:rPr>
      <w:rFonts w:cs="Arial"/>
      <w:b/>
      <w:bCs/>
      <w:i/>
      <w:iCs/>
      <w:szCs w:val="28"/>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aliases w:val="(Sub-section Nos)"/>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aliases w:val="(Subsubsection Nos)"/>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0B447C"/>
    <w:rPr>
      <w:rFonts w:ascii="Arial" w:hAnsi="Arial" w:cs="Arial"/>
      <w:b/>
      <w:bCs/>
      <w:i/>
      <w:iCs/>
      <w:sz w:val="21"/>
      <w:szCs w:val="28"/>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0B447C"/>
    <w:rPr>
      <w:rFonts w:ascii="Arial Narrow" w:hAnsi="Arial Narrow"/>
      <w:b/>
      <w:bCs/>
      <w:i/>
      <w:sz w:val="24"/>
      <w:szCs w:val="26"/>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0B447C"/>
    <w:rPr>
      <w:rFonts w:ascii="Arial Narrow" w:hAnsi="Arial Narrow"/>
      <w:bCs/>
      <w:i/>
      <w:sz w:val="24"/>
      <w:szCs w:val="28"/>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0B447C"/>
    <w:rPr>
      <w:sz w:val="22"/>
      <w:szCs w:val="24"/>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0B447C"/>
    <w:rPr>
      <w:i/>
      <w:sz w:val="22"/>
      <w:szCs w:val="24"/>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0B447C"/>
    <w:rPr>
      <w:szCs w:val="24"/>
    </w:rPr>
  </w:style>
  <w:style w:type="character" w:customStyle="1" w:styleId="Heading8Char">
    <w:name w:val="Heading 8 Char"/>
    <w:aliases w:val="(Sub-section Nos) Char"/>
    <w:basedOn w:val="DefaultParagraphFont"/>
    <w:link w:val="Heading8"/>
    <w:rsid w:val="000B447C"/>
    <w:rPr>
      <w:i/>
      <w:szCs w:val="24"/>
    </w:rPr>
  </w:style>
  <w:style w:type="character" w:customStyle="1" w:styleId="Heading9Char">
    <w:name w:val="Heading 9 Char"/>
    <w:aliases w:val="(Subsubsection Nos)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customStyle="1" w:styleId="AGRHeading1">
    <w:name w:val="AGR Heading 1"/>
    <w:next w:val="AGRBodyText"/>
    <w:autoRedefine/>
    <w:rsid w:val="00C67DA8"/>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13400B"/>
    <w:pPr>
      <w:keepLines/>
      <w:spacing w:after="120" w:line="300" w:lineRule="exact"/>
      <w:ind w:left="851"/>
    </w:pPr>
    <w:rPr>
      <w:rFonts w:ascii="Arial" w:hAnsi="Arial" w:cs="Arial"/>
      <w:noProof/>
      <w:color w:val="000000" w:themeColor="text1"/>
      <w:lang w:val="en-US"/>
    </w:rPr>
  </w:style>
  <w:style w:type="character" w:customStyle="1" w:styleId="AGRBodyTextChar">
    <w:name w:val="AGR Body Text Char"/>
    <w:basedOn w:val="DefaultParagraphFont"/>
    <w:link w:val="AGRBodyText"/>
    <w:rsid w:val="0013400B"/>
    <w:rPr>
      <w:rFonts w:ascii="Arial" w:hAnsi="Arial" w:cs="Arial"/>
      <w:noProof/>
      <w:color w:val="000000" w:themeColor="text1"/>
      <w:lang w:val="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9E5CE6"/>
    <w:pPr>
      <w:numPr>
        <w:numId w:val="8"/>
      </w:numPr>
      <w:tabs>
        <w:tab w:val="left" w:pos="2127"/>
      </w:tabs>
    </w:pPr>
    <w:rPr>
      <w:szCs w:val="24"/>
    </w:rPr>
  </w:style>
  <w:style w:type="character" w:customStyle="1" w:styleId="AGRBulletTextCharChar">
    <w:name w:val="AGR Bullet Text Char Char"/>
    <w:basedOn w:val="AGRBodyTextChar"/>
    <w:link w:val="AGRBulletText"/>
    <w:rsid w:val="009E5CE6"/>
    <w:rPr>
      <w:rFonts w:ascii="Arial" w:hAnsi="Arial" w:cs="Arial"/>
      <w:noProof/>
      <w:color w:val="000000" w:themeColor="text1"/>
      <w:szCs w:val="24"/>
      <w:lang w:val="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link w:val="AGRHeading3Char"/>
    <w:autoRedefine/>
    <w:rsid w:val="00C708C3"/>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AD0379"/>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7"/>
      </w:numPr>
      <w:pBdr>
        <w:bottom w:val="single" w:sz="2" w:space="4" w:color="auto"/>
      </w:pBdr>
    </w:pPr>
    <w:rPr>
      <w:i/>
      <w:iCs/>
      <w:szCs w:val="19"/>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uiPriority w:val="99"/>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Normal"/>
    <w:link w:val="BodyTextIndentChar"/>
    <w:rsid w:val="00F77ED6"/>
    <w:pPr>
      <w:keepLines w:val="0"/>
      <w:overflowPunct w:val="0"/>
      <w:autoSpaceDE w:val="0"/>
      <w:autoSpaceDN w:val="0"/>
      <w:adjustRightInd w:val="0"/>
      <w:spacing w:line="240" w:lineRule="auto"/>
      <w:ind w:left="425"/>
      <w:textAlignment w:val="baseline"/>
    </w:pPr>
    <w:rPr>
      <w:rFonts w:ascii="Times New Roman" w:hAnsi="Times New Roman"/>
      <w:sz w:val="24"/>
      <w:szCs w:val="20"/>
      <w:lang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Normal"/>
    <w:rsid w:val="00F77ED6"/>
    <w:pPr>
      <w:keepLines w:val="0"/>
      <w:numPr>
        <w:numId w:val="2"/>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Normal"/>
    <w:next w:val="Normal"/>
    <w:autoRedefine/>
    <w:rsid w:val="00F77ED6"/>
    <w:pPr>
      <w:keepLines w:val="0"/>
      <w:tabs>
        <w:tab w:val="left" w:pos="284"/>
        <w:tab w:val="left" w:pos="1134"/>
      </w:tabs>
      <w:spacing w:after="0" w:line="240" w:lineRule="auto"/>
      <w:ind w:left="-108"/>
    </w:pPr>
    <w:rPr>
      <w:rFonts w:ascii="Arial Narrow" w:hAnsi="Arial Narrow"/>
      <w:b/>
      <w:sz w:val="22"/>
      <w:szCs w:val="22"/>
      <w:lang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Normal"/>
    <w:rsid w:val="00F77ED6"/>
    <w:pPr>
      <w:keepLines w:val="0"/>
      <w:numPr>
        <w:numId w:val="3"/>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Alpha">
    <w:name w:val="List Alpha"/>
    <w:basedOn w:val="Normal"/>
    <w:rsid w:val="00F77ED6"/>
    <w:pPr>
      <w:keepLines w:val="0"/>
      <w:numPr>
        <w:numId w:val="4"/>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Roman">
    <w:name w:val="List Roman"/>
    <w:basedOn w:val="Normal"/>
    <w:rsid w:val="00F77ED6"/>
    <w:pPr>
      <w:keepLines w:val="0"/>
      <w:numPr>
        <w:numId w:val="5"/>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6"/>
      </w:numPr>
      <w:tabs>
        <w:tab w:val="left" w:pos="1980"/>
      </w:tabs>
      <w:spacing w:after="140" w:line="240" w:lineRule="atLeast"/>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 w:type="paragraph" w:styleId="ListParagraph">
    <w:name w:val="List Paragraph"/>
    <w:basedOn w:val="Normal"/>
    <w:uiPriority w:val="34"/>
    <w:qFormat/>
    <w:rsid w:val="00BB203E"/>
    <w:pPr>
      <w:keepLines w:val="0"/>
      <w:spacing w:after="0" w:line="240" w:lineRule="auto"/>
      <w:ind w:left="720"/>
    </w:pPr>
    <w:rPr>
      <w:rFonts w:ascii="Times New Roman" w:hAnsi="Times New Roman"/>
      <w:sz w:val="24"/>
      <w:szCs w:val="24"/>
    </w:rPr>
  </w:style>
  <w:style w:type="paragraph" w:styleId="Header">
    <w:name w:val="header"/>
    <w:basedOn w:val="Normal"/>
    <w:link w:val="HeaderChar"/>
    <w:rsid w:val="00C708C3"/>
    <w:pPr>
      <w:tabs>
        <w:tab w:val="center" w:pos="4153"/>
        <w:tab w:val="right" w:pos="8306"/>
      </w:tabs>
    </w:pPr>
  </w:style>
  <w:style w:type="character" w:customStyle="1" w:styleId="HeaderChar">
    <w:name w:val="Header Char"/>
    <w:basedOn w:val="DefaultParagraphFont"/>
    <w:link w:val="Header"/>
    <w:rsid w:val="00C708C3"/>
    <w:rPr>
      <w:rFonts w:ascii="Arial" w:hAnsi="Arial"/>
      <w:sz w:val="21"/>
      <w:szCs w:val="21"/>
      <w:lang w:eastAsia="en-US"/>
    </w:rPr>
  </w:style>
  <w:style w:type="character" w:styleId="FootnoteReference">
    <w:name w:val="footnote reference"/>
    <w:rsid w:val="007B1B9B"/>
    <w:rPr>
      <w:vertAlign w:val="superscript"/>
    </w:rPr>
  </w:style>
  <w:style w:type="paragraph" w:styleId="Revision">
    <w:name w:val="Revision"/>
    <w:hidden/>
    <w:uiPriority w:val="99"/>
    <w:semiHidden/>
    <w:rsid w:val="00520280"/>
    <w:rPr>
      <w:rFonts w:ascii="Arial" w:hAnsi="Arial"/>
      <w:sz w:val="21"/>
      <w:szCs w:val="21"/>
      <w:lang w:eastAsia="en-US"/>
    </w:rPr>
  </w:style>
  <w:style w:type="paragraph" w:customStyle="1" w:styleId="StyleAGRBodyCommentJustifiedLeft0cmPatternClearBa">
    <w:name w:val="Style AGR Body Comment + Justified Left:  0 cm Pattern: Clear (Ba..."/>
    <w:basedOn w:val="Normal"/>
    <w:rsid w:val="00406BEC"/>
    <w:pPr>
      <w:ind w:left="0"/>
    </w:pPr>
    <w:rPr>
      <w:i/>
      <w:iCs/>
      <w:sz w:val="22"/>
      <w:szCs w:val="20"/>
      <w:lang w:eastAsia="en-AU"/>
    </w:rPr>
  </w:style>
  <w:style w:type="paragraph" w:customStyle="1" w:styleId="StyleAGRHeadingCommentJustifiedLeft0cm">
    <w:name w:val="Style AGR Heading Comment + Justified Left:  0 cm"/>
    <w:basedOn w:val="Normal"/>
    <w:rsid w:val="00406BEC"/>
    <w:pPr>
      <w:keepLines w:val="0"/>
      <w:spacing w:before="240" w:after="60" w:line="280" w:lineRule="exact"/>
      <w:ind w:left="0"/>
      <w:jc w:val="both"/>
    </w:pPr>
    <w:rPr>
      <w:rFonts w:ascii="Arial Bold" w:hAnsi="Arial Bold"/>
      <w:b/>
      <w:bCs/>
      <w:szCs w:val="20"/>
      <w:lang w:val="en-US"/>
    </w:rPr>
  </w:style>
  <w:style w:type="paragraph" w:customStyle="1" w:styleId="Heading-L1">
    <w:name w:val="Heading - L1"/>
    <w:basedOn w:val="Normal"/>
    <w:rsid w:val="00D3136D"/>
    <w:pPr>
      <w:keepLines w:val="0"/>
      <w:pageBreakBefore/>
      <w:pBdr>
        <w:top w:val="single" w:sz="12" w:space="1" w:color="auto"/>
        <w:left w:val="single" w:sz="12" w:space="4" w:color="auto"/>
        <w:bottom w:val="single" w:sz="12" w:space="1" w:color="auto"/>
        <w:right w:val="single" w:sz="12" w:space="4" w:color="auto"/>
      </w:pBdr>
      <w:shd w:val="pct12" w:color="auto" w:fill="FFFFFF"/>
      <w:spacing w:after="600"/>
      <w:ind w:left="0"/>
      <w:jc w:val="center"/>
    </w:pPr>
    <w:rPr>
      <w:b/>
      <w:sz w:val="32"/>
    </w:rPr>
  </w:style>
  <w:style w:type="paragraph" w:customStyle="1" w:styleId="Heading-L3">
    <w:name w:val="Heading - L3"/>
    <w:basedOn w:val="Normal"/>
    <w:next w:val="Normal"/>
    <w:rsid w:val="00D3136D"/>
    <w:pPr>
      <w:keepLines w:val="0"/>
      <w:ind w:left="0"/>
      <w:jc w:val="both"/>
    </w:pPr>
    <w:rPr>
      <w:b/>
      <w:sz w:val="32"/>
    </w:rPr>
  </w:style>
  <w:style w:type="paragraph" w:customStyle="1" w:styleId="Heading-L2">
    <w:name w:val="Heading - L2"/>
    <w:basedOn w:val="Heading-L3"/>
    <w:rsid w:val="00D3136D"/>
    <w:rPr>
      <w:bCs/>
      <w:i/>
      <w:iCs/>
    </w:rPr>
  </w:style>
  <w:style w:type="paragraph" w:customStyle="1" w:styleId="Heading-L5">
    <w:name w:val="Heading - L5"/>
    <w:basedOn w:val="Normal"/>
    <w:next w:val="Normal"/>
    <w:link w:val="Heading-L5Char"/>
    <w:rsid w:val="00D3136D"/>
    <w:pPr>
      <w:keepLines w:val="0"/>
      <w:ind w:left="0"/>
    </w:pPr>
    <w:rPr>
      <w:b/>
    </w:rPr>
  </w:style>
  <w:style w:type="character" w:customStyle="1" w:styleId="Heading-L5Char">
    <w:name w:val="Heading - L5 Char"/>
    <w:basedOn w:val="DefaultParagraphFont"/>
    <w:link w:val="Heading-L5"/>
    <w:rsid w:val="00D3136D"/>
    <w:rPr>
      <w:rFonts w:ascii="Arial" w:hAnsi="Arial"/>
      <w:b/>
      <w:sz w:val="21"/>
      <w:szCs w:val="21"/>
      <w:lang w:eastAsia="en-US"/>
    </w:rPr>
  </w:style>
  <w:style w:type="paragraph" w:customStyle="1" w:styleId="BulletLeader">
    <w:name w:val="Bullet Leader"/>
    <w:basedOn w:val="BulletedBody"/>
    <w:next w:val="BulletedBody"/>
    <w:rsid w:val="00D3136D"/>
    <w:pPr>
      <w:numPr>
        <w:numId w:val="0"/>
      </w:numPr>
      <w:spacing w:after="120" w:line="240" w:lineRule="auto"/>
    </w:pPr>
  </w:style>
  <w:style w:type="paragraph" w:customStyle="1" w:styleId="QualificationStyle">
    <w:name w:val="Qualification Style"/>
    <w:basedOn w:val="Normal"/>
    <w:next w:val="Normal"/>
    <w:rsid w:val="00D3136D"/>
    <w:pPr>
      <w:keepLines w:val="0"/>
      <w:ind w:left="510" w:right="340" w:hanging="170"/>
      <w:jc w:val="both"/>
    </w:pPr>
    <w:rPr>
      <w:i/>
    </w:rPr>
  </w:style>
  <w:style w:type="paragraph" w:customStyle="1" w:styleId="KeyFinding">
    <w:name w:val="Key Finding"/>
    <w:basedOn w:val="Heading-L5"/>
    <w:rsid w:val="00D3136D"/>
    <w:rPr>
      <w:sz w:val="28"/>
    </w:rPr>
  </w:style>
  <w:style w:type="paragraph" w:customStyle="1" w:styleId="Heading-L4">
    <w:name w:val="Heading - L4"/>
    <w:basedOn w:val="Heading-L5"/>
    <w:rsid w:val="00D3136D"/>
    <w:pPr>
      <w:spacing w:before="240"/>
    </w:pPr>
  </w:style>
  <w:style w:type="paragraph" w:customStyle="1" w:styleId="BulletedFinal">
    <w:name w:val="Bulleted Final"/>
    <w:basedOn w:val="BulletedBody"/>
    <w:next w:val="Normal"/>
    <w:rsid w:val="00D3136D"/>
    <w:pPr>
      <w:spacing w:after="240"/>
    </w:pPr>
  </w:style>
  <w:style w:type="character" w:customStyle="1" w:styleId="AGRHeading3Char">
    <w:name w:val="AGR Heading 3 Char"/>
    <w:basedOn w:val="DefaultParagraphFont"/>
    <w:link w:val="AGRHeading3"/>
    <w:rsid w:val="00D3136D"/>
    <w:rPr>
      <w:rFonts w:ascii="Arial" w:hAnsi="Arial" w:cs="Arial"/>
      <w:b/>
      <w:color w:val="808080"/>
      <w:w w:val="90"/>
      <w:sz w:val="24"/>
      <w:szCs w:val="19"/>
      <w:lang w:eastAsia="en-US"/>
    </w:rPr>
  </w:style>
  <w:style w:type="paragraph" w:customStyle="1" w:styleId="AGRDashText">
    <w:name w:val="AGR Dash Text"/>
    <w:basedOn w:val="AGRBulletText"/>
    <w:rsid w:val="00D3136D"/>
    <w:pPr>
      <w:numPr>
        <w:ilvl w:val="1"/>
        <w:numId w:val="10"/>
      </w:numPr>
    </w:pPr>
    <w:rPr>
      <w:noProof w:val="0"/>
      <w:sz w:val="22"/>
      <w:szCs w:val="21"/>
      <w:lang w:val="en-AU" w:eastAsia="en-US"/>
    </w:rPr>
  </w:style>
  <w:style w:type="paragraph" w:customStyle="1" w:styleId="AGRLetterText">
    <w:name w:val="AGR Letter Text"/>
    <w:basedOn w:val="AGRBodyText"/>
    <w:rsid w:val="00D3136D"/>
    <w:pPr>
      <w:spacing w:line="280" w:lineRule="exact"/>
    </w:pPr>
    <w:rPr>
      <w:noProof w:val="0"/>
      <w:sz w:val="22"/>
      <w:szCs w:val="22"/>
      <w:lang w:val="en-AU" w:eastAsia="en-US"/>
    </w:rPr>
  </w:style>
  <w:style w:type="paragraph" w:customStyle="1" w:styleId="AGRHeading2NoBold">
    <w:name w:val="AGR Heading 2 No Bold"/>
    <w:basedOn w:val="AGRHeading2"/>
    <w:autoRedefine/>
    <w:rsid w:val="00D3136D"/>
    <w:pPr>
      <w:spacing w:before="60"/>
    </w:pPr>
  </w:style>
  <w:style w:type="paragraph" w:customStyle="1" w:styleId="AGRBodyTextIndent">
    <w:name w:val="AGR Body Text Indent"/>
    <w:basedOn w:val="AGRBodyText"/>
    <w:rsid w:val="00D3136D"/>
    <w:pPr>
      <w:ind w:left="1134" w:right="284"/>
    </w:pPr>
    <w:rPr>
      <w:noProof w:val="0"/>
      <w:sz w:val="22"/>
      <w:szCs w:val="22"/>
      <w:lang w:val="en-AU" w:eastAsia="en-US"/>
    </w:rPr>
  </w:style>
  <w:style w:type="paragraph" w:customStyle="1" w:styleId="AGRTOC2">
    <w:name w:val="AGR TOC2"/>
    <w:basedOn w:val="AGRTOC"/>
    <w:rsid w:val="00D3136D"/>
    <w:pPr>
      <w:keepLines w:val="0"/>
      <w:tabs>
        <w:tab w:val="left" w:pos="1985"/>
        <w:tab w:val="left" w:pos="8505"/>
      </w:tabs>
    </w:pPr>
    <w:rPr>
      <w:rFonts w:cs="Arial"/>
      <w:b w:val="0"/>
      <w:noProof/>
      <w:sz w:val="20"/>
      <w:szCs w:val="20"/>
    </w:rPr>
  </w:style>
  <w:style w:type="paragraph" w:customStyle="1" w:styleId="StyleAGRHeading2NoBoldBold">
    <w:name w:val="Style AGR Heading 2 No Bold + Bold"/>
    <w:basedOn w:val="AGRHeading2NoBold"/>
    <w:autoRedefine/>
    <w:rsid w:val="00D3136D"/>
    <w:pPr>
      <w:spacing w:before="120"/>
    </w:pPr>
    <w:rPr>
      <w:bCs/>
    </w:rPr>
  </w:style>
  <w:style w:type="paragraph" w:customStyle="1" w:styleId="AGRHeading5">
    <w:name w:val="AGR Heading 5"/>
    <w:basedOn w:val="AGRBodyText"/>
    <w:rsid w:val="00D3136D"/>
    <w:rPr>
      <w:noProof w:val="0"/>
      <w:sz w:val="28"/>
      <w:szCs w:val="22"/>
      <w:lang w:val="en-AU" w:eastAsia="en-US"/>
    </w:rPr>
  </w:style>
  <w:style w:type="paragraph" w:customStyle="1" w:styleId="StyleTableText10ptBold">
    <w:name w:val="Style Table Text + 10 pt Bold"/>
    <w:basedOn w:val="Normal"/>
    <w:rsid w:val="00D3136D"/>
    <w:pPr>
      <w:keepLines w:val="0"/>
      <w:spacing w:after="100"/>
      <w:ind w:left="0"/>
    </w:pPr>
    <w:rPr>
      <w:b/>
      <w:bCs/>
      <w:sz w:val="20"/>
    </w:rPr>
  </w:style>
  <w:style w:type="paragraph" w:customStyle="1" w:styleId="StyleTableText10ptBold1">
    <w:name w:val="Style Table Text + 10 pt Bold1"/>
    <w:basedOn w:val="Normal"/>
    <w:rsid w:val="00D3136D"/>
    <w:pPr>
      <w:keepLines w:val="0"/>
      <w:spacing w:after="100"/>
      <w:ind w:left="0"/>
    </w:pPr>
    <w:rPr>
      <w:b/>
      <w:bCs/>
      <w:sz w:val="20"/>
    </w:rPr>
  </w:style>
  <w:style w:type="paragraph" w:customStyle="1" w:styleId="CharChar">
    <w:name w:val="Char Char"/>
    <w:basedOn w:val="Normal"/>
    <w:rsid w:val="00D3136D"/>
    <w:pPr>
      <w:keepLines w:val="0"/>
      <w:spacing w:after="160" w:line="240" w:lineRule="exact"/>
      <w:ind w:left="0"/>
    </w:pPr>
    <w:rPr>
      <w:rFonts w:ascii="Verdana" w:hAnsi="Verdana"/>
      <w:sz w:val="20"/>
      <w:szCs w:val="20"/>
      <w:lang w:val="en-US"/>
    </w:rPr>
  </w:style>
  <w:style w:type="paragraph" w:customStyle="1" w:styleId="keyfindings">
    <w:name w:val="keyfindings"/>
    <w:basedOn w:val="Normal"/>
    <w:rsid w:val="00D3136D"/>
    <w:pPr>
      <w:keepLines w:val="0"/>
      <w:spacing w:before="40" w:line="240" w:lineRule="auto"/>
      <w:ind w:left="709" w:right="522" w:hanging="425"/>
      <w:jc w:val="both"/>
    </w:pPr>
    <w:rPr>
      <w:rFonts w:ascii="Times New Roman" w:hAnsi="Times New Roman"/>
      <w:b/>
      <w:sz w:val="28"/>
      <w:szCs w:val="20"/>
    </w:rPr>
  </w:style>
  <w:style w:type="paragraph" w:customStyle="1" w:styleId="SecondHeading">
    <w:name w:val="SecondHeading"/>
    <w:basedOn w:val="Normal"/>
    <w:rsid w:val="00D3136D"/>
    <w:pPr>
      <w:keepLines w:val="0"/>
      <w:pBdr>
        <w:top w:val="single" w:sz="12" w:space="1" w:color="auto"/>
        <w:left w:val="single" w:sz="12" w:space="4" w:color="auto"/>
        <w:bottom w:val="single" w:sz="12" w:space="1" w:color="auto"/>
        <w:right w:val="single" w:sz="12" w:space="4" w:color="auto"/>
      </w:pBdr>
      <w:shd w:val="pct12" w:color="auto" w:fill="FFFFFF"/>
      <w:spacing w:after="360" w:line="240" w:lineRule="auto"/>
      <w:ind w:left="0"/>
      <w:jc w:val="center"/>
    </w:pPr>
    <w:rPr>
      <w:rFonts w:ascii="Times New Roman" w:hAnsi="Times New Roman"/>
      <w:b/>
      <w:sz w:val="28"/>
      <w:szCs w:val="20"/>
    </w:rPr>
  </w:style>
  <w:style w:type="paragraph" w:customStyle="1" w:styleId="TxBrp11">
    <w:name w:val="TxBr_p11"/>
    <w:basedOn w:val="Normal"/>
    <w:rsid w:val="00D3136D"/>
    <w:pPr>
      <w:keepLines w:val="0"/>
      <w:widowControl w:val="0"/>
      <w:tabs>
        <w:tab w:val="left" w:pos="2103"/>
      </w:tabs>
      <w:autoSpaceDE w:val="0"/>
      <w:autoSpaceDN w:val="0"/>
      <w:adjustRightInd w:val="0"/>
      <w:spacing w:after="0" w:line="283" w:lineRule="atLeast"/>
      <w:ind w:left="2103" w:hanging="1752"/>
    </w:pPr>
    <w:rPr>
      <w:rFonts w:ascii="Times New Roman" w:hAnsi="Times New Roman"/>
      <w:sz w:val="24"/>
      <w:szCs w:val="20"/>
    </w:rPr>
  </w:style>
  <w:style w:type="paragraph" w:customStyle="1" w:styleId="TxBrp14">
    <w:name w:val="TxBr_p14"/>
    <w:basedOn w:val="Normal"/>
    <w:rsid w:val="00D3136D"/>
    <w:pPr>
      <w:keepLines w:val="0"/>
      <w:widowControl w:val="0"/>
      <w:tabs>
        <w:tab w:val="left" w:pos="515"/>
      </w:tabs>
      <w:spacing w:after="0" w:line="283" w:lineRule="atLeast"/>
      <w:ind w:left="1112"/>
      <w:jc w:val="both"/>
    </w:pPr>
    <w:rPr>
      <w:rFonts w:ascii="Times New Roman" w:hAnsi="Times New Roman"/>
      <w:sz w:val="24"/>
      <w:szCs w:val="20"/>
    </w:rPr>
  </w:style>
  <w:style w:type="paragraph" w:customStyle="1" w:styleId="TxBrp17">
    <w:name w:val="TxBr_p17"/>
    <w:basedOn w:val="Normal"/>
    <w:rsid w:val="00D3136D"/>
    <w:pPr>
      <w:keepLines w:val="0"/>
      <w:widowControl w:val="0"/>
      <w:spacing w:after="0" w:line="240" w:lineRule="atLeast"/>
      <w:ind w:left="1083"/>
      <w:jc w:val="both"/>
    </w:pPr>
    <w:rPr>
      <w:rFonts w:ascii="Times New Roman" w:hAnsi="Times New Roman"/>
      <w:sz w:val="24"/>
      <w:szCs w:val="20"/>
    </w:rPr>
  </w:style>
  <w:style w:type="paragraph" w:customStyle="1" w:styleId="TxBrp18">
    <w:name w:val="TxBr_p18"/>
    <w:basedOn w:val="Normal"/>
    <w:rsid w:val="00D3136D"/>
    <w:pPr>
      <w:keepLines w:val="0"/>
      <w:widowControl w:val="0"/>
      <w:tabs>
        <w:tab w:val="left" w:pos="515"/>
        <w:tab w:val="left" w:pos="986"/>
      </w:tabs>
      <w:spacing w:after="0" w:line="283" w:lineRule="atLeast"/>
      <w:ind w:left="986" w:hanging="471"/>
      <w:jc w:val="both"/>
    </w:pPr>
    <w:rPr>
      <w:rFonts w:ascii="Times New Roman" w:hAnsi="Times New Roman"/>
      <w:sz w:val="24"/>
      <w:szCs w:val="20"/>
    </w:rPr>
  </w:style>
  <w:style w:type="paragraph" w:customStyle="1" w:styleId="TxBrp3">
    <w:name w:val="TxBr_p3"/>
    <w:basedOn w:val="Normal"/>
    <w:rsid w:val="00D3136D"/>
    <w:pPr>
      <w:keepLines w:val="0"/>
      <w:widowControl w:val="0"/>
      <w:tabs>
        <w:tab w:val="left" w:pos="204"/>
      </w:tabs>
      <w:spacing w:after="0" w:line="283" w:lineRule="atLeast"/>
      <w:ind w:left="0"/>
    </w:pPr>
    <w:rPr>
      <w:rFonts w:ascii="Times New Roman" w:hAnsi="Times New Roman"/>
      <w:sz w:val="24"/>
      <w:szCs w:val="20"/>
    </w:rPr>
  </w:style>
  <w:style w:type="paragraph" w:customStyle="1" w:styleId="TxBrp6">
    <w:name w:val="TxBr_p6"/>
    <w:basedOn w:val="Normal"/>
    <w:rsid w:val="00D3136D"/>
    <w:pPr>
      <w:keepLines w:val="0"/>
      <w:widowControl w:val="0"/>
      <w:tabs>
        <w:tab w:val="left" w:pos="345"/>
      </w:tabs>
      <w:autoSpaceDE w:val="0"/>
      <w:autoSpaceDN w:val="0"/>
      <w:adjustRightInd w:val="0"/>
      <w:spacing w:after="0" w:line="272" w:lineRule="atLeast"/>
      <w:ind w:left="1638" w:hanging="345"/>
    </w:pPr>
    <w:rPr>
      <w:rFonts w:ascii="Times New Roman" w:hAnsi="Times New Roman"/>
      <w:sz w:val="24"/>
      <w:szCs w:val="20"/>
    </w:rPr>
  </w:style>
  <w:style w:type="paragraph" w:customStyle="1" w:styleId="TxBrp13">
    <w:name w:val="TxBr_p13"/>
    <w:basedOn w:val="Normal"/>
    <w:rsid w:val="00D3136D"/>
    <w:pPr>
      <w:keepLines w:val="0"/>
      <w:widowControl w:val="0"/>
      <w:tabs>
        <w:tab w:val="left" w:pos="204"/>
      </w:tabs>
      <w:spacing w:after="0" w:line="240" w:lineRule="atLeast"/>
      <w:ind w:left="0"/>
      <w:jc w:val="both"/>
    </w:pPr>
    <w:rPr>
      <w:rFonts w:ascii="Times New Roman" w:hAnsi="Times New Roman"/>
      <w:sz w:val="24"/>
      <w:szCs w:val="20"/>
    </w:rPr>
  </w:style>
  <w:style w:type="paragraph" w:customStyle="1" w:styleId="StandardText">
    <w:name w:val="StandardText"/>
    <w:basedOn w:val="Normal"/>
    <w:rsid w:val="00D3136D"/>
    <w:pPr>
      <w:keepLines w:val="0"/>
      <w:spacing w:after="0" w:line="240" w:lineRule="auto"/>
      <w:ind w:left="0"/>
    </w:pPr>
    <w:rPr>
      <w:rFonts w:ascii="Times New Roman" w:hAnsi="Times New Roman"/>
      <w:sz w:val="24"/>
      <w:szCs w:val="20"/>
    </w:rPr>
  </w:style>
  <w:style w:type="paragraph" w:customStyle="1" w:styleId="TxBrc14">
    <w:name w:val="TxBr_c14"/>
    <w:basedOn w:val="Normal"/>
    <w:rsid w:val="00D3136D"/>
    <w:pPr>
      <w:keepLines w:val="0"/>
      <w:widowControl w:val="0"/>
      <w:spacing w:after="0" w:line="240" w:lineRule="atLeast"/>
      <w:ind w:left="0"/>
      <w:jc w:val="center"/>
    </w:pPr>
    <w:rPr>
      <w:rFonts w:ascii="Times New Roman" w:hAnsi="Times New Roman"/>
      <w:sz w:val="24"/>
      <w:szCs w:val="20"/>
    </w:rPr>
  </w:style>
  <w:style w:type="paragraph" w:customStyle="1" w:styleId="Block">
    <w:name w:val="Block"/>
    <w:basedOn w:val="Normal"/>
    <w:rsid w:val="00D3136D"/>
    <w:pPr>
      <w:keepLines w:val="0"/>
      <w:spacing w:after="240" w:line="240" w:lineRule="auto"/>
    </w:pPr>
    <w:rPr>
      <w:rFonts w:ascii="Times New Roman" w:hAnsi="Times New Roman"/>
      <w:sz w:val="24"/>
      <w:szCs w:val="20"/>
    </w:rPr>
  </w:style>
  <w:style w:type="paragraph" w:customStyle="1" w:styleId="DocumentType">
    <w:name w:val="Document Type"/>
    <w:basedOn w:val="Normal"/>
    <w:rsid w:val="00D3136D"/>
    <w:pPr>
      <w:keepLines w:val="0"/>
      <w:spacing w:after="0" w:line="240" w:lineRule="auto"/>
      <w:ind w:left="0"/>
      <w:jc w:val="right"/>
    </w:pPr>
    <w:rPr>
      <w:b/>
      <w:sz w:val="32"/>
      <w:szCs w:val="20"/>
    </w:rPr>
  </w:style>
  <w:style w:type="paragraph" w:customStyle="1" w:styleId="Client">
    <w:name w:val="Client"/>
    <w:basedOn w:val="Normal"/>
    <w:next w:val="Normal"/>
    <w:rsid w:val="00D3136D"/>
    <w:pPr>
      <w:keepLines w:val="0"/>
      <w:pBdr>
        <w:bottom w:val="single" w:sz="6" w:space="1" w:color="auto"/>
      </w:pBdr>
      <w:spacing w:after="0" w:line="240" w:lineRule="auto"/>
      <w:ind w:left="0" w:right="5"/>
      <w:jc w:val="right"/>
    </w:pPr>
    <w:rPr>
      <w:b/>
      <w:sz w:val="28"/>
      <w:szCs w:val="20"/>
    </w:rPr>
  </w:style>
  <w:style w:type="paragraph" w:customStyle="1" w:styleId="ProjectName">
    <w:name w:val="Project Name"/>
    <w:basedOn w:val="Normal"/>
    <w:next w:val="Normal"/>
    <w:rsid w:val="00D3136D"/>
    <w:pPr>
      <w:keepLines w:val="0"/>
      <w:spacing w:after="0" w:line="240" w:lineRule="auto"/>
      <w:ind w:left="0"/>
      <w:jc w:val="right"/>
    </w:pPr>
    <w:rPr>
      <w:b/>
      <w:sz w:val="28"/>
      <w:szCs w:val="20"/>
    </w:rPr>
  </w:style>
  <w:style w:type="paragraph" w:customStyle="1" w:styleId="Caption1">
    <w:name w:val="Caption1"/>
    <w:basedOn w:val="Normal"/>
    <w:next w:val="Normal"/>
    <w:rsid w:val="00D3136D"/>
    <w:pPr>
      <w:keepLines w:val="0"/>
      <w:spacing w:before="120" w:after="0" w:line="240" w:lineRule="auto"/>
      <w:ind w:left="0"/>
      <w:jc w:val="both"/>
    </w:pPr>
    <w:rPr>
      <w:rFonts w:ascii="Times New Roman" w:hAnsi="Times New Roman"/>
      <w:color w:val="000000"/>
      <w:sz w:val="24"/>
      <w:szCs w:val="20"/>
    </w:rPr>
  </w:style>
  <w:style w:type="paragraph" w:customStyle="1" w:styleId="Section">
    <w:name w:val="Section"/>
    <w:basedOn w:val="Normal"/>
    <w:rsid w:val="00D3136D"/>
    <w:pPr>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ind w:left="0"/>
      <w:jc w:val="both"/>
    </w:pPr>
    <w:rPr>
      <w:rFonts w:ascii="Times New Roman" w:hAnsi="Times New Roman"/>
      <w:spacing w:val="-3"/>
      <w:sz w:val="26"/>
      <w:szCs w:val="20"/>
      <w:lang w:val="en-GB"/>
    </w:rPr>
  </w:style>
  <w:style w:type="paragraph" w:styleId="List2">
    <w:name w:val="List 2"/>
    <w:basedOn w:val="Normal"/>
    <w:rsid w:val="00D3136D"/>
    <w:pPr>
      <w:keepLines w:val="0"/>
      <w:spacing w:after="240" w:line="240" w:lineRule="auto"/>
      <w:ind w:left="566" w:hanging="283"/>
      <w:jc w:val="both"/>
    </w:pPr>
    <w:rPr>
      <w:rFonts w:ascii="Times New Roman" w:hAnsi="Times New Roman"/>
      <w:sz w:val="24"/>
      <w:szCs w:val="20"/>
    </w:rPr>
  </w:style>
  <w:style w:type="paragraph" w:styleId="Salutation">
    <w:name w:val="Salutation"/>
    <w:basedOn w:val="Normal"/>
    <w:next w:val="Normal"/>
    <w:link w:val="SalutationChar"/>
    <w:rsid w:val="00D3136D"/>
    <w:pPr>
      <w:keepLines w:val="0"/>
      <w:spacing w:after="240" w:line="240" w:lineRule="auto"/>
      <w:ind w:left="0"/>
      <w:jc w:val="both"/>
    </w:pPr>
    <w:rPr>
      <w:rFonts w:ascii="Times New Roman" w:hAnsi="Times New Roman"/>
      <w:sz w:val="24"/>
      <w:szCs w:val="20"/>
    </w:rPr>
  </w:style>
  <w:style w:type="character" w:customStyle="1" w:styleId="SalutationChar">
    <w:name w:val="Salutation Char"/>
    <w:basedOn w:val="DefaultParagraphFont"/>
    <w:link w:val="Salutation"/>
    <w:rsid w:val="00D3136D"/>
    <w:rPr>
      <w:sz w:val="24"/>
      <w:lang w:eastAsia="en-US"/>
    </w:rPr>
  </w:style>
  <w:style w:type="paragraph" w:styleId="Date">
    <w:name w:val="Date"/>
    <w:basedOn w:val="Normal"/>
    <w:next w:val="Normal"/>
    <w:link w:val="DateChar"/>
    <w:rsid w:val="00D3136D"/>
    <w:pPr>
      <w:keepLines w:val="0"/>
      <w:spacing w:after="240" w:line="240" w:lineRule="auto"/>
      <w:ind w:left="0"/>
      <w:jc w:val="both"/>
    </w:pPr>
    <w:rPr>
      <w:rFonts w:ascii="Times New Roman" w:hAnsi="Times New Roman"/>
      <w:sz w:val="24"/>
      <w:szCs w:val="20"/>
    </w:rPr>
  </w:style>
  <w:style w:type="character" w:customStyle="1" w:styleId="DateChar">
    <w:name w:val="Date Char"/>
    <w:basedOn w:val="DefaultParagraphFont"/>
    <w:link w:val="Date"/>
    <w:rsid w:val="00D3136D"/>
    <w:rPr>
      <w:sz w:val="24"/>
      <w:lang w:eastAsia="en-US"/>
    </w:rPr>
  </w:style>
  <w:style w:type="paragraph" w:styleId="ListContinue">
    <w:name w:val="List Continue"/>
    <w:basedOn w:val="Normal"/>
    <w:rsid w:val="00D3136D"/>
    <w:pPr>
      <w:keepLines w:val="0"/>
      <w:spacing w:line="240" w:lineRule="auto"/>
      <w:ind w:left="283"/>
      <w:jc w:val="both"/>
    </w:pPr>
    <w:rPr>
      <w:rFonts w:ascii="Times New Roman" w:hAnsi="Times New Roman"/>
      <w:sz w:val="24"/>
      <w:szCs w:val="20"/>
    </w:rPr>
  </w:style>
  <w:style w:type="paragraph" w:customStyle="1" w:styleId="step2">
    <w:name w:val="step 2"/>
    <w:basedOn w:val="Normal"/>
    <w:rsid w:val="00D3136D"/>
    <w:pPr>
      <w:spacing w:before="240" w:after="0" w:line="240" w:lineRule="atLeast"/>
      <w:ind w:left="567" w:right="-57" w:hanging="567"/>
    </w:pPr>
    <w:rPr>
      <w:rFonts w:ascii="Times New Roman" w:hAnsi="Times New Roman"/>
      <w:snapToGrid w:val="0"/>
      <w:color w:val="000000"/>
      <w:sz w:val="24"/>
      <w:szCs w:val="20"/>
    </w:rPr>
  </w:style>
  <w:style w:type="paragraph" w:customStyle="1" w:styleId="CGCTableHeading">
    <w:name w:val="CGC Table Heading"/>
    <w:basedOn w:val="Normal"/>
    <w:next w:val="Normal"/>
    <w:rsid w:val="00D3136D"/>
    <w:pPr>
      <w:keepNext/>
      <w:tabs>
        <w:tab w:val="left" w:pos="1440"/>
      </w:tabs>
      <w:spacing w:before="120" w:line="240" w:lineRule="atLeast"/>
      <w:ind w:left="1440" w:hanging="1440"/>
    </w:pPr>
    <w:rPr>
      <w:rFonts w:ascii="Times New Roman" w:hAnsi="Times New Roman"/>
      <w:b/>
      <w:bCs/>
      <w:sz w:val="24"/>
      <w:szCs w:val="24"/>
    </w:rPr>
  </w:style>
  <w:style w:type="paragraph" w:customStyle="1" w:styleId="BodyCopy">
    <w:name w:val="Body Copy"/>
    <w:rsid w:val="00D3136D"/>
    <w:pPr>
      <w:spacing w:before="120" w:line="240" w:lineRule="atLeast"/>
      <w:jc w:val="both"/>
    </w:pPr>
    <w:rPr>
      <w:color w:val="000000"/>
      <w:sz w:val="21"/>
      <w:lang w:val="en-US" w:eastAsia="en-US"/>
    </w:rPr>
  </w:style>
  <w:style w:type="paragraph" w:customStyle="1" w:styleId="p4">
    <w:name w:val="p4"/>
    <w:basedOn w:val="Normal"/>
    <w:rsid w:val="00D3136D"/>
    <w:pPr>
      <w:keepLines w:val="0"/>
      <w:widowControl w:val="0"/>
      <w:tabs>
        <w:tab w:val="left" w:pos="720"/>
      </w:tabs>
      <w:spacing w:after="0" w:line="260" w:lineRule="atLeast"/>
      <w:ind w:left="0"/>
    </w:pPr>
    <w:rPr>
      <w:rFonts w:ascii="Times New Roman" w:hAnsi="Times New Roman"/>
      <w:snapToGrid w:val="0"/>
      <w:sz w:val="24"/>
      <w:szCs w:val="20"/>
    </w:rPr>
  </w:style>
  <w:style w:type="paragraph" w:customStyle="1" w:styleId="CGCTableFootnote">
    <w:name w:val="CGC Table Footnote"/>
    <w:basedOn w:val="Heading2"/>
    <w:next w:val="Heading2"/>
    <w:rsid w:val="00D3136D"/>
    <w:pPr>
      <w:keepNext w:val="0"/>
      <w:keepLines w:val="0"/>
      <w:tabs>
        <w:tab w:val="left" w:pos="567"/>
        <w:tab w:val="left" w:pos="1440"/>
        <w:tab w:val="left" w:pos="2160"/>
        <w:tab w:val="left" w:pos="2880"/>
      </w:tabs>
      <w:spacing w:before="0" w:after="0" w:line="240" w:lineRule="auto"/>
      <w:ind w:left="0" w:right="-193"/>
    </w:pPr>
    <w:rPr>
      <w:rFonts w:ascii="Times" w:hAnsi="Times" w:cs="Times"/>
      <w:b w:val="0"/>
      <w:bCs w:val="0"/>
      <w:i w:val="0"/>
      <w:iCs w:val="0"/>
      <w:sz w:val="18"/>
      <w:szCs w:val="18"/>
    </w:rPr>
  </w:style>
  <w:style w:type="paragraph" w:customStyle="1" w:styleId="CGCsubBullet">
    <w:name w:val="CGC sub Bullet"/>
    <w:basedOn w:val="Normal"/>
    <w:rsid w:val="00D3136D"/>
    <w:pPr>
      <w:keepLines w:val="0"/>
      <w:numPr>
        <w:numId w:val="11"/>
      </w:numPr>
      <w:tabs>
        <w:tab w:val="left" w:pos="964"/>
        <w:tab w:val="left" w:pos="1440"/>
        <w:tab w:val="left" w:pos="2160"/>
        <w:tab w:val="left" w:pos="2880"/>
      </w:tabs>
      <w:spacing w:after="80" w:line="320" w:lineRule="atLeast"/>
      <w:ind w:right="607"/>
    </w:pPr>
    <w:rPr>
      <w:rFonts w:ascii="Times" w:hAnsi="Times" w:cs="Times"/>
      <w:sz w:val="22"/>
      <w:szCs w:val="22"/>
    </w:rPr>
  </w:style>
  <w:style w:type="paragraph" w:customStyle="1" w:styleId="CGCBulletlist">
    <w:name w:val="CGC Bullet list"/>
    <w:basedOn w:val="Normal"/>
    <w:rsid w:val="00D3136D"/>
    <w:pPr>
      <w:keepLines w:val="0"/>
      <w:numPr>
        <w:numId w:val="12"/>
      </w:numPr>
      <w:tabs>
        <w:tab w:val="left" w:pos="567"/>
        <w:tab w:val="left" w:pos="1134"/>
        <w:tab w:val="left" w:pos="1440"/>
        <w:tab w:val="left" w:pos="1701"/>
        <w:tab w:val="left" w:pos="2160"/>
        <w:tab w:val="left" w:pos="2268"/>
        <w:tab w:val="left" w:pos="2880"/>
      </w:tabs>
      <w:spacing w:before="80" w:after="80" w:line="320" w:lineRule="atLeast"/>
    </w:pPr>
    <w:rPr>
      <w:rFonts w:ascii="Times" w:hAnsi="Times" w:cs="Times"/>
      <w:sz w:val="22"/>
      <w:szCs w:val="22"/>
    </w:rPr>
  </w:style>
  <w:style w:type="paragraph" w:customStyle="1" w:styleId="StyleAGRTableTextCenteredLeft0cmHanging127cm">
    <w:name w:val="Style AGR Table Text + Centered Left:  0 cm Hanging:  1.27 cm"/>
    <w:basedOn w:val="AGRTableText"/>
    <w:rsid w:val="00D3136D"/>
    <w:pPr>
      <w:keepLines w:val="0"/>
      <w:spacing w:after="0"/>
      <w:jc w:val="center"/>
    </w:pPr>
    <w:rPr>
      <w:rFonts w:cs="Times New Roman"/>
    </w:rPr>
  </w:style>
  <w:style w:type="paragraph" w:customStyle="1" w:styleId="StyleAGRTableTextHanging127cm1">
    <w:name w:val="Style AGR Table Text Hanging:  1.27 cm1"/>
    <w:basedOn w:val="AGRTableText"/>
    <w:rsid w:val="00D3136D"/>
    <w:pPr>
      <w:keepLines w:val="0"/>
      <w:spacing w:after="0"/>
      <w:ind w:left="720" w:hanging="720"/>
    </w:pPr>
    <w:rPr>
      <w:rFonts w:cs="Times New Roman"/>
    </w:rPr>
  </w:style>
  <w:style w:type="paragraph" w:customStyle="1" w:styleId="AGRTableTextLeft127cm2">
    <w:name w:val="AGR Table Text + Left:  1.27 cm2"/>
    <w:basedOn w:val="AGRTableText"/>
    <w:rsid w:val="00D3136D"/>
    <w:pPr>
      <w:keepLines w:val="0"/>
      <w:spacing w:after="0"/>
      <w:ind w:left="720"/>
    </w:pPr>
    <w:rPr>
      <w:rFonts w:cs="Times New Roman"/>
    </w:rPr>
  </w:style>
  <w:style w:type="paragraph" w:customStyle="1" w:styleId="StyleAGRBodyTextItalic">
    <w:name w:val="Style AGR Body Text + Italic"/>
    <w:basedOn w:val="AGRBodyText"/>
    <w:rsid w:val="00D3136D"/>
    <w:rPr>
      <w:i/>
      <w:iCs/>
      <w:noProof w:val="0"/>
      <w:sz w:val="22"/>
      <w:szCs w:val="22"/>
      <w:lang w:val="en-AU" w:eastAsia="en-US"/>
    </w:rPr>
  </w:style>
  <w:style w:type="paragraph" w:customStyle="1" w:styleId="StyleAGRBodyCommentPatternClearBackground1">
    <w:name w:val="Style AGR Body Comment + Pattern: Clear (Background 1)"/>
    <w:basedOn w:val="AGRBodyComment"/>
    <w:rsid w:val="00D3136D"/>
    <w:pPr>
      <w:numPr>
        <w:numId w:val="0"/>
      </w:numPr>
      <w:pBdr>
        <w:bottom w:val="none" w:sz="0" w:space="0" w:color="auto"/>
      </w:pBdr>
      <w:shd w:val="clear" w:color="auto" w:fill="F2F2F2" w:themeFill="background1" w:themeFillShade="F2"/>
      <w:ind w:left="851"/>
    </w:pPr>
    <w:rPr>
      <w:rFonts w:cs="Times New Roman"/>
      <w:noProof w:val="0"/>
      <w:sz w:val="22"/>
      <w:szCs w:val="20"/>
      <w:lang w:val="en-AU"/>
    </w:rPr>
  </w:style>
  <w:style w:type="paragraph" w:customStyle="1" w:styleId="StyleStyleAGRBodyCommentPatternClearBackground1Just">
    <w:name w:val="Style Style AGR Body Comment + Pattern: Clear (Background 1) + Just..."/>
    <w:basedOn w:val="StyleAGRBodyCommentPatternClearBackground1"/>
    <w:rsid w:val="00D3136D"/>
    <w:pPr>
      <w:shd w:val="clear" w:color="auto" w:fill="auto"/>
      <w:ind w:left="0"/>
      <w:jc w:val="both"/>
    </w:pPr>
  </w:style>
  <w:style w:type="paragraph" w:customStyle="1" w:styleId="StyleAGRHeadingCommentJustifiedLeft0cm1">
    <w:name w:val="Style AGR Heading Comment + Justified Left:  0 cm1"/>
    <w:basedOn w:val="AGRHeadingComment"/>
    <w:rsid w:val="00D3136D"/>
    <w:pPr>
      <w:pBdr>
        <w:top w:val="none" w:sz="0" w:space="0" w:color="auto"/>
      </w:pBdr>
      <w:ind w:left="0"/>
      <w:jc w:val="both"/>
    </w:pPr>
    <w:rPr>
      <w:rFonts w:cs="Times New Roman"/>
      <w:bCs/>
      <w:iCs w:val="0"/>
      <w:szCs w:val="20"/>
    </w:rPr>
  </w:style>
  <w:style w:type="paragraph" w:customStyle="1" w:styleId="AGRBodyTextItalicLeft2cm">
    <w:name w:val="AGR Body Text + Italic Left:  2 cm"/>
    <w:basedOn w:val="AGRBodyText"/>
    <w:rsid w:val="00C64B1A"/>
    <w:pPr>
      <w:ind w:left="1134"/>
    </w:pPr>
    <w:rPr>
      <w:rFonts w:cs="Times New Roman"/>
      <w:i/>
      <w:iCs/>
      <w:noProof w:val="0"/>
      <w:color w:val="auto"/>
      <w:w w:val="90"/>
      <w:sz w:val="22"/>
      <w:lang w:val="en-AU" w:eastAsia="en-US"/>
    </w:rPr>
  </w:style>
  <w:style w:type="paragraph" w:customStyle="1" w:styleId="AGRHeadingCommentJustifiedLeft0cm">
    <w:name w:val="AGR Heading Comment + Justified Left:  0 cm"/>
    <w:basedOn w:val="AGRHeadingComment"/>
    <w:rsid w:val="00226D93"/>
    <w:pPr>
      <w:pBdr>
        <w:top w:val="none" w:sz="0" w:space="0" w:color="auto"/>
      </w:pBdr>
      <w:ind w:left="0"/>
      <w:jc w:val="both"/>
    </w:pPr>
    <w:rPr>
      <w:rFonts w:cs="Times New Roman"/>
      <w:bCs/>
      <w:iCs w:val="0"/>
      <w:szCs w:val="20"/>
    </w:rPr>
  </w:style>
  <w:style w:type="character" w:customStyle="1" w:styleId="tgc">
    <w:name w:val="_tgc"/>
    <w:basedOn w:val="DefaultParagraphFont"/>
    <w:rsid w:val="0039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464">
      <w:bodyDiv w:val="1"/>
      <w:marLeft w:val="0"/>
      <w:marRight w:val="0"/>
      <w:marTop w:val="0"/>
      <w:marBottom w:val="0"/>
      <w:divBdr>
        <w:top w:val="none" w:sz="0" w:space="0" w:color="auto"/>
        <w:left w:val="none" w:sz="0" w:space="0" w:color="auto"/>
        <w:bottom w:val="none" w:sz="0" w:space="0" w:color="auto"/>
        <w:right w:val="none" w:sz="0" w:space="0" w:color="auto"/>
      </w:divBdr>
    </w:div>
    <w:div w:id="323706944">
      <w:bodyDiv w:val="1"/>
      <w:marLeft w:val="0"/>
      <w:marRight w:val="0"/>
      <w:marTop w:val="0"/>
      <w:marBottom w:val="0"/>
      <w:divBdr>
        <w:top w:val="none" w:sz="0" w:space="0" w:color="auto"/>
        <w:left w:val="none" w:sz="0" w:space="0" w:color="auto"/>
        <w:bottom w:val="none" w:sz="0" w:space="0" w:color="auto"/>
        <w:right w:val="none" w:sz="0" w:space="0" w:color="auto"/>
      </w:divBdr>
    </w:div>
    <w:div w:id="345451308">
      <w:bodyDiv w:val="1"/>
      <w:marLeft w:val="0"/>
      <w:marRight w:val="0"/>
      <w:marTop w:val="0"/>
      <w:marBottom w:val="0"/>
      <w:divBdr>
        <w:top w:val="none" w:sz="0" w:space="0" w:color="auto"/>
        <w:left w:val="none" w:sz="0" w:space="0" w:color="auto"/>
        <w:bottom w:val="none" w:sz="0" w:space="0" w:color="auto"/>
        <w:right w:val="none" w:sz="0" w:space="0" w:color="auto"/>
      </w:divBdr>
    </w:div>
    <w:div w:id="483475729">
      <w:bodyDiv w:val="1"/>
      <w:marLeft w:val="0"/>
      <w:marRight w:val="0"/>
      <w:marTop w:val="0"/>
      <w:marBottom w:val="0"/>
      <w:divBdr>
        <w:top w:val="none" w:sz="0" w:space="0" w:color="auto"/>
        <w:left w:val="none" w:sz="0" w:space="0" w:color="auto"/>
        <w:bottom w:val="none" w:sz="0" w:space="0" w:color="auto"/>
        <w:right w:val="none" w:sz="0" w:space="0" w:color="auto"/>
      </w:divBdr>
    </w:div>
    <w:div w:id="512064852">
      <w:bodyDiv w:val="1"/>
      <w:marLeft w:val="0"/>
      <w:marRight w:val="0"/>
      <w:marTop w:val="0"/>
      <w:marBottom w:val="0"/>
      <w:divBdr>
        <w:top w:val="none" w:sz="0" w:space="0" w:color="auto"/>
        <w:left w:val="none" w:sz="0" w:space="0" w:color="auto"/>
        <w:bottom w:val="none" w:sz="0" w:space="0" w:color="auto"/>
        <w:right w:val="none" w:sz="0" w:space="0" w:color="auto"/>
      </w:divBdr>
    </w:div>
    <w:div w:id="1000349646">
      <w:bodyDiv w:val="1"/>
      <w:marLeft w:val="0"/>
      <w:marRight w:val="0"/>
      <w:marTop w:val="0"/>
      <w:marBottom w:val="0"/>
      <w:divBdr>
        <w:top w:val="none" w:sz="0" w:space="0" w:color="auto"/>
        <w:left w:val="none" w:sz="0" w:space="0" w:color="auto"/>
        <w:bottom w:val="none" w:sz="0" w:space="0" w:color="auto"/>
        <w:right w:val="none" w:sz="0" w:space="0" w:color="auto"/>
      </w:divBdr>
    </w:div>
    <w:div w:id="1011420131">
      <w:bodyDiv w:val="1"/>
      <w:marLeft w:val="0"/>
      <w:marRight w:val="0"/>
      <w:marTop w:val="0"/>
      <w:marBottom w:val="0"/>
      <w:divBdr>
        <w:top w:val="none" w:sz="0" w:space="0" w:color="auto"/>
        <w:left w:val="none" w:sz="0" w:space="0" w:color="auto"/>
        <w:bottom w:val="none" w:sz="0" w:space="0" w:color="auto"/>
        <w:right w:val="none" w:sz="0" w:space="0" w:color="auto"/>
      </w:divBdr>
    </w:div>
    <w:div w:id="1062370059">
      <w:bodyDiv w:val="1"/>
      <w:marLeft w:val="0"/>
      <w:marRight w:val="0"/>
      <w:marTop w:val="0"/>
      <w:marBottom w:val="0"/>
      <w:divBdr>
        <w:top w:val="none" w:sz="0" w:space="0" w:color="auto"/>
        <w:left w:val="none" w:sz="0" w:space="0" w:color="auto"/>
        <w:bottom w:val="none" w:sz="0" w:space="0" w:color="auto"/>
        <w:right w:val="none" w:sz="0" w:space="0" w:color="auto"/>
      </w:divBdr>
    </w:div>
    <w:div w:id="1514343155">
      <w:bodyDiv w:val="1"/>
      <w:marLeft w:val="0"/>
      <w:marRight w:val="0"/>
      <w:marTop w:val="0"/>
      <w:marBottom w:val="0"/>
      <w:divBdr>
        <w:top w:val="none" w:sz="0" w:space="0" w:color="auto"/>
        <w:left w:val="none" w:sz="0" w:space="0" w:color="auto"/>
        <w:bottom w:val="none" w:sz="0" w:space="0" w:color="auto"/>
        <w:right w:val="none" w:sz="0" w:space="0" w:color="auto"/>
      </w:divBdr>
    </w:div>
    <w:div w:id="16112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footer" Target="footer13.xml"/><Relationship Id="rId47"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chart" Target="charts/chart1.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endnotes" Target="endnotes.xml"/></Relationships>
</file>

<file path=word/_rels/footer8.xml.rels><?xml version="1.0" encoding="UTF-8" standalone="yes"?>
<Relationships xmlns="http://schemas.openxmlformats.org/package/2006/relationships"><Relationship Id="rId2" Type="http://schemas.openxmlformats.org/officeDocument/2006/relationships/hyperlink" Target="http://www.nt.gov.au/ago" TargetMode="External"/><Relationship Id="rId1" Type="http://schemas.openxmlformats.org/officeDocument/2006/relationships/hyperlink" Target="http://www.nt.gov.au/ago"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aug\dnh\groups\data\Audit\Legislative%20Assembly%20Reports\2015-16\2015%20-%20August%20(AGO%202015%2066)\Draft\Support%20docs\fuel%20car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bg1">
            <a:lumMod val="95000"/>
          </a:schemeClr>
        </a:solidFill>
        <a:scene3d>
          <a:camera prst="orthographicFront"/>
          <a:lightRig rig="threePt" dir="t"/>
        </a:scene3d>
        <a:sp3d>
          <a:bevelT w="165100" prst="coolSlant"/>
        </a:sp3d>
      </c:spPr>
    </c:sideWall>
    <c:backWall>
      <c:thickness val="0"/>
      <c:spPr>
        <a:solidFill>
          <a:schemeClr val="bg1">
            <a:lumMod val="95000"/>
          </a:schemeClr>
        </a:solidFill>
        <a:scene3d>
          <a:camera prst="orthographicFront"/>
          <a:lightRig rig="threePt" dir="t"/>
        </a:scene3d>
        <a:sp3d>
          <a:bevelT w="165100" prst="coolSlant"/>
        </a:sp3d>
      </c:spPr>
    </c:backWall>
    <c:plotArea>
      <c:layout/>
      <c:bar3DChart>
        <c:barDir val="col"/>
        <c:grouping val="clustered"/>
        <c:varyColors val="0"/>
        <c:ser>
          <c:idx val="1"/>
          <c:order val="0"/>
          <c:tx>
            <c:strRef>
              <c:f>Sheet1!$D$21</c:f>
              <c:strCache>
                <c:ptCount val="1"/>
                <c:pt idx="0">
                  <c:v>Department of Health - 2013</c:v>
                </c:pt>
              </c:strCache>
            </c:strRef>
          </c:tx>
          <c:spPr>
            <a:solidFill>
              <a:schemeClr val="tx2">
                <a:lumMod val="60000"/>
                <a:lumOff val="40000"/>
              </a:schemeClr>
            </a:solidFill>
            <a:scene3d>
              <a:camera prst="orthographicFront"/>
              <a:lightRig rig="threePt" dir="t"/>
            </a:scene3d>
            <a:sp3d>
              <a:bevelT h="50800"/>
              <a:bevelB h="38100"/>
            </a:sp3d>
          </c:spPr>
          <c:invertIfNegative val="0"/>
          <c:cat>
            <c:strRef>
              <c:f>Sheet1!$A$2:$A$13</c:f>
              <c:strCache>
                <c:ptCount val="12"/>
                <c:pt idx="0">
                  <c:v>0% - 5%</c:v>
                </c:pt>
                <c:pt idx="1">
                  <c:v>6% - 15%</c:v>
                </c:pt>
                <c:pt idx="2">
                  <c:v>16% - 25%</c:v>
                </c:pt>
                <c:pt idx="3">
                  <c:v>26% - 35%</c:v>
                </c:pt>
                <c:pt idx="4">
                  <c:v>36% - 45%</c:v>
                </c:pt>
                <c:pt idx="5">
                  <c:v>46% - 55%</c:v>
                </c:pt>
                <c:pt idx="6">
                  <c:v>56% - 65%</c:v>
                </c:pt>
                <c:pt idx="7">
                  <c:v>66% - 75%</c:v>
                </c:pt>
                <c:pt idx="8">
                  <c:v>76% - 85%</c:v>
                </c:pt>
                <c:pt idx="9">
                  <c:v>86% - 95%</c:v>
                </c:pt>
                <c:pt idx="10">
                  <c:v>96% - 99%</c:v>
                </c:pt>
                <c:pt idx="11">
                  <c:v>100%</c:v>
                </c:pt>
              </c:strCache>
            </c:strRef>
          </c:cat>
          <c:val>
            <c:numRef>
              <c:f>Sheet1!$E$22:$E$33</c:f>
              <c:numCache>
                <c:formatCode>0%</c:formatCode>
                <c:ptCount val="12"/>
                <c:pt idx="0">
                  <c:v>0.31025641025641026</c:v>
                </c:pt>
                <c:pt idx="1">
                  <c:v>0.2153846153846154</c:v>
                </c:pt>
                <c:pt idx="2">
                  <c:v>0.1641025641025641</c:v>
                </c:pt>
                <c:pt idx="3">
                  <c:v>8.9743589743589744E-2</c:v>
                </c:pt>
                <c:pt idx="4">
                  <c:v>5.3846153846153849E-2</c:v>
                </c:pt>
                <c:pt idx="5">
                  <c:v>4.1025641025641026E-2</c:v>
                </c:pt>
                <c:pt idx="6">
                  <c:v>2.564102564102564E-2</c:v>
                </c:pt>
                <c:pt idx="7">
                  <c:v>5.1282051282051282E-3</c:v>
                </c:pt>
                <c:pt idx="8">
                  <c:v>2.0512820512820513E-2</c:v>
                </c:pt>
                <c:pt idx="9">
                  <c:v>1.282051282051282E-2</c:v>
                </c:pt>
                <c:pt idx="10">
                  <c:v>0</c:v>
                </c:pt>
                <c:pt idx="11">
                  <c:v>6.1538461538461542E-2</c:v>
                </c:pt>
              </c:numCache>
            </c:numRef>
          </c:val>
        </c:ser>
        <c:ser>
          <c:idx val="0"/>
          <c:order val="1"/>
          <c:tx>
            <c:strRef>
              <c:f>Sheet1!$B$21</c:f>
              <c:strCache>
                <c:ptCount val="1"/>
                <c:pt idx="0">
                  <c:v>Department of Health - 2014</c:v>
                </c:pt>
              </c:strCache>
            </c:strRef>
          </c:tx>
          <c:spPr>
            <a:solidFill>
              <a:schemeClr val="tx2">
                <a:lumMod val="20000"/>
                <a:lumOff val="80000"/>
              </a:schemeClr>
            </a:solidFill>
            <a:effectLst/>
            <a:scene3d>
              <a:camera prst="orthographicFront"/>
              <a:lightRig rig="threePt" dir="t"/>
            </a:scene3d>
            <a:sp3d>
              <a:bevelT h="50800"/>
              <a:bevelB h="38100"/>
            </a:sp3d>
          </c:spPr>
          <c:invertIfNegative val="0"/>
          <c:cat>
            <c:strRef>
              <c:f>Sheet1!$A$2:$A$13</c:f>
              <c:strCache>
                <c:ptCount val="12"/>
                <c:pt idx="0">
                  <c:v>0% - 5%</c:v>
                </c:pt>
                <c:pt idx="1">
                  <c:v>6% - 15%</c:v>
                </c:pt>
                <c:pt idx="2">
                  <c:v>16% - 25%</c:v>
                </c:pt>
                <c:pt idx="3">
                  <c:v>26% - 35%</c:v>
                </c:pt>
                <c:pt idx="4">
                  <c:v>36% - 45%</c:v>
                </c:pt>
                <c:pt idx="5">
                  <c:v>46% - 55%</c:v>
                </c:pt>
                <c:pt idx="6">
                  <c:v>56% - 65%</c:v>
                </c:pt>
                <c:pt idx="7">
                  <c:v>66% - 75%</c:v>
                </c:pt>
                <c:pt idx="8">
                  <c:v>76% - 85%</c:v>
                </c:pt>
                <c:pt idx="9">
                  <c:v>86% - 95%</c:v>
                </c:pt>
                <c:pt idx="10">
                  <c:v>96% - 99%</c:v>
                </c:pt>
                <c:pt idx="11">
                  <c:v>100%</c:v>
                </c:pt>
              </c:strCache>
            </c:strRef>
          </c:cat>
          <c:val>
            <c:numRef>
              <c:f>Sheet1!$C$22:$C$33</c:f>
              <c:numCache>
                <c:formatCode>0%</c:formatCode>
                <c:ptCount val="12"/>
                <c:pt idx="0">
                  <c:v>0.41945288753799392</c:v>
                </c:pt>
                <c:pt idx="1">
                  <c:v>0.18844984802431611</c:v>
                </c:pt>
                <c:pt idx="2">
                  <c:v>0.1458966565349544</c:v>
                </c:pt>
                <c:pt idx="3">
                  <c:v>7.598784194528875E-2</c:v>
                </c:pt>
                <c:pt idx="4">
                  <c:v>2.7355623100303952E-2</c:v>
                </c:pt>
                <c:pt idx="5">
                  <c:v>3.64741641337386E-2</c:v>
                </c:pt>
                <c:pt idx="6">
                  <c:v>3.0395136778115501E-3</c:v>
                </c:pt>
                <c:pt idx="7">
                  <c:v>6.0790273556231003E-3</c:v>
                </c:pt>
                <c:pt idx="8">
                  <c:v>1.2158054711246201E-2</c:v>
                </c:pt>
                <c:pt idx="9">
                  <c:v>9.11854103343465E-3</c:v>
                </c:pt>
                <c:pt idx="10">
                  <c:v>0</c:v>
                </c:pt>
                <c:pt idx="11">
                  <c:v>7.598784194528875E-2</c:v>
                </c:pt>
              </c:numCache>
            </c:numRef>
          </c:val>
        </c:ser>
        <c:dLbls>
          <c:showLegendKey val="0"/>
          <c:showVal val="0"/>
          <c:showCatName val="0"/>
          <c:showSerName val="0"/>
          <c:showPercent val="0"/>
          <c:showBubbleSize val="0"/>
        </c:dLbls>
        <c:gapWidth val="150"/>
        <c:shape val="box"/>
        <c:axId val="124823808"/>
        <c:axId val="128923136"/>
        <c:axId val="0"/>
      </c:bar3DChart>
      <c:catAx>
        <c:axId val="124823808"/>
        <c:scaling>
          <c:orientation val="minMax"/>
        </c:scaling>
        <c:delete val="0"/>
        <c:axPos val="b"/>
        <c:title>
          <c:tx>
            <c:rich>
              <a:bodyPr/>
              <a:lstStyle/>
              <a:p>
                <a:pPr>
                  <a:defRPr/>
                </a:pPr>
                <a:r>
                  <a:rPr lang="en-AU"/>
                  <a:t>Transaction error rate</a:t>
                </a:r>
              </a:p>
            </c:rich>
          </c:tx>
          <c:overlay val="0"/>
        </c:title>
        <c:majorTickMark val="out"/>
        <c:minorTickMark val="none"/>
        <c:tickLblPos val="nextTo"/>
        <c:txPr>
          <a:bodyPr rot="-2700000" vert="horz"/>
          <a:lstStyle/>
          <a:p>
            <a:pPr>
              <a:defRPr/>
            </a:pPr>
            <a:endParaRPr lang="en-US"/>
          </a:p>
        </c:txPr>
        <c:crossAx val="128923136"/>
        <c:crosses val="autoZero"/>
        <c:auto val="1"/>
        <c:lblAlgn val="ctr"/>
        <c:lblOffset val="100"/>
        <c:noMultiLvlLbl val="0"/>
      </c:catAx>
      <c:valAx>
        <c:axId val="128923136"/>
        <c:scaling>
          <c:orientation val="minMax"/>
        </c:scaling>
        <c:delete val="0"/>
        <c:axPos val="l"/>
        <c:majorGridlines/>
        <c:title>
          <c:tx>
            <c:rich>
              <a:bodyPr rot="-5400000" vert="horz"/>
              <a:lstStyle/>
              <a:p>
                <a:pPr>
                  <a:defRPr/>
                </a:pPr>
                <a:r>
                  <a:rPr lang="en-AU"/>
                  <a:t>Vehicles</a:t>
                </a:r>
              </a:p>
            </c:rich>
          </c:tx>
          <c:overlay val="0"/>
        </c:title>
        <c:numFmt formatCode="0%" sourceLinked="1"/>
        <c:majorTickMark val="out"/>
        <c:minorTickMark val="none"/>
        <c:tickLblPos val="nextTo"/>
        <c:crossAx val="124823808"/>
        <c:crosses val="autoZero"/>
        <c:crossBetween val="between"/>
      </c:valAx>
      <c:spPr>
        <a:scene3d>
          <a:camera prst="orthographicFront"/>
          <a:lightRig rig="threePt" dir="t"/>
        </a:scene3d>
      </c:spPr>
    </c:plotArea>
    <c:legend>
      <c:legendPos val="tr"/>
      <c:layout>
        <c:manualLayout>
          <c:xMode val="edge"/>
          <c:yMode val="edge"/>
          <c:x val="0.41586487800136096"/>
          <c:y val="8.2901554404145081E-2"/>
          <c:w val="0.36685117138135509"/>
          <c:h val="0.17328437572246475"/>
        </c:manualLayout>
      </c:layout>
      <c:overlay val="1"/>
      <c:spPr>
        <a:solidFill>
          <a:schemeClr val="bg1"/>
        </a:solidFill>
        <a:effectLst>
          <a:innerShdw blurRad="63500" dist="50800">
            <a:prstClr val="black">
              <a:alpha val="50000"/>
            </a:prstClr>
          </a:innerShdw>
        </a:effectLst>
      </c:spPr>
    </c:legend>
    <c:plotVisOnly val="1"/>
    <c:dispBlanksAs val="gap"/>
    <c:showDLblsOverMax val="0"/>
  </c:chart>
  <c:spPr>
    <a:scene3d>
      <a:camera prst="orthographicFront"/>
      <a:lightRig rig="threePt" dir="t"/>
    </a:scene3d>
    <a:sp3d>
      <a:bevelT/>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345E-18FC-4B64-B767-52A94EC5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16951</Words>
  <Characters>98023</Characters>
  <Application>Microsoft Office Word</Application>
  <DocSecurity>0</DocSecurity>
  <Lines>2722</Lines>
  <Paragraphs>1768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2015-08-24T00:59:00Z</dcterms:created>
  <dcterms:modified xsi:type="dcterms:W3CDTF">2015-08-25T01:06:00Z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