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8A" w:rsidRDefault="00002BC2">
      <w:pPr>
        <w:keepLines w:val="0"/>
        <w:spacing w:after="0" w:line="240" w:lineRule="auto"/>
        <w:ind w:left="0"/>
        <w:rPr>
          <w:rFonts w:cs="Arial"/>
          <w:b/>
          <w:sz w:val="28"/>
          <w:szCs w:val="28"/>
          <w:lang w:eastAsia="en-AU"/>
        </w:rPr>
        <w:sectPr w:rsidR="000E7E8A" w:rsidSect="004B3E0E">
          <w:headerReference w:type="even" r:id="rId9"/>
          <w:headerReference w:type="default" r:id="rId10"/>
          <w:footerReference w:type="even" r:id="rId11"/>
          <w:footerReference w:type="default" r:id="rId12"/>
          <w:headerReference w:type="first" r:id="rId13"/>
          <w:footerReference w:type="first" r:id="rId14"/>
          <w:pgSz w:w="11906" w:h="16838" w:code="9"/>
          <w:pgMar w:top="3119" w:right="1418" w:bottom="1134" w:left="1418" w:header="340" w:footer="567" w:gutter="284"/>
          <w:cols w:space="720"/>
        </w:sectPr>
      </w:pPr>
      <w:bookmarkStart w:id="0" w:name="_GoBack"/>
      <w:bookmarkEnd w:id="0"/>
      <w:r w:rsidRPr="00816CA2">
        <w:rPr>
          <w:rFonts w:cs="Arial"/>
          <w:b/>
          <w:noProof/>
          <w:sz w:val="28"/>
          <w:szCs w:val="28"/>
          <w:lang w:eastAsia="en-AU"/>
        </w:rPr>
        <w:drawing>
          <wp:anchor distT="0" distB="0" distL="114300" distR="114300" simplePos="0" relativeHeight="251688960" behindDoc="0" locked="0" layoutInCell="1" allowOverlap="1" wp14:anchorId="43020189" wp14:editId="3F01C2E1">
            <wp:simplePos x="0" y="0"/>
            <wp:positionH relativeFrom="page">
              <wp:align>left</wp:align>
            </wp:positionH>
            <wp:positionV relativeFrom="page">
              <wp:align>top</wp:align>
            </wp:positionV>
            <wp:extent cx="7538400" cy="10692000"/>
            <wp:effectExtent l="0" t="0" r="5715" b="0"/>
            <wp:wrapNone/>
            <wp:docPr id="2" name="Picture 2" descr="Cover page only" title="Cover p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38400" cy="10692000"/>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28"/>
          <w:szCs w:val="28"/>
          <w:lang w:eastAsia="en-AU"/>
        </w:rPr>
        <w:br w:type="page"/>
      </w:r>
    </w:p>
    <w:p w:rsidR="00002BC2" w:rsidRDefault="00002BC2">
      <w:pPr>
        <w:keepLines w:val="0"/>
        <w:spacing w:after="0" w:line="240" w:lineRule="auto"/>
        <w:ind w:left="0"/>
        <w:rPr>
          <w:rFonts w:cs="Arial"/>
          <w:b/>
          <w:sz w:val="28"/>
          <w:szCs w:val="28"/>
          <w:lang w:eastAsia="en-AU"/>
        </w:rPr>
      </w:pPr>
      <w:r w:rsidRPr="00816CA2">
        <w:rPr>
          <w:rFonts w:cs="Arial"/>
          <w:b/>
          <w:noProof/>
          <w:sz w:val="28"/>
          <w:szCs w:val="28"/>
          <w:lang w:eastAsia="en-AU"/>
        </w:rPr>
        <w:lastRenderedPageBreak/>
        <w:drawing>
          <wp:anchor distT="0" distB="0" distL="114300" distR="114300" simplePos="0" relativeHeight="251689984" behindDoc="1" locked="0" layoutInCell="1" allowOverlap="1" wp14:anchorId="17D7AB60" wp14:editId="47D63487">
            <wp:simplePos x="0" y="0"/>
            <wp:positionH relativeFrom="page">
              <wp:posOffset>13855</wp:posOffset>
            </wp:positionH>
            <wp:positionV relativeFrom="page">
              <wp:align>top</wp:align>
            </wp:positionV>
            <wp:extent cx="7556400" cy="10692000"/>
            <wp:effectExtent l="0" t="0" r="6985" b="0"/>
            <wp:wrapNone/>
            <wp:docPr id="11" name="Picture 11" descr="Ordered to be printed by the Legislative Assembly of the Northern Territory.&#10;ISSn 1323-7128" title="Ordered to be 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2.jpg"/>
                    <pic:cNvPicPr/>
                  </pic:nvPicPr>
                  <pic:blipFill>
                    <a:blip r:embed="rId16">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28"/>
          <w:szCs w:val="28"/>
          <w:lang w:eastAsia="en-AU"/>
        </w:rPr>
        <w:br w:type="page"/>
      </w:r>
    </w:p>
    <w:p w:rsidR="00F77ED6" w:rsidRPr="00732782" w:rsidRDefault="00F77ED6" w:rsidP="00F77ED6">
      <w:pPr>
        <w:pStyle w:val="AGRHeading1"/>
        <w:pageBreakBefore w:val="0"/>
        <w:tabs>
          <w:tab w:val="center" w:pos="4395"/>
        </w:tabs>
      </w:pPr>
      <w:r w:rsidRPr="00732782">
        <w:lastRenderedPageBreak/>
        <w:tab/>
      </w:r>
      <w:r w:rsidR="00036669">
        <w:t>August 2013</w:t>
      </w:r>
      <w:r w:rsidRPr="00732782">
        <w:t xml:space="preserve"> Report</w:t>
      </w:r>
      <w:r w:rsidRPr="00732782">
        <w:br/>
      </w:r>
      <w:r w:rsidRPr="00732782">
        <w:tab/>
        <w:t>to the Legislative Assembly</w:t>
      </w:r>
      <w:r w:rsidRPr="00732782">
        <w:br/>
      </w:r>
    </w:p>
    <w:p w:rsidR="00746EF4" w:rsidRPr="00732782" w:rsidRDefault="00746EF4" w:rsidP="00294167">
      <w:pPr>
        <w:pStyle w:val="AGRTableNumbers"/>
        <w:jc w:val="right"/>
      </w:pPr>
      <w:r w:rsidRPr="00732782">
        <w:br w:type="page"/>
      </w:r>
    </w:p>
    <w:p w:rsidR="000E7E8A" w:rsidRDefault="000E7E8A" w:rsidP="002F4F0B">
      <w:pPr>
        <w:pStyle w:val="AGRBodyText"/>
      </w:pPr>
    </w:p>
    <w:p w:rsidR="00746EF4" w:rsidRPr="00732782" w:rsidRDefault="00F5017F" w:rsidP="002F4F0B">
      <w:pPr>
        <w:pStyle w:val="AGRBodyText"/>
        <w:sectPr w:rsidR="00746EF4" w:rsidRPr="00732782" w:rsidSect="000E7E8A">
          <w:pgSz w:w="11906" w:h="16838" w:code="9"/>
          <w:pgMar w:top="2608" w:right="851" w:bottom="1134" w:left="1418" w:header="1276" w:footer="567" w:gutter="284"/>
          <w:cols w:space="720"/>
          <w:vAlign w:val="center"/>
        </w:sectPr>
      </w:pPr>
      <w:r>
        <w:rPr>
          <w:noProof/>
          <w:lang w:val="en-AU" w:eastAsia="en-AU"/>
        </w:rPr>
        <mc:AlternateContent>
          <mc:Choice Requires="wps">
            <w:drawing>
              <wp:anchor distT="0" distB="0" distL="114300" distR="114300" simplePos="0" relativeHeight="251645952" behindDoc="0" locked="0" layoutInCell="1" allowOverlap="1" wp14:anchorId="2EA0915B" wp14:editId="60F51C69">
                <wp:simplePos x="0" y="0"/>
                <wp:positionH relativeFrom="page">
                  <wp:posOffset>2862580</wp:posOffset>
                </wp:positionH>
                <wp:positionV relativeFrom="page">
                  <wp:posOffset>1080135</wp:posOffset>
                </wp:positionV>
                <wp:extent cx="1836000" cy="2916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E4C2C" w:rsidRDefault="009E4C2C" w:rsidP="00746EF4">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5.4pt;margin-top:85.05pt;width:144.55pt;height:22.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" stroked="f" strokeweight="1pt">
                <v:textbox inset="0,0,0,0">
                  <w:txbxContent>
                    <w:p w:rsidR="009E4C2C" w:rsidRDefault="009E4C2C" w:rsidP="00746EF4">
                      <w:pPr>
                        <w:pStyle w:val="AGRTableText"/>
                      </w:pPr>
                      <w:r>
                        <w:t>This page deliberately left blank.</w:t>
                      </w:r>
                    </w:p>
                  </w:txbxContent>
                </v:textbox>
                <w10:wrap anchorx="page" anchory="page"/>
              </v:rect>
            </w:pict>
          </mc:Fallback>
        </mc:AlternateContent>
      </w:r>
    </w:p>
    <w:p w:rsidR="00DD511F" w:rsidRPr="00732782" w:rsidRDefault="00DD511F" w:rsidP="0083183F">
      <w:pPr>
        <w:pStyle w:val="AGRHeading1"/>
      </w:pPr>
      <w:bookmarkStart w:id="1" w:name="contents"/>
      <w:r w:rsidRPr="00732782">
        <w:t>Contents</w:t>
      </w:r>
      <w:bookmarkEnd w:id="1"/>
    </w:p>
    <w:tbl>
      <w:tblPr>
        <w:tblW w:w="8806" w:type="dxa"/>
        <w:tblLayout w:type="fixed"/>
        <w:tblLook w:val="01E0" w:firstRow="1" w:lastRow="1" w:firstColumn="1" w:lastColumn="1" w:noHBand="0" w:noVBand="0"/>
      </w:tblPr>
      <w:tblGrid>
        <w:gridCol w:w="7817"/>
        <w:gridCol w:w="989"/>
      </w:tblGrid>
      <w:tr w:rsidR="00074668" w:rsidRPr="00732782" w:rsidTr="00074668">
        <w:tc>
          <w:tcPr>
            <w:tcW w:w="7817" w:type="dxa"/>
            <w:vAlign w:val="bottom"/>
          </w:tcPr>
          <w:p w:rsidR="00074668" w:rsidRPr="00732782" w:rsidRDefault="00074668" w:rsidP="00201259">
            <w:pPr>
              <w:pStyle w:val="AGRTOC"/>
            </w:pPr>
          </w:p>
        </w:tc>
        <w:tc>
          <w:tcPr>
            <w:tcW w:w="989" w:type="dxa"/>
          </w:tcPr>
          <w:p w:rsidR="00074668" w:rsidRPr="00BF1259" w:rsidRDefault="00B7323D" w:rsidP="00B7323D">
            <w:pPr>
              <w:pStyle w:val="AGRTableText"/>
              <w:rPr>
                <w:b/>
              </w:rPr>
            </w:pPr>
            <w:r w:rsidRPr="00BF1259">
              <w:rPr>
                <w:b/>
              </w:rPr>
              <w:t>Page</w:t>
            </w:r>
          </w:p>
        </w:tc>
      </w:tr>
      <w:tr w:rsidR="00074668" w:rsidRPr="00790B35" w:rsidTr="00FA0A65">
        <w:tc>
          <w:tcPr>
            <w:tcW w:w="7817" w:type="dxa"/>
            <w:vAlign w:val="bottom"/>
          </w:tcPr>
          <w:p w:rsidR="00074668" w:rsidRPr="00790B35" w:rsidRDefault="00036669" w:rsidP="00E71B6C">
            <w:pPr>
              <w:pStyle w:val="AGRTOC"/>
            </w:pPr>
            <w:r w:rsidRPr="00790B35">
              <w:fldChar w:fldCharType="begin"/>
            </w:r>
            <w:r w:rsidRPr="00790B35">
              <w:instrText xml:space="preserve"> REF contents \h  \* MERGEFORMAT </w:instrText>
            </w:r>
            <w:r w:rsidRPr="00790B35">
              <w:fldChar w:fldCharType="separate"/>
            </w:r>
            <w:r w:rsidR="00B53DC5" w:rsidRPr="00732782">
              <w:t>Contents</w:t>
            </w:r>
            <w:r w:rsidRPr="00790B35">
              <w:fldChar w:fldCharType="end"/>
            </w:r>
          </w:p>
        </w:tc>
        <w:tc>
          <w:tcPr>
            <w:tcW w:w="989" w:type="dxa"/>
            <w:vAlign w:val="bottom"/>
          </w:tcPr>
          <w:p w:rsidR="00074668" w:rsidRPr="00790B35" w:rsidRDefault="00694433" w:rsidP="00FA0A65">
            <w:pPr>
              <w:pStyle w:val="AGRTOCNumbers"/>
            </w:pPr>
            <w:r w:rsidRPr="00790B35">
              <w:fldChar w:fldCharType="begin"/>
            </w:r>
            <w:r w:rsidR="00B7323D" w:rsidRPr="00790B35">
              <w:instrText xml:space="preserve"> PAGEREF contents \h </w:instrText>
            </w:r>
            <w:r w:rsidRPr="00790B35">
              <w:fldChar w:fldCharType="separate"/>
            </w:r>
            <w:r w:rsidR="00B53DC5">
              <w:rPr>
                <w:noProof/>
              </w:rPr>
              <w:t>3</w:t>
            </w:r>
            <w:r w:rsidRPr="00790B35">
              <w:fldChar w:fldCharType="end"/>
            </w:r>
          </w:p>
        </w:tc>
      </w:tr>
      <w:tr w:rsidR="00074668" w:rsidRPr="00790B35" w:rsidTr="00FA0A65">
        <w:tc>
          <w:tcPr>
            <w:tcW w:w="7817" w:type="dxa"/>
          </w:tcPr>
          <w:p w:rsidR="00074668" w:rsidRPr="00790B35" w:rsidRDefault="00B7323D" w:rsidP="00E71B6C">
            <w:pPr>
              <w:pStyle w:val="AGRTOC"/>
            </w:pPr>
            <w:r w:rsidRPr="00790B35">
              <w:t>Transmittal letter to the Speaker</w:t>
            </w:r>
          </w:p>
        </w:tc>
        <w:tc>
          <w:tcPr>
            <w:tcW w:w="989" w:type="dxa"/>
            <w:vAlign w:val="bottom"/>
          </w:tcPr>
          <w:p w:rsidR="00074668" w:rsidRPr="00790B35" w:rsidRDefault="00694433" w:rsidP="00FA0A65">
            <w:pPr>
              <w:pStyle w:val="AGRTOCNumbers"/>
            </w:pPr>
            <w:r w:rsidRPr="00790B35">
              <w:fldChar w:fldCharType="begin"/>
            </w:r>
            <w:r w:rsidR="00B7323D" w:rsidRPr="00790B35">
              <w:instrText xml:space="preserve"> PAGEREF transmittal_letter \h </w:instrText>
            </w:r>
            <w:r w:rsidRPr="00790B35">
              <w:fldChar w:fldCharType="separate"/>
            </w:r>
            <w:r w:rsidR="00B53DC5">
              <w:rPr>
                <w:noProof/>
              </w:rPr>
              <w:t>5</w:t>
            </w:r>
            <w:r w:rsidRPr="00790B35">
              <w:fldChar w:fldCharType="end"/>
            </w:r>
          </w:p>
        </w:tc>
      </w:tr>
      <w:tr w:rsidR="00074668" w:rsidRPr="00790B35" w:rsidTr="00FA0A65">
        <w:tc>
          <w:tcPr>
            <w:tcW w:w="7817" w:type="dxa"/>
          </w:tcPr>
          <w:p w:rsidR="00074668" w:rsidRPr="00790B35" w:rsidRDefault="00694433" w:rsidP="00E71B6C">
            <w:pPr>
              <w:pStyle w:val="AGRTOC"/>
            </w:pPr>
            <w:r w:rsidRPr="00790B35">
              <w:fldChar w:fldCharType="begin"/>
            </w:r>
            <w:r w:rsidRPr="00790B35">
              <w:instrText xml:space="preserve"> REF AG_overview \h  \* MERGEFORMAT </w:instrText>
            </w:r>
            <w:r w:rsidRPr="00790B35">
              <w:fldChar w:fldCharType="separate"/>
            </w:r>
            <w:r w:rsidR="00B53DC5" w:rsidRPr="00732782">
              <w:t>Auditor-General’s Overview</w:t>
            </w:r>
            <w:r w:rsidRPr="00790B35">
              <w:fldChar w:fldCharType="end"/>
            </w:r>
          </w:p>
        </w:tc>
        <w:tc>
          <w:tcPr>
            <w:tcW w:w="989" w:type="dxa"/>
            <w:vAlign w:val="bottom"/>
          </w:tcPr>
          <w:p w:rsidR="00074668" w:rsidRPr="00790B35" w:rsidRDefault="00694433" w:rsidP="00FA0A65">
            <w:pPr>
              <w:pStyle w:val="AGRTOCNumbers"/>
            </w:pPr>
            <w:r w:rsidRPr="00790B35">
              <w:fldChar w:fldCharType="begin"/>
            </w:r>
            <w:r w:rsidR="00177A69" w:rsidRPr="00790B35">
              <w:instrText xml:space="preserve"> PAGEREF AG_overview \h </w:instrText>
            </w:r>
            <w:r w:rsidRPr="00790B35">
              <w:fldChar w:fldCharType="separate"/>
            </w:r>
            <w:r w:rsidR="00B53DC5">
              <w:rPr>
                <w:noProof/>
              </w:rPr>
              <w:t>7</w:t>
            </w:r>
            <w:r w:rsidRPr="00790B35">
              <w:fldChar w:fldCharType="end"/>
            </w:r>
          </w:p>
        </w:tc>
      </w:tr>
      <w:tr w:rsidR="008A580E" w:rsidRPr="00790B35" w:rsidTr="00FA0A65">
        <w:tc>
          <w:tcPr>
            <w:tcW w:w="7817" w:type="dxa"/>
          </w:tcPr>
          <w:p w:rsidR="008A580E" w:rsidRPr="00790B35" w:rsidRDefault="00694433" w:rsidP="00E71B6C">
            <w:pPr>
              <w:pStyle w:val="AGRTOC"/>
            </w:pPr>
            <w:r w:rsidRPr="00790B35">
              <w:fldChar w:fldCharType="begin"/>
            </w:r>
            <w:r w:rsidRPr="00790B35">
              <w:instrText xml:space="preserve"> REF reporting_on_audits \h  \* MERGEFORMAT </w:instrText>
            </w:r>
            <w:r w:rsidRPr="00790B35">
              <w:fldChar w:fldCharType="separate"/>
            </w:r>
            <w:r w:rsidR="00B53DC5" w:rsidRPr="00B53DC5">
              <w:t>Reports on the Results of Audits</w:t>
            </w:r>
            <w:r w:rsidRPr="00790B35">
              <w:fldChar w:fldCharType="end"/>
            </w:r>
          </w:p>
        </w:tc>
        <w:tc>
          <w:tcPr>
            <w:tcW w:w="989" w:type="dxa"/>
            <w:vAlign w:val="bottom"/>
          </w:tcPr>
          <w:p w:rsidR="008A580E" w:rsidRPr="00790B35" w:rsidRDefault="00694433" w:rsidP="00FA0A65">
            <w:pPr>
              <w:pStyle w:val="AGRTOCNumbers"/>
            </w:pPr>
            <w:r w:rsidRPr="00790B35">
              <w:fldChar w:fldCharType="begin"/>
            </w:r>
            <w:r w:rsidR="008A580E" w:rsidRPr="00790B35">
              <w:instrText xml:space="preserve"> PAGEREF  reporting_on_audits \h </w:instrText>
            </w:r>
            <w:r w:rsidRPr="00790B35">
              <w:fldChar w:fldCharType="separate"/>
            </w:r>
            <w:r w:rsidR="00B53DC5">
              <w:rPr>
                <w:noProof/>
              </w:rPr>
              <w:t>9</w:t>
            </w:r>
            <w:r w:rsidRPr="00790B35">
              <w:fldChar w:fldCharType="end"/>
            </w:r>
          </w:p>
        </w:tc>
      </w:tr>
      <w:tr w:rsidR="00BB1EAA" w:rsidRPr="00790B35" w:rsidTr="00BB1EAA">
        <w:tc>
          <w:tcPr>
            <w:tcW w:w="7817" w:type="dxa"/>
          </w:tcPr>
          <w:p w:rsidR="00BB1EAA" w:rsidRPr="00790B35" w:rsidRDefault="00BB1EAA" w:rsidP="00BB1EAA">
            <w:pPr>
              <w:pStyle w:val="AGRTOC"/>
            </w:pPr>
            <w:r>
              <w:fldChar w:fldCharType="begin"/>
            </w:r>
            <w:r>
              <w:instrText xml:space="preserve"> REF  PIA \h  \* MERGEFORMAT </w:instrText>
            </w:r>
            <w:r>
              <w:fldChar w:fldCharType="separate"/>
            </w:r>
            <w:r w:rsidR="00B53DC5">
              <w:t>Matters Referred to Auditor-General Pursuant to Section 6 of the Public Information Act</w:t>
            </w:r>
            <w:r>
              <w:fldChar w:fldCharType="end"/>
            </w:r>
          </w:p>
        </w:tc>
        <w:tc>
          <w:tcPr>
            <w:tcW w:w="989" w:type="dxa"/>
            <w:vAlign w:val="bottom"/>
          </w:tcPr>
          <w:p w:rsidR="00BB1EAA" w:rsidRPr="00790B35" w:rsidRDefault="00BB1EAA" w:rsidP="00BB1EAA">
            <w:pPr>
              <w:pStyle w:val="AGRTOCNumbers"/>
            </w:pPr>
            <w:r>
              <w:fldChar w:fldCharType="begin"/>
            </w:r>
            <w:r>
              <w:instrText xml:space="preserve"> PAGEREF  PIA \h </w:instrText>
            </w:r>
            <w:r>
              <w:fldChar w:fldCharType="separate"/>
            </w:r>
            <w:r w:rsidR="00B53DC5">
              <w:rPr>
                <w:noProof/>
              </w:rPr>
              <w:t>59</w:t>
            </w:r>
            <w:r>
              <w:fldChar w:fldCharType="end"/>
            </w:r>
          </w:p>
        </w:tc>
      </w:tr>
      <w:tr w:rsidR="008A580E" w:rsidRPr="00790B35" w:rsidTr="00FA0A65">
        <w:tc>
          <w:tcPr>
            <w:tcW w:w="7817" w:type="dxa"/>
          </w:tcPr>
          <w:p w:rsidR="008A580E" w:rsidRPr="00790B35" w:rsidRDefault="00694433" w:rsidP="00E71B6C">
            <w:pPr>
              <w:pStyle w:val="AGRTOC"/>
            </w:pPr>
            <w:r w:rsidRPr="00790B35">
              <w:fldChar w:fldCharType="begin"/>
            </w:r>
            <w:r w:rsidRPr="00790B35">
              <w:instrText xml:space="preserve"> REF appendix_1 \h  \* MERGEFORMAT </w:instrText>
            </w:r>
            <w:r w:rsidRPr="00790B35">
              <w:fldChar w:fldCharType="separate"/>
            </w:r>
            <w:r w:rsidR="00B53DC5" w:rsidRPr="00732782">
              <w:t xml:space="preserve">Appendix 1: Audit Opinion </w:t>
            </w:r>
            <w:r w:rsidR="00B53DC5">
              <w:t>R</w:t>
            </w:r>
            <w:r w:rsidR="00B53DC5" w:rsidRPr="00732782">
              <w:t xml:space="preserve">eports </w:t>
            </w:r>
            <w:r w:rsidR="00B53DC5">
              <w:t>Issued S</w:t>
            </w:r>
            <w:r w:rsidR="00B53DC5" w:rsidRPr="00732782">
              <w:t xml:space="preserve">ince 31 December </w:t>
            </w:r>
            <w:r w:rsidR="00B53DC5">
              <w:t>2012</w:t>
            </w:r>
            <w:r w:rsidRPr="00790B35">
              <w:fldChar w:fldCharType="end"/>
            </w:r>
          </w:p>
        </w:tc>
        <w:tc>
          <w:tcPr>
            <w:tcW w:w="989" w:type="dxa"/>
            <w:vAlign w:val="bottom"/>
          </w:tcPr>
          <w:p w:rsidR="008A580E" w:rsidRPr="00790B35" w:rsidRDefault="00694433" w:rsidP="00FA0A65">
            <w:pPr>
              <w:pStyle w:val="AGRTOCNumbers"/>
            </w:pPr>
            <w:r w:rsidRPr="00790B35">
              <w:fldChar w:fldCharType="begin"/>
            </w:r>
            <w:r w:rsidR="008A580E" w:rsidRPr="00790B35">
              <w:instrText xml:space="preserve"> PAGEREF appendix_1 \h </w:instrText>
            </w:r>
            <w:r w:rsidRPr="00790B35">
              <w:fldChar w:fldCharType="separate"/>
            </w:r>
            <w:r w:rsidR="00B53DC5">
              <w:rPr>
                <w:noProof/>
              </w:rPr>
              <w:t>63</w:t>
            </w:r>
            <w:r w:rsidRPr="00790B35">
              <w:fldChar w:fldCharType="end"/>
            </w:r>
          </w:p>
        </w:tc>
      </w:tr>
      <w:tr w:rsidR="008A580E" w:rsidRPr="00790B35" w:rsidTr="00FA0A65">
        <w:tc>
          <w:tcPr>
            <w:tcW w:w="7817" w:type="dxa"/>
            <w:vAlign w:val="bottom"/>
          </w:tcPr>
          <w:p w:rsidR="008A580E" w:rsidRPr="00790B35" w:rsidRDefault="00694433" w:rsidP="00E71B6C">
            <w:pPr>
              <w:pStyle w:val="AGRTOC"/>
            </w:pPr>
            <w:r w:rsidRPr="00790B35">
              <w:fldChar w:fldCharType="begin"/>
            </w:r>
            <w:r w:rsidRPr="00790B35">
              <w:instrText xml:space="preserve"> REF appendix_2 \h  \* MERGEFORMAT </w:instrText>
            </w:r>
            <w:r w:rsidRPr="00790B35">
              <w:fldChar w:fldCharType="separate"/>
            </w:r>
            <w:r w:rsidR="00B53DC5" w:rsidRPr="00732782">
              <w:t xml:space="preserve">Appendix 2: Status of Audits </w:t>
            </w:r>
            <w:r w:rsidR="00B53DC5">
              <w:t>w</w:t>
            </w:r>
            <w:r w:rsidR="00B53DC5" w:rsidRPr="00732782">
              <w:t xml:space="preserve">hich </w:t>
            </w:r>
            <w:r w:rsidR="00B53DC5">
              <w:t>were Identified to be C</w:t>
            </w:r>
            <w:r w:rsidR="00B53DC5" w:rsidRPr="00732782">
              <w:t xml:space="preserve">onducted in the </w:t>
            </w:r>
            <w:r w:rsidR="00B53DC5">
              <w:t>Six M</w:t>
            </w:r>
            <w:r w:rsidR="00B53DC5" w:rsidRPr="00732782">
              <w:t xml:space="preserve">onths to 30 June </w:t>
            </w:r>
            <w:r w:rsidR="00B53DC5">
              <w:t>2013</w:t>
            </w:r>
            <w:r w:rsidR="00B53DC5" w:rsidRPr="00732782">
              <w:t xml:space="preserve"> </w:t>
            </w:r>
            <w:r w:rsidRPr="00790B35">
              <w:fldChar w:fldCharType="end"/>
            </w:r>
          </w:p>
        </w:tc>
        <w:tc>
          <w:tcPr>
            <w:tcW w:w="989" w:type="dxa"/>
            <w:vAlign w:val="bottom"/>
          </w:tcPr>
          <w:p w:rsidR="008A580E" w:rsidRPr="00790B35" w:rsidRDefault="00694433" w:rsidP="00FA0A65">
            <w:pPr>
              <w:pStyle w:val="AGRTOCNumbers"/>
            </w:pPr>
            <w:r w:rsidRPr="00790B35">
              <w:fldChar w:fldCharType="begin"/>
            </w:r>
            <w:r w:rsidR="008A580E" w:rsidRPr="00790B35">
              <w:instrText xml:space="preserve"> PAGEREF appendix_2 \h </w:instrText>
            </w:r>
            <w:r w:rsidRPr="00790B35">
              <w:fldChar w:fldCharType="separate"/>
            </w:r>
            <w:r w:rsidR="00B53DC5">
              <w:rPr>
                <w:noProof/>
              </w:rPr>
              <w:t>65</w:t>
            </w:r>
            <w:r w:rsidRPr="00790B35">
              <w:fldChar w:fldCharType="end"/>
            </w:r>
          </w:p>
        </w:tc>
      </w:tr>
      <w:tr w:rsidR="008A580E" w:rsidRPr="00790B35" w:rsidTr="00FA0A65">
        <w:tc>
          <w:tcPr>
            <w:tcW w:w="7817" w:type="dxa"/>
          </w:tcPr>
          <w:p w:rsidR="008A580E" w:rsidRPr="00790B35" w:rsidRDefault="00694433" w:rsidP="00E71B6C">
            <w:pPr>
              <w:pStyle w:val="AGRTOC"/>
            </w:pPr>
            <w:r w:rsidRPr="00790B35">
              <w:fldChar w:fldCharType="begin"/>
            </w:r>
            <w:r w:rsidRPr="00790B35">
              <w:instrText xml:space="preserve"> REF appendix_3 \h  \* MERGEFORMAT </w:instrText>
            </w:r>
            <w:r w:rsidRPr="00790B35">
              <w:fldChar w:fldCharType="separate"/>
            </w:r>
            <w:r w:rsidR="00B53DC5" w:rsidRPr="00732782">
              <w:t xml:space="preserve">Appendix 3: </w:t>
            </w:r>
            <w:r w:rsidR="00B53DC5">
              <w:t>Proposed Audit Activity in the Six M</w:t>
            </w:r>
            <w:r w:rsidR="00B53DC5" w:rsidRPr="00732782">
              <w:t xml:space="preserve">onths </w:t>
            </w:r>
            <w:r w:rsidR="00B53DC5">
              <w:t>E</w:t>
            </w:r>
            <w:r w:rsidR="00B53DC5" w:rsidRPr="00732782">
              <w:t xml:space="preserve">nding 31 December </w:t>
            </w:r>
            <w:r w:rsidR="00B53DC5">
              <w:t>2013</w:t>
            </w:r>
            <w:r w:rsidRPr="00790B35">
              <w:fldChar w:fldCharType="end"/>
            </w:r>
          </w:p>
        </w:tc>
        <w:tc>
          <w:tcPr>
            <w:tcW w:w="989" w:type="dxa"/>
            <w:vAlign w:val="bottom"/>
          </w:tcPr>
          <w:p w:rsidR="008A580E" w:rsidRPr="00790B35" w:rsidRDefault="00694433" w:rsidP="00FA0A65">
            <w:pPr>
              <w:pStyle w:val="AGRTOCNumbers"/>
            </w:pPr>
            <w:r w:rsidRPr="00790B35">
              <w:fldChar w:fldCharType="begin"/>
            </w:r>
            <w:r w:rsidR="008A580E" w:rsidRPr="00790B35">
              <w:instrText xml:space="preserve"> PAGEREF appendix_3 \h </w:instrText>
            </w:r>
            <w:r w:rsidRPr="00790B35">
              <w:fldChar w:fldCharType="separate"/>
            </w:r>
            <w:r w:rsidR="00B53DC5">
              <w:rPr>
                <w:noProof/>
              </w:rPr>
              <w:t>67</w:t>
            </w:r>
            <w:r w:rsidRPr="00790B35">
              <w:fldChar w:fldCharType="end"/>
            </w:r>
          </w:p>
        </w:tc>
      </w:tr>
      <w:tr w:rsidR="008A580E" w:rsidRPr="00790B35" w:rsidTr="00FA0A65">
        <w:tc>
          <w:tcPr>
            <w:tcW w:w="7817" w:type="dxa"/>
          </w:tcPr>
          <w:p w:rsidR="008A580E" w:rsidRPr="00790B35" w:rsidRDefault="00694433" w:rsidP="00E71B6C">
            <w:pPr>
              <w:pStyle w:val="AGRTOC"/>
            </w:pPr>
            <w:r w:rsidRPr="00790B35">
              <w:fldChar w:fldCharType="begin"/>
            </w:r>
            <w:r w:rsidRPr="00790B35">
              <w:instrText xml:space="preserve"> REF appendix_4 \h  \* MERGEFORMAT </w:instrText>
            </w:r>
            <w:r w:rsidRPr="00790B35">
              <w:fldChar w:fldCharType="separate"/>
            </w:r>
            <w:r w:rsidR="00B53DC5" w:rsidRPr="00732782">
              <w:t>Appendix 4</w:t>
            </w:r>
            <w:r w:rsidR="00B53DC5">
              <w:t>: Overview of the A</w:t>
            </w:r>
            <w:r w:rsidR="00B53DC5" w:rsidRPr="00732782">
              <w:t xml:space="preserve">pproach to </w:t>
            </w:r>
            <w:r w:rsidR="00B53DC5">
              <w:t>A</w:t>
            </w:r>
            <w:r w:rsidR="00B53DC5" w:rsidRPr="00732782">
              <w:t xml:space="preserve">uditing the Public Account and </w:t>
            </w:r>
            <w:r w:rsidR="00B53DC5">
              <w:t>Other A</w:t>
            </w:r>
            <w:r w:rsidR="00B53DC5" w:rsidRPr="00732782">
              <w:t>ccounts</w:t>
            </w:r>
            <w:r w:rsidRPr="00790B35">
              <w:fldChar w:fldCharType="end"/>
            </w:r>
          </w:p>
        </w:tc>
        <w:tc>
          <w:tcPr>
            <w:tcW w:w="989" w:type="dxa"/>
            <w:vAlign w:val="bottom"/>
          </w:tcPr>
          <w:p w:rsidR="008A580E" w:rsidRPr="00790B35" w:rsidRDefault="00694433" w:rsidP="00FA0A65">
            <w:pPr>
              <w:pStyle w:val="AGRTOCNumbers"/>
            </w:pPr>
            <w:r w:rsidRPr="00790B35">
              <w:fldChar w:fldCharType="begin"/>
            </w:r>
            <w:r w:rsidR="008A580E" w:rsidRPr="00790B35">
              <w:instrText xml:space="preserve"> PAGEREF appendix_4 \h </w:instrText>
            </w:r>
            <w:r w:rsidRPr="00790B35">
              <w:fldChar w:fldCharType="separate"/>
            </w:r>
            <w:r w:rsidR="00B53DC5">
              <w:rPr>
                <w:noProof/>
              </w:rPr>
              <w:t>69</w:t>
            </w:r>
            <w:r w:rsidRPr="00790B35">
              <w:fldChar w:fldCharType="end"/>
            </w:r>
          </w:p>
        </w:tc>
      </w:tr>
      <w:tr w:rsidR="008A580E" w:rsidRPr="00790B35" w:rsidTr="00FA0A65">
        <w:tc>
          <w:tcPr>
            <w:tcW w:w="7817" w:type="dxa"/>
          </w:tcPr>
          <w:p w:rsidR="008A580E" w:rsidRPr="00790B35" w:rsidRDefault="00694433" w:rsidP="007960C0">
            <w:pPr>
              <w:pStyle w:val="AGRTOC"/>
            </w:pPr>
            <w:r w:rsidRPr="00790B35">
              <w:fldChar w:fldCharType="begin"/>
            </w:r>
            <w:r w:rsidRPr="00790B35">
              <w:instrText xml:space="preserve"> REF appendix_5 \h  \* MERGEFORMAT </w:instrText>
            </w:r>
            <w:r w:rsidRPr="00790B35">
              <w:fldChar w:fldCharType="separate"/>
            </w:r>
            <w:r w:rsidR="00B53DC5" w:rsidRPr="00732782">
              <w:t>Appendix 5</w:t>
            </w:r>
            <w:r w:rsidR="00B53DC5">
              <w:t>: Overview of the Approach to A</w:t>
            </w:r>
            <w:r w:rsidR="00B53DC5" w:rsidRPr="00732782">
              <w:t xml:space="preserve">uditing </w:t>
            </w:r>
            <w:r w:rsidR="00B53DC5">
              <w:t>P</w:t>
            </w:r>
            <w:r w:rsidR="00B53DC5" w:rsidRPr="00732782">
              <w:t xml:space="preserve">erformance </w:t>
            </w:r>
            <w:r w:rsidR="00B53DC5">
              <w:t>Management S</w:t>
            </w:r>
            <w:r w:rsidR="00B53DC5" w:rsidRPr="00732782">
              <w:t>ystems</w:t>
            </w:r>
            <w:r w:rsidRPr="00790B35">
              <w:fldChar w:fldCharType="end"/>
            </w:r>
          </w:p>
        </w:tc>
        <w:tc>
          <w:tcPr>
            <w:tcW w:w="989" w:type="dxa"/>
            <w:vAlign w:val="bottom"/>
          </w:tcPr>
          <w:p w:rsidR="008A580E" w:rsidRPr="00790B35" w:rsidRDefault="00694433" w:rsidP="00FA0A65">
            <w:pPr>
              <w:pStyle w:val="AGRTOCNumbers"/>
            </w:pPr>
            <w:r w:rsidRPr="00790B35">
              <w:fldChar w:fldCharType="begin"/>
            </w:r>
            <w:r w:rsidR="008A580E" w:rsidRPr="00790B35">
              <w:instrText xml:space="preserve"> PAGEREF appendix_5 \h </w:instrText>
            </w:r>
            <w:r w:rsidRPr="00790B35">
              <w:fldChar w:fldCharType="separate"/>
            </w:r>
            <w:r w:rsidR="00B53DC5">
              <w:rPr>
                <w:noProof/>
              </w:rPr>
              <w:t>71</w:t>
            </w:r>
            <w:r w:rsidRPr="00790B35">
              <w:fldChar w:fldCharType="end"/>
            </w:r>
          </w:p>
        </w:tc>
      </w:tr>
      <w:tr w:rsidR="008A580E" w:rsidRPr="00790B35" w:rsidTr="00FA0A65">
        <w:tc>
          <w:tcPr>
            <w:tcW w:w="7817" w:type="dxa"/>
          </w:tcPr>
          <w:p w:rsidR="008A580E" w:rsidRPr="00790B35" w:rsidRDefault="00694433" w:rsidP="00E71B6C">
            <w:pPr>
              <w:pStyle w:val="AGRTOC"/>
            </w:pPr>
            <w:r w:rsidRPr="00790B35">
              <w:fldChar w:fldCharType="begin"/>
            </w:r>
            <w:r w:rsidRPr="00790B35">
              <w:instrText xml:space="preserve"> REF appendix_6 \h  \* MERGEFORMAT </w:instrText>
            </w:r>
            <w:r w:rsidRPr="00790B35">
              <w:fldChar w:fldCharType="separate"/>
            </w:r>
            <w:r w:rsidR="00B53DC5" w:rsidRPr="00732782">
              <w:t>Appendix 6:</w:t>
            </w:r>
            <w:r w:rsidR="00B53DC5">
              <w:t xml:space="preserve"> Agencies not A</w:t>
            </w:r>
            <w:r w:rsidR="00B53DC5" w:rsidRPr="00732782">
              <w:t xml:space="preserve">udited in the year ended 30 June </w:t>
            </w:r>
            <w:r w:rsidR="00B53DC5">
              <w:t>2013</w:t>
            </w:r>
            <w:r w:rsidRPr="00790B35">
              <w:fldChar w:fldCharType="end"/>
            </w:r>
          </w:p>
        </w:tc>
        <w:tc>
          <w:tcPr>
            <w:tcW w:w="989" w:type="dxa"/>
            <w:vAlign w:val="bottom"/>
          </w:tcPr>
          <w:p w:rsidR="008A580E" w:rsidRPr="00790B35" w:rsidRDefault="00694433" w:rsidP="00FA0A65">
            <w:pPr>
              <w:pStyle w:val="AGRTOCNumbers"/>
            </w:pPr>
            <w:r w:rsidRPr="00790B35">
              <w:fldChar w:fldCharType="begin"/>
            </w:r>
            <w:r w:rsidR="008A580E" w:rsidRPr="00790B35">
              <w:instrText xml:space="preserve"> PAGEREF appendix_6 \h </w:instrText>
            </w:r>
            <w:r w:rsidRPr="00790B35">
              <w:fldChar w:fldCharType="separate"/>
            </w:r>
            <w:r w:rsidR="00B53DC5">
              <w:rPr>
                <w:noProof/>
              </w:rPr>
              <w:t>73</w:t>
            </w:r>
            <w:r w:rsidRPr="00790B35">
              <w:fldChar w:fldCharType="end"/>
            </w:r>
          </w:p>
        </w:tc>
      </w:tr>
      <w:tr w:rsidR="00DC3BD0" w:rsidRPr="00790B35" w:rsidTr="003F0BA3">
        <w:tc>
          <w:tcPr>
            <w:tcW w:w="7817" w:type="dxa"/>
          </w:tcPr>
          <w:p w:rsidR="00DC3BD0" w:rsidRPr="00790B35" w:rsidRDefault="00DC3BD0" w:rsidP="003F0BA3">
            <w:pPr>
              <w:pStyle w:val="AGRTOC"/>
            </w:pPr>
            <w:r>
              <w:fldChar w:fldCharType="begin"/>
            </w:r>
            <w:r>
              <w:instrText xml:space="preserve"> REF  appendix_7 \h  \* MERGEFORMAT </w:instrText>
            </w:r>
            <w:r>
              <w:fldChar w:fldCharType="separate"/>
            </w:r>
            <w:r w:rsidR="00B53DC5">
              <w:t>Appendix 7: Public Information Act</w:t>
            </w:r>
            <w:r>
              <w:fldChar w:fldCharType="end"/>
            </w:r>
          </w:p>
        </w:tc>
        <w:tc>
          <w:tcPr>
            <w:tcW w:w="989" w:type="dxa"/>
            <w:vAlign w:val="bottom"/>
          </w:tcPr>
          <w:p w:rsidR="00DC3BD0" w:rsidRPr="00790B35" w:rsidRDefault="00DC3BD0" w:rsidP="003F0BA3">
            <w:pPr>
              <w:pStyle w:val="AGRTOCNumbers"/>
            </w:pPr>
            <w:r>
              <w:fldChar w:fldCharType="begin"/>
            </w:r>
            <w:r>
              <w:instrText xml:space="preserve"> PAGEREF  appendix_7 \h </w:instrText>
            </w:r>
            <w:r>
              <w:fldChar w:fldCharType="separate"/>
            </w:r>
            <w:r w:rsidR="00B53DC5">
              <w:rPr>
                <w:noProof/>
              </w:rPr>
              <w:t>75</w:t>
            </w:r>
            <w:r>
              <w:fldChar w:fldCharType="end"/>
            </w:r>
          </w:p>
        </w:tc>
      </w:tr>
      <w:tr w:rsidR="00790B35" w:rsidRPr="00790B35" w:rsidTr="004C5E15">
        <w:tc>
          <w:tcPr>
            <w:tcW w:w="7817" w:type="dxa"/>
          </w:tcPr>
          <w:p w:rsidR="00790B35" w:rsidRPr="00790B35" w:rsidRDefault="00DC3BD0" w:rsidP="004C5E15">
            <w:pPr>
              <w:pStyle w:val="AGRTOC"/>
            </w:pPr>
            <w:r>
              <w:fldChar w:fldCharType="begin"/>
            </w:r>
            <w:r>
              <w:instrText xml:space="preserve"> REF  appendix_8 \h </w:instrText>
            </w:r>
            <w:r>
              <w:fldChar w:fldCharType="separate"/>
            </w:r>
            <w:r w:rsidR="00B53DC5" w:rsidRPr="00732782">
              <w:t xml:space="preserve">Appendix </w:t>
            </w:r>
            <w:r w:rsidR="00B53DC5">
              <w:t>8</w:t>
            </w:r>
            <w:r w:rsidR="00B53DC5" w:rsidRPr="00732782">
              <w:t>: Abbreviations</w:t>
            </w:r>
            <w:r>
              <w:fldChar w:fldCharType="end"/>
            </w:r>
          </w:p>
        </w:tc>
        <w:tc>
          <w:tcPr>
            <w:tcW w:w="989" w:type="dxa"/>
            <w:vAlign w:val="bottom"/>
          </w:tcPr>
          <w:p w:rsidR="00790B35" w:rsidRPr="00790B35" w:rsidRDefault="00DC3BD0" w:rsidP="004C5E15">
            <w:pPr>
              <w:pStyle w:val="AGRTOCNumbers"/>
            </w:pPr>
            <w:r>
              <w:fldChar w:fldCharType="begin"/>
            </w:r>
            <w:r>
              <w:instrText xml:space="preserve"> PAGEREF  appendix_8 \h </w:instrText>
            </w:r>
            <w:r>
              <w:fldChar w:fldCharType="separate"/>
            </w:r>
            <w:r w:rsidR="00B53DC5">
              <w:rPr>
                <w:noProof/>
              </w:rPr>
              <w:t>79</w:t>
            </w:r>
            <w:r>
              <w:fldChar w:fldCharType="end"/>
            </w:r>
          </w:p>
        </w:tc>
      </w:tr>
      <w:tr w:rsidR="008A580E" w:rsidRPr="00732782" w:rsidTr="00FA0A65">
        <w:tc>
          <w:tcPr>
            <w:tcW w:w="7817" w:type="dxa"/>
          </w:tcPr>
          <w:p w:rsidR="008A580E" w:rsidRPr="00790B35" w:rsidRDefault="00DC3BD0" w:rsidP="009E2A74">
            <w:pPr>
              <w:pStyle w:val="AGRTOC"/>
            </w:pPr>
            <w:r>
              <w:fldChar w:fldCharType="begin"/>
            </w:r>
            <w:r>
              <w:instrText xml:space="preserve"> REF  Index_of_matters_reported \h  \* MERGEFORMAT </w:instrText>
            </w:r>
            <w:r>
              <w:fldChar w:fldCharType="separate"/>
            </w:r>
            <w:r w:rsidR="00B53DC5">
              <w:t>Index of M</w:t>
            </w:r>
            <w:r w:rsidR="00B53DC5" w:rsidRPr="00732782">
              <w:t xml:space="preserve">atters </w:t>
            </w:r>
            <w:r w:rsidR="00B53DC5">
              <w:t>R</w:t>
            </w:r>
            <w:r w:rsidR="00B53DC5" w:rsidRPr="00732782">
              <w:t>eported</w:t>
            </w:r>
            <w:r>
              <w:fldChar w:fldCharType="end"/>
            </w:r>
          </w:p>
        </w:tc>
        <w:tc>
          <w:tcPr>
            <w:tcW w:w="989" w:type="dxa"/>
            <w:vAlign w:val="bottom"/>
          </w:tcPr>
          <w:p w:rsidR="008A580E" w:rsidRPr="00732782" w:rsidRDefault="00DC3BD0" w:rsidP="00FA0A65">
            <w:pPr>
              <w:pStyle w:val="AGRTOCNumbers"/>
            </w:pPr>
            <w:r>
              <w:fldChar w:fldCharType="begin"/>
            </w:r>
            <w:r>
              <w:instrText xml:space="preserve"> PAGEREF  Index_of_matters_reported \h </w:instrText>
            </w:r>
            <w:r>
              <w:fldChar w:fldCharType="separate"/>
            </w:r>
            <w:r w:rsidR="00B53DC5">
              <w:rPr>
                <w:noProof/>
              </w:rPr>
              <w:t>81</w:t>
            </w:r>
            <w:r>
              <w:fldChar w:fldCharType="end"/>
            </w:r>
          </w:p>
        </w:tc>
      </w:tr>
    </w:tbl>
    <w:p w:rsidR="00746EF4" w:rsidRPr="00732782" w:rsidRDefault="00DD511F" w:rsidP="002F4F0B">
      <w:pPr>
        <w:pStyle w:val="AGRBodyText"/>
      </w:pPr>
      <w:r w:rsidRPr="00732782">
        <w:br w:type="page"/>
      </w:r>
    </w:p>
    <w:p w:rsidR="00746EF4" w:rsidRPr="00732782" w:rsidRDefault="00F5017F" w:rsidP="002F4F0B">
      <w:pPr>
        <w:pStyle w:val="AGRBodyText"/>
        <w:sectPr w:rsidR="00746EF4" w:rsidRPr="00732782" w:rsidSect="00816CA2">
          <w:headerReference w:type="even" r:id="rId17"/>
          <w:headerReference w:type="default" r:id="rId18"/>
          <w:footerReference w:type="even" r:id="rId19"/>
          <w:footerReference w:type="default" r:id="rId20"/>
          <w:headerReference w:type="first" r:id="rId21"/>
          <w:footerReference w:type="first" r:id="rId22"/>
          <w:pgSz w:w="11906" w:h="16838" w:code="9"/>
          <w:pgMar w:top="3119" w:right="1418" w:bottom="1134" w:left="1418" w:header="340" w:footer="567" w:gutter="284"/>
          <w:pgNumType w:start="3"/>
          <w:cols w:space="708"/>
          <w:docGrid w:linePitch="360"/>
        </w:sectPr>
      </w:pPr>
      <w:r>
        <w:rPr>
          <w:noProof/>
          <w:lang w:val="en-AU" w:eastAsia="en-AU"/>
        </w:rPr>
        <mc:AlternateContent>
          <mc:Choice Requires="wps">
            <w:drawing>
              <wp:anchor distT="0" distB="0" distL="114300" distR="114300" simplePos="0" relativeHeight="251649024" behindDoc="0" locked="0" layoutInCell="1" allowOverlap="1" wp14:anchorId="34ACDC6C" wp14:editId="6690D96C">
                <wp:simplePos x="0" y="0"/>
                <wp:positionH relativeFrom="page">
                  <wp:align>center</wp:align>
                </wp:positionH>
                <wp:positionV relativeFrom="page">
                  <wp:align>center</wp:align>
                </wp:positionV>
                <wp:extent cx="1837055" cy="292735"/>
                <wp:effectExtent l="0" t="0" r="0" b="381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E4C2C" w:rsidRDefault="009E4C2C" w:rsidP="00DD511F">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0;width:144.65pt;height:23.0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iSfQIAAP8E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CzJXiSfQIAAP8EAAAO&#10;AAAAAAAAAAAAAAAAAC4CAABkcnMvZTJvRG9jLnhtbFBLAQItABQABgAIAAAAIQBAtcdy2gAAAAQB&#10;AAAPAAAAAAAAAAAAAAAAANcEAABkcnMvZG93bnJldi54bWxQSwUGAAAAAAQABADzAAAA3gUAAAAA&#10;" stroked="f" strokeweight="1pt">
                <v:textbox inset="0,0,0,0">
                  <w:txbxContent>
                    <w:p w:rsidR="009E4C2C" w:rsidRDefault="009E4C2C" w:rsidP="00DD511F">
                      <w:pPr>
                        <w:pStyle w:val="AGRTableText"/>
                      </w:pPr>
                      <w:r>
                        <w:t>This page deliberately left blank.</w:t>
                      </w:r>
                    </w:p>
                  </w:txbxContent>
                </v:textbox>
                <w10:wrap anchorx="page" anchory="page"/>
              </v:rect>
            </w:pict>
          </mc:Fallback>
        </mc:AlternateContent>
      </w:r>
    </w:p>
    <w:p w:rsidR="002E0CA5" w:rsidRDefault="002E0CA5" w:rsidP="00074668">
      <w:pPr>
        <w:pStyle w:val="AGRSpeakersletter"/>
      </w:pPr>
    </w:p>
    <w:p w:rsidR="002E0CA5" w:rsidRDefault="002E0CA5" w:rsidP="00074668">
      <w:pPr>
        <w:pStyle w:val="AGRSpeakersletter"/>
      </w:pPr>
    </w:p>
    <w:p w:rsidR="00EB0039" w:rsidRPr="00732782" w:rsidRDefault="00EB0039" w:rsidP="00074668">
      <w:pPr>
        <w:pStyle w:val="AGRSpeakersletter"/>
      </w:pPr>
      <w:r w:rsidRPr="007478CE">
        <w:t xml:space="preserve">The </w:t>
      </w:r>
      <w:bookmarkStart w:id="2" w:name="transmittal_letter"/>
      <w:r w:rsidR="002250EC" w:rsidRPr="007478CE">
        <w:t>Honourable</w:t>
      </w:r>
      <w:r w:rsidRPr="007478CE">
        <w:t xml:space="preserve"> Speaker </w:t>
      </w:r>
      <w:bookmarkEnd w:id="2"/>
      <w:r w:rsidRPr="007478CE">
        <w:t>of the Legislative</w:t>
      </w:r>
      <w:r w:rsidRPr="00732782">
        <w:t xml:space="preserve"> </w:t>
      </w:r>
      <w:r w:rsidRPr="00732782">
        <w:br/>
        <w:t xml:space="preserve">    Assembly of the Northern Territory</w:t>
      </w:r>
      <w:r w:rsidRPr="00732782">
        <w:br/>
        <w:t>Parliament House</w:t>
      </w:r>
      <w:r w:rsidRPr="00732782">
        <w:br/>
        <w:t>Darwin  NT  0800</w:t>
      </w:r>
    </w:p>
    <w:p w:rsidR="0023413D" w:rsidRDefault="0023413D" w:rsidP="00074668">
      <w:pPr>
        <w:pStyle w:val="AGRSpeakersletter"/>
      </w:pPr>
    </w:p>
    <w:p w:rsidR="00EB0039" w:rsidRPr="00732782" w:rsidRDefault="00D970B9" w:rsidP="00074668">
      <w:pPr>
        <w:pStyle w:val="AGRSpeakersletter"/>
      </w:pPr>
      <w:r w:rsidRPr="0023413D">
        <w:t>27</w:t>
      </w:r>
      <w:r w:rsidR="000228AE" w:rsidRPr="0023413D">
        <w:t xml:space="preserve"> </w:t>
      </w:r>
      <w:r w:rsidR="00036669" w:rsidRPr="0023413D">
        <w:t>August 2013</w:t>
      </w:r>
    </w:p>
    <w:p w:rsidR="00EB0039" w:rsidRPr="00732782" w:rsidRDefault="00EB0039" w:rsidP="00074668">
      <w:pPr>
        <w:pStyle w:val="AGRSpeakersletter"/>
      </w:pPr>
    </w:p>
    <w:p w:rsidR="00EB0039" w:rsidRPr="00732782" w:rsidRDefault="00EB0039" w:rsidP="00074668">
      <w:pPr>
        <w:pStyle w:val="AGRSpeakersletter"/>
      </w:pPr>
      <w:r w:rsidRPr="00732782">
        <w:t xml:space="preserve">Dear </w:t>
      </w:r>
      <w:r w:rsidR="00BC7A1E">
        <w:t xml:space="preserve">Madam </w:t>
      </w:r>
      <w:r w:rsidRPr="00732782">
        <w:t>Speaker,</w:t>
      </w:r>
    </w:p>
    <w:p w:rsidR="000A60A0" w:rsidRPr="0030223E" w:rsidRDefault="000A60A0" w:rsidP="000A60A0">
      <w:pPr>
        <w:pStyle w:val="AGRSpeakersletter"/>
      </w:pPr>
      <w:r w:rsidRPr="00732782">
        <w:t xml:space="preserve">Accompanying this letter is my report to the Legislative Assembly on matters arising from audits conducted during the six months </w:t>
      </w:r>
      <w:r w:rsidR="004E30AB" w:rsidRPr="00732782">
        <w:t xml:space="preserve">ended </w:t>
      </w:r>
      <w:r w:rsidRPr="00732782">
        <w:t xml:space="preserve">30 June </w:t>
      </w:r>
      <w:r w:rsidR="00313635">
        <w:t>201</w:t>
      </w:r>
      <w:r w:rsidR="00036669">
        <w:t>3</w:t>
      </w:r>
      <w:r w:rsidRPr="00732782">
        <w:t xml:space="preserve"> and I request that you table the </w:t>
      </w:r>
      <w:r w:rsidRPr="0030223E">
        <w:t xml:space="preserve">report today in the Legislative Assembly. </w:t>
      </w:r>
    </w:p>
    <w:p w:rsidR="000A60A0" w:rsidRPr="0030223E" w:rsidRDefault="000A60A0" w:rsidP="000A60A0">
      <w:pPr>
        <w:pStyle w:val="AGRSpeakersletter"/>
      </w:pPr>
      <w:r w:rsidRPr="0030223E">
        <w:t xml:space="preserve">The larger part of the report deals with the results of </w:t>
      </w:r>
      <w:r w:rsidR="00E5071E" w:rsidRPr="0030223E">
        <w:t xml:space="preserve">performance management system audits, </w:t>
      </w:r>
      <w:r w:rsidRPr="0030223E">
        <w:t xml:space="preserve">compliance audits </w:t>
      </w:r>
      <w:r w:rsidR="00E5071E" w:rsidRPr="0030223E">
        <w:t xml:space="preserve">that </w:t>
      </w:r>
      <w:r w:rsidRPr="0030223E">
        <w:t>were performed to assess the adequacy of controls over the administration of public monies</w:t>
      </w:r>
      <w:r w:rsidR="001669C2" w:rsidRPr="0030223E">
        <w:t xml:space="preserve"> and audits of information technology systems that were undertaken to assess whether access to those systems and controls </w:t>
      </w:r>
      <w:r w:rsidR="00440C99" w:rsidRPr="0030223E">
        <w:t xml:space="preserve">over systems’ </w:t>
      </w:r>
      <w:r w:rsidR="001669C2" w:rsidRPr="0030223E">
        <w:t>data</w:t>
      </w:r>
      <w:r w:rsidR="00440C99" w:rsidRPr="0030223E">
        <w:t xml:space="preserve"> </w:t>
      </w:r>
      <w:r w:rsidR="001669C2" w:rsidRPr="0030223E">
        <w:t>were adequate</w:t>
      </w:r>
      <w:r w:rsidR="00E5071E" w:rsidRPr="0030223E">
        <w:t>.  A</w:t>
      </w:r>
      <w:r w:rsidRPr="0030223E">
        <w:t xml:space="preserve">lso </w:t>
      </w:r>
      <w:r w:rsidR="00F20A46" w:rsidRPr="0030223E">
        <w:t>i</w:t>
      </w:r>
      <w:r w:rsidR="005717AB" w:rsidRPr="0030223E">
        <w:t>ncluded</w:t>
      </w:r>
      <w:r w:rsidRPr="0030223E">
        <w:t xml:space="preserve"> are the results of </w:t>
      </w:r>
      <w:r w:rsidR="00E5071E" w:rsidRPr="0030223E">
        <w:t xml:space="preserve">audits of </w:t>
      </w:r>
      <w:r w:rsidRPr="0030223E">
        <w:t>financial statement</w:t>
      </w:r>
      <w:r w:rsidR="00E5071E" w:rsidRPr="0030223E">
        <w:t>s</w:t>
      </w:r>
      <w:r w:rsidRPr="0030223E">
        <w:t xml:space="preserve"> </w:t>
      </w:r>
      <w:r w:rsidR="00E5071E" w:rsidRPr="0030223E">
        <w:t>for</w:t>
      </w:r>
      <w:r w:rsidRPr="0030223E">
        <w:t xml:space="preserve"> those institutions that are required to report on a calendar year basis.</w:t>
      </w:r>
    </w:p>
    <w:p w:rsidR="00EB0039" w:rsidRPr="00732782" w:rsidRDefault="00EB0039" w:rsidP="000A60A0">
      <w:pPr>
        <w:pStyle w:val="AGRSpeakersletter"/>
      </w:pPr>
      <w:r w:rsidRPr="00732782">
        <w:t xml:space="preserve">Yours </w:t>
      </w:r>
      <w:r w:rsidR="007478CE">
        <w:t>sincerely</w:t>
      </w:r>
      <w:r w:rsidRPr="00732782">
        <w:t>,</w:t>
      </w:r>
    </w:p>
    <w:p w:rsidR="00EB0039" w:rsidRPr="00732782" w:rsidRDefault="00EB0039" w:rsidP="002D4B8D">
      <w:pPr>
        <w:pStyle w:val="AGRSpeakersletter"/>
      </w:pPr>
    </w:p>
    <w:p w:rsidR="00EB0039" w:rsidRPr="00732782" w:rsidRDefault="00EB0039" w:rsidP="002D4B8D">
      <w:pPr>
        <w:pStyle w:val="AGRSpeakersletter"/>
      </w:pPr>
    </w:p>
    <w:p w:rsidR="00746EF4" w:rsidRPr="00732782" w:rsidRDefault="00EB0039" w:rsidP="00074668">
      <w:pPr>
        <w:pStyle w:val="AGRSpeakersletter"/>
      </w:pPr>
      <w:r w:rsidRPr="00732782">
        <w:t>F McGuiness</w:t>
      </w:r>
      <w:r w:rsidRPr="00732782">
        <w:br/>
        <w:t>Auditor-General for the Northern Territory</w:t>
      </w:r>
    </w:p>
    <w:p w:rsidR="00DD511F" w:rsidRPr="00732782" w:rsidRDefault="00DD511F" w:rsidP="007076BC">
      <w:pPr>
        <w:pStyle w:val="AGRSpeakersletter"/>
      </w:pPr>
    </w:p>
    <w:p w:rsidR="00DD511F" w:rsidRPr="00732782" w:rsidRDefault="00CB30DD" w:rsidP="007076BC">
      <w:pPr>
        <w:pStyle w:val="AGRSpeakersletter"/>
      </w:pPr>
      <w:r w:rsidRPr="00732782">
        <w:br w:type="page"/>
      </w:r>
    </w:p>
    <w:p w:rsidR="00DD511F" w:rsidRPr="00732782" w:rsidRDefault="00F5017F" w:rsidP="007076BC">
      <w:pPr>
        <w:pStyle w:val="AGRSpeakersletter"/>
      </w:pPr>
      <w:r>
        <w:rPr>
          <w:noProof/>
          <w:lang w:eastAsia="en-AU"/>
        </w:rPr>
        <mc:AlternateContent>
          <mc:Choice Requires="wps">
            <w:drawing>
              <wp:anchor distT="0" distB="0" distL="114300" distR="114300" simplePos="0" relativeHeight="251652096" behindDoc="0" locked="0" layoutInCell="1" allowOverlap="1" wp14:anchorId="38E82761" wp14:editId="3D3B91D3">
                <wp:simplePos x="0" y="0"/>
                <wp:positionH relativeFrom="page">
                  <wp:align>center</wp:align>
                </wp:positionH>
                <wp:positionV relativeFrom="page">
                  <wp:align>center</wp:align>
                </wp:positionV>
                <wp:extent cx="1837055" cy="292735"/>
                <wp:effectExtent l="0" t="0" r="0" b="381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E4C2C" w:rsidRDefault="009E4C2C" w:rsidP="00CB30DD">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0;margin-top:0;width:144.65pt;height:23.0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ZvoMhn4CAAD/BAAA&#10;DgAAAAAAAAAAAAAAAAAuAgAAZHJzL2Uyb0RvYy54bWxQSwECLQAUAAYACAAAACEAQLXHctoAAAAE&#10;AQAADwAAAAAAAAAAAAAAAADYBAAAZHJzL2Rvd25yZXYueG1sUEsFBgAAAAAEAAQA8wAAAN8FAAAA&#10;AA==&#10;" stroked="f" strokeweight="1pt">
                <v:textbox inset="0,0,0,0">
                  <w:txbxContent>
                    <w:p w:rsidR="009E4C2C" w:rsidRDefault="009E4C2C" w:rsidP="00CB30DD">
                      <w:pPr>
                        <w:pStyle w:val="AGRTableText"/>
                      </w:pPr>
                      <w:r>
                        <w:t>This page deliberately left blank.</w:t>
                      </w:r>
                    </w:p>
                  </w:txbxContent>
                </v:textbox>
                <w10:wrap anchorx="page" anchory="page"/>
              </v:rect>
            </w:pict>
          </mc:Fallback>
        </mc:AlternateContent>
      </w:r>
    </w:p>
    <w:p w:rsidR="00DD511F" w:rsidRPr="00732782" w:rsidRDefault="00DD511F" w:rsidP="002D4B8D">
      <w:pPr>
        <w:pStyle w:val="AGRSpeakersletter"/>
        <w:sectPr w:rsidR="00DD511F" w:rsidRPr="00732782" w:rsidSect="004B3E0E">
          <w:headerReference w:type="default" r:id="rId23"/>
          <w:footerReference w:type="even" r:id="rId24"/>
          <w:footerReference w:type="default" r:id="rId25"/>
          <w:headerReference w:type="first" r:id="rId26"/>
          <w:footerReference w:type="first" r:id="rId27"/>
          <w:pgSz w:w="11906" w:h="16838" w:code="9"/>
          <w:pgMar w:top="3119" w:right="1418" w:bottom="1134" w:left="1418" w:header="340" w:footer="567" w:gutter="284"/>
          <w:cols w:space="708"/>
          <w:docGrid w:linePitch="360"/>
        </w:sectPr>
      </w:pPr>
    </w:p>
    <w:p w:rsidR="0028294C" w:rsidRPr="00732782" w:rsidRDefault="0028294C" w:rsidP="0083183F">
      <w:pPr>
        <w:pStyle w:val="AGRHeading1"/>
      </w:pPr>
      <w:bookmarkStart w:id="3" w:name="AG_overview"/>
      <w:r w:rsidRPr="00732782">
        <w:t>Auditor-General’s Overview</w:t>
      </w:r>
      <w:bookmarkEnd w:id="3"/>
    </w:p>
    <w:p w:rsidR="00DD511F" w:rsidRPr="00732782" w:rsidRDefault="00DD511F" w:rsidP="00DD511F">
      <w:pPr>
        <w:pStyle w:val="AGRHeading2"/>
      </w:pPr>
      <w:r w:rsidRPr="00732782">
        <w:t xml:space="preserve">Audits </w:t>
      </w:r>
      <w:r w:rsidR="004B45B6">
        <w:t>i</w:t>
      </w:r>
      <w:r w:rsidR="004B45B6" w:rsidRPr="00732782">
        <w:t xml:space="preserve">ncluded </w:t>
      </w:r>
      <w:r w:rsidRPr="00732782">
        <w:t xml:space="preserve">in this </w:t>
      </w:r>
      <w:r w:rsidR="004B45B6">
        <w:t>r</w:t>
      </w:r>
      <w:r w:rsidR="006F0E7E" w:rsidRPr="00732782">
        <w:t>eport</w:t>
      </w:r>
    </w:p>
    <w:p w:rsidR="00A95D88" w:rsidRDefault="00A95D88" w:rsidP="002F4F0B">
      <w:pPr>
        <w:pStyle w:val="AGRBodyText"/>
      </w:pPr>
      <w:r w:rsidRPr="00732782">
        <w:t xml:space="preserve">This </w:t>
      </w:r>
      <w:r>
        <w:t>r</w:t>
      </w:r>
      <w:r w:rsidRPr="00732782">
        <w:t>eport outlines the results of audits conducted during</w:t>
      </w:r>
      <w:r>
        <w:t xml:space="preserve"> </w:t>
      </w:r>
      <w:r w:rsidRPr="00732782">
        <w:t xml:space="preserve">the period 1 January </w:t>
      </w:r>
      <w:r>
        <w:t>201</w:t>
      </w:r>
      <w:r w:rsidR="00036669">
        <w:t>3</w:t>
      </w:r>
      <w:r w:rsidRPr="00732782">
        <w:t xml:space="preserve"> to 30 June </w:t>
      </w:r>
      <w:r>
        <w:t>201</w:t>
      </w:r>
      <w:r w:rsidR="00036669">
        <w:t>3</w:t>
      </w:r>
      <w:r w:rsidR="00666259">
        <w:t>.</w:t>
      </w:r>
    </w:p>
    <w:p w:rsidR="00062DD0" w:rsidRPr="00062DD0" w:rsidRDefault="00005103" w:rsidP="002F4F0B">
      <w:pPr>
        <w:pStyle w:val="AGRBodyText"/>
      </w:pPr>
      <w:r>
        <w:t>The audits that are reported</w:t>
      </w:r>
      <w:r w:rsidR="00A95D88">
        <w:t xml:space="preserve"> here cover four broad areas; financial audits, reviews of </w:t>
      </w:r>
      <w:r w:rsidR="001669C2">
        <w:t>information technology systems</w:t>
      </w:r>
      <w:r w:rsidR="00A95D88">
        <w:t xml:space="preserve">, compliance audits and performance management </w:t>
      </w:r>
      <w:r w:rsidR="00666259">
        <w:t>system audits.</w:t>
      </w:r>
    </w:p>
    <w:p w:rsidR="00607FAE" w:rsidRDefault="00A95D88" w:rsidP="002F4F0B">
      <w:pPr>
        <w:pStyle w:val="AGRBodyText"/>
      </w:pPr>
      <w:r w:rsidRPr="00062DD0">
        <w:t>The first half of the 201</w:t>
      </w:r>
      <w:r w:rsidR="00036669" w:rsidRPr="00062DD0">
        <w:t>3</w:t>
      </w:r>
      <w:r w:rsidRPr="00062DD0">
        <w:t xml:space="preserve"> calendar year saw the completion of audits of the financial statements of each the Territory’s principal tertiary educational institutions</w:t>
      </w:r>
      <w:r w:rsidR="001669C2" w:rsidRPr="00062DD0">
        <w:t>:</w:t>
      </w:r>
      <w:r w:rsidRPr="00062DD0">
        <w:t xml:space="preserve"> Charles Darwin University, Menzies School of Health Research and Batchelor Institute of Indigenous Tertiary Education</w:t>
      </w:r>
      <w:r w:rsidR="003F0BA3" w:rsidRPr="00062DD0">
        <w:t>, each of which is required to report o</w:t>
      </w:r>
      <w:r w:rsidR="00666259">
        <w:t>n</w:t>
      </w:r>
      <w:r w:rsidR="003F0BA3" w:rsidRPr="00062DD0">
        <w:t xml:space="preserve"> </w:t>
      </w:r>
      <w:r w:rsidR="00666259" w:rsidRPr="00062DD0">
        <w:t>a</w:t>
      </w:r>
      <w:r w:rsidR="003F0BA3" w:rsidRPr="00062DD0">
        <w:t xml:space="preserve"> calendar year basis.</w:t>
      </w:r>
    </w:p>
    <w:p w:rsidR="00062DD0" w:rsidRPr="00062DD0" w:rsidRDefault="00A95D88" w:rsidP="002F4F0B">
      <w:pPr>
        <w:pStyle w:val="AGRBodyText"/>
      </w:pPr>
      <w:r w:rsidRPr="00062DD0">
        <w:t xml:space="preserve">Financial statements prepared by Agencies each year are not audited as this would first require a direction from the Treasurer to Accountable Officers to submit those statements to the Auditor-General pursuant to section 11(3) of the </w:t>
      </w:r>
      <w:r w:rsidRPr="00062DD0">
        <w:rPr>
          <w:i/>
        </w:rPr>
        <w:t>Financial Management Act.</w:t>
      </w:r>
      <w:r w:rsidRPr="00062DD0">
        <w:t xml:space="preserve">  Consequently, I place considerable reliance upon what are known as compliance audits to assess the extent to which Agencies’ internal control systems function effectively, whether Agencies are complying with prescribed requirements pertaining to internal control and, flowing from that, whether I am able to rely upon the financial information prepared by Agencies at the end of each financial year as part of my audit of the Treasurer’s Annual Financial Statements.  </w:t>
      </w:r>
    </w:p>
    <w:p w:rsidR="00CD3875" w:rsidRPr="00062DD0" w:rsidRDefault="00A95D88" w:rsidP="002F4F0B">
      <w:pPr>
        <w:pStyle w:val="AGRBodyText"/>
      </w:pPr>
      <w:r w:rsidRPr="00062DD0">
        <w:t>Compliance audits were conducted</w:t>
      </w:r>
      <w:r w:rsidR="009D3755" w:rsidRPr="00062DD0">
        <w:t xml:space="preserve"> </w:t>
      </w:r>
      <w:r w:rsidR="00D13433" w:rsidRPr="00062DD0">
        <w:t>at</w:t>
      </w:r>
      <w:r w:rsidRPr="00062DD0">
        <w:t xml:space="preserve"> </w:t>
      </w:r>
      <w:r w:rsidR="003F0BA3" w:rsidRPr="00062DD0">
        <w:t xml:space="preserve">twelve </w:t>
      </w:r>
      <w:r w:rsidRPr="00062DD0">
        <w:t>Agencies during the period covered by this report</w:t>
      </w:r>
      <w:r w:rsidR="003F0BA3" w:rsidRPr="00062DD0">
        <w:t>.</w:t>
      </w:r>
      <w:r w:rsidR="009D3755" w:rsidRPr="00062DD0">
        <w:t xml:space="preserve"> </w:t>
      </w:r>
      <w:r w:rsidR="00062DD0" w:rsidRPr="00062DD0">
        <w:t xml:space="preserve"> </w:t>
      </w:r>
      <w:r w:rsidR="00166AEE" w:rsidRPr="00062DD0">
        <w:t>T</w:t>
      </w:r>
      <w:r w:rsidR="003F0BA3" w:rsidRPr="00062DD0">
        <w:t xml:space="preserve">he issues raised by </w:t>
      </w:r>
      <w:r w:rsidR="00D13433" w:rsidRPr="00062DD0">
        <w:t>t</w:t>
      </w:r>
      <w:r w:rsidR="003F0BA3" w:rsidRPr="00062DD0">
        <w:t xml:space="preserve">he </w:t>
      </w:r>
      <w:r w:rsidR="00D13433" w:rsidRPr="00062DD0">
        <w:t xml:space="preserve">audits bear similarities to the results </w:t>
      </w:r>
      <w:r w:rsidR="00166AEE" w:rsidRPr="00062DD0">
        <w:t xml:space="preserve">of similar audits conducted in other </w:t>
      </w:r>
      <w:r w:rsidR="00D13433" w:rsidRPr="00062DD0">
        <w:t>Agencies during 2011-12 and while I do not consider the results to affect the reliability of data used in the preparation of the Treasurer’s Annual Financial Statements, they do highlight the need for Accountable Officers to satisfy themselves on a regular basis that their intern</w:t>
      </w:r>
      <w:r w:rsidR="00CD3875" w:rsidRPr="00062DD0">
        <w:t>a</w:t>
      </w:r>
      <w:r w:rsidR="00D13433" w:rsidRPr="00062DD0">
        <w:t>l controls are functioning in the way that might be expected.</w:t>
      </w:r>
    </w:p>
    <w:p w:rsidR="00A95D88" w:rsidRDefault="00062DD0" w:rsidP="002F4F0B">
      <w:pPr>
        <w:pStyle w:val="AGRBodyText"/>
      </w:pPr>
      <w:r w:rsidRPr="00062DD0">
        <w:t xml:space="preserve">One performance management system </w:t>
      </w:r>
      <w:r w:rsidR="00B71930">
        <w:t xml:space="preserve">audit </w:t>
      </w:r>
      <w:r w:rsidRPr="00062DD0">
        <w:t xml:space="preserve">was conducted during the period under review and that audit examined the management by the Department of Health of the contract for the provision of aeromedical </w:t>
      </w:r>
      <w:r w:rsidR="00EF3A8A">
        <w:t>retrieval</w:t>
      </w:r>
      <w:r w:rsidRPr="00062DD0">
        <w:t xml:space="preserve"> services by CareFlight.</w:t>
      </w:r>
    </w:p>
    <w:p w:rsidR="00A95D88" w:rsidRPr="00732782" w:rsidRDefault="00A95D88" w:rsidP="00A95D88">
      <w:pPr>
        <w:pStyle w:val="AGRHeading1"/>
      </w:pPr>
      <w:r w:rsidRPr="00732782">
        <w:t>Auditor-General’s Overview cont…</w:t>
      </w:r>
    </w:p>
    <w:p w:rsidR="00A95D88" w:rsidRDefault="00CD3875" w:rsidP="002F4F0B">
      <w:pPr>
        <w:pStyle w:val="AGRBodyText"/>
      </w:pPr>
      <w:r w:rsidRPr="00062DD0">
        <w:t>It h</w:t>
      </w:r>
      <w:r w:rsidR="00FA20F4" w:rsidRPr="00062DD0">
        <w:t>a</w:t>
      </w:r>
      <w:r w:rsidRPr="00062DD0">
        <w:t xml:space="preserve">s become customary to conduct information technology audits during the first half of the financial year in order to gain some assurance about the </w:t>
      </w:r>
      <w:r w:rsidR="00FA20F4" w:rsidRPr="00062DD0">
        <w:t xml:space="preserve">adequacy of information </w:t>
      </w:r>
      <w:r w:rsidRPr="00062DD0">
        <w:t>system controls in order to form a view as to whether those systems can be relied upon</w:t>
      </w:r>
      <w:r w:rsidR="009D3755" w:rsidRPr="00062DD0">
        <w:t xml:space="preserve"> as part of the audits or review of financials statements that are conducted at the end of the financial year.  Included in this report are the results of audits of the electronic funds transfer system that is used by Agencies, together with a post-implementation review of the asset management system developed by the Power and Water Corporation and </w:t>
      </w:r>
      <w:r w:rsidR="00B652B1">
        <w:t xml:space="preserve">the </w:t>
      </w:r>
      <w:r w:rsidR="009D3755" w:rsidRPr="00062DD0">
        <w:t>Corporation’s Maximo system.</w:t>
      </w:r>
    </w:p>
    <w:p w:rsidR="003530AB" w:rsidRPr="00062DD0" w:rsidRDefault="003530AB" w:rsidP="002F4F0B">
      <w:pPr>
        <w:pStyle w:val="AGRBodyText"/>
      </w:pPr>
    </w:p>
    <w:p w:rsidR="00571D93" w:rsidRPr="00732782" w:rsidRDefault="00571D93" w:rsidP="0083183F">
      <w:pPr>
        <w:pStyle w:val="AGRHeading1"/>
        <w:sectPr w:rsidR="00571D93" w:rsidRPr="00732782" w:rsidSect="004B3E0E">
          <w:headerReference w:type="even" r:id="rId28"/>
          <w:headerReference w:type="default" r:id="rId29"/>
          <w:footerReference w:type="even" r:id="rId30"/>
          <w:footerReference w:type="default" r:id="rId31"/>
          <w:headerReference w:type="first" r:id="rId32"/>
          <w:footerReference w:type="first" r:id="rId33"/>
          <w:pgSz w:w="11906" w:h="16838" w:code="9"/>
          <w:pgMar w:top="3119" w:right="1418" w:bottom="1134" w:left="1418" w:header="340" w:footer="567" w:gutter="284"/>
          <w:cols w:space="708"/>
          <w:docGrid w:linePitch="360"/>
        </w:sectPr>
      </w:pPr>
    </w:p>
    <w:p w:rsidR="00571D93" w:rsidRPr="00F77ED6" w:rsidRDefault="00571D93" w:rsidP="00F77ED6">
      <w:pPr>
        <w:pStyle w:val="AGRHeading1"/>
        <w:jc w:val="center"/>
        <w:rPr>
          <w:bCs/>
        </w:rPr>
      </w:pPr>
      <w:bookmarkStart w:id="11" w:name="reporting_on_audits"/>
      <w:r w:rsidRPr="00F77ED6">
        <w:rPr>
          <w:bCs/>
        </w:rPr>
        <w:t>Reports on the Results of Audits</w:t>
      </w:r>
      <w:bookmarkEnd w:id="11"/>
    </w:p>
    <w:p w:rsidR="00C00331" w:rsidRPr="00F77ED6" w:rsidRDefault="00C00331" w:rsidP="00F77ED6">
      <w:pPr>
        <w:pStyle w:val="AGRHeading1"/>
        <w:jc w:val="center"/>
        <w:rPr>
          <w:bCs/>
        </w:rPr>
        <w:sectPr w:rsidR="00C00331" w:rsidRPr="00F77ED6" w:rsidSect="000E7E8A">
          <w:pgSz w:w="11906" w:h="16838" w:code="9"/>
          <w:pgMar w:top="1287" w:right="1418" w:bottom="1134" w:left="1418" w:header="340" w:footer="567" w:gutter="284"/>
          <w:cols w:space="708"/>
          <w:vAlign w:val="center"/>
          <w:docGrid w:linePitch="360"/>
        </w:sectPr>
      </w:pPr>
    </w:p>
    <w:p w:rsidR="00571D93" w:rsidRPr="00732782" w:rsidRDefault="00F5017F" w:rsidP="0083183F">
      <w:pPr>
        <w:pStyle w:val="AGRHeading1"/>
        <w:sectPr w:rsidR="00571D93" w:rsidRPr="00732782" w:rsidSect="004B3E0E">
          <w:pgSz w:w="11906" w:h="16838" w:code="9"/>
          <w:pgMar w:top="3119" w:right="1418" w:bottom="1134" w:left="1418" w:header="340" w:footer="567" w:gutter="284"/>
          <w:cols w:space="708"/>
          <w:docGrid w:linePitch="360"/>
        </w:sectPr>
      </w:pPr>
      <w:r>
        <w:rPr>
          <w:noProof/>
          <w:w w:val="100"/>
          <w:lang w:eastAsia="en-AU"/>
        </w:rPr>
        <mc:AlternateContent>
          <mc:Choice Requires="wps">
            <w:drawing>
              <wp:anchor distT="0" distB="0" distL="114300" distR="114300" simplePos="0" relativeHeight="251659264" behindDoc="0" locked="0" layoutInCell="1" allowOverlap="1" wp14:anchorId="6E585DE6" wp14:editId="4F1720E9">
                <wp:simplePos x="0" y="0"/>
                <wp:positionH relativeFrom="page">
                  <wp:align>center</wp:align>
                </wp:positionH>
                <wp:positionV relativeFrom="page">
                  <wp:align>center</wp:align>
                </wp:positionV>
                <wp:extent cx="1836000" cy="29160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291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E4C2C" w:rsidRDefault="009E4C2C" w:rsidP="006548D9">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0;margin-top:0;width:144.55pt;height:22.9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" stroked="f" strokeweight="1pt">
                <v:textbox inset="0,0,0,0">
                  <w:txbxContent>
                    <w:p w:rsidR="009E4C2C" w:rsidRDefault="009E4C2C" w:rsidP="006548D9">
                      <w:pPr>
                        <w:pStyle w:val="AGRTableText"/>
                      </w:pPr>
                      <w:r>
                        <w:t>This page deliberately left blank.</w:t>
                      </w:r>
                    </w:p>
                  </w:txbxContent>
                </v:textbox>
                <w10:wrap anchorx="page" anchory="page"/>
              </v:rect>
            </w:pict>
          </mc:Fallback>
        </mc:AlternateContent>
      </w:r>
    </w:p>
    <w:p w:rsidR="00C90BF2" w:rsidRPr="00732782" w:rsidRDefault="00C90BF2" w:rsidP="0083183F">
      <w:pPr>
        <w:pStyle w:val="AGRHeading1"/>
      </w:pPr>
      <w:bookmarkStart w:id="12" w:name="batchelor"/>
      <w:r w:rsidRPr="00732782">
        <w:t>Batchelor Institute of Indigenous Tertiary Education</w:t>
      </w:r>
      <w:bookmarkEnd w:id="12"/>
      <w:r w:rsidRPr="00732782">
        <w:t xml:space="preserve"> </w:t>
      </w:r>
    </w:p>
    <w:p w:rsidR="00C90BF2" w:rsidRPr="00732782" w:rsidRDefault="00C90BF2" w:rsidP="00C90BF2">
      <w:pPr>
        <w:pStyle w:val="AGRHeading2"/>
      </w:pPr>
      <w:bookmarkStart w:id="13" w:name="batchelor_audit_title"/>
      <w:r w:rsidRPr="00732782">
        <w:t xml:space="preserve">Audit findings and </w:t>
      </w:r>
      <w:r w:rsidR="004B45B6">
        <w:t>a</w:t>
      </w:r>
      <w:r w:rsidR="004B45B6" w:rsidRPr="00732782">
        <w:t xml:space="preserve">nalysis </w:t>
      </w:r>
      <w:r w:rsidRPr="00732782">
        <w:t xml:space="preserve">of the financial statements for the year ended </w:t>
      </w:r>
      <w:r>
        <w:t xml:space="preserve">31 December </w:t>
      </w:r>
      <w:r w:rsidR="00313635">
        <w:t>201</w:t>
      </w:r>
      <w:r w:rsidR="00036669">
        <w:t>2</w:t>
      </w:r>
      <w:bookmarkEnd w:id="13"/>
    </w:p>
    <w:p w:rsidR="00C90BF2" w:rsidRPr="00732782" w:rsidRDefault="00C90BF2" w:rsidP="00C708C3">
      <w:pPr>
        <w:pStyle w:val="AGRHeading3"/>
      </w:pPr>
      <w:r w:rsidRPr="00732782">
        <w:t>Background</w:t>
      </w:r>
    </w:p>
    <w:p w:rsidR="00B30BC0" w:rsidRDefault="008B7E1F" w:rsidP="002F4F0B">
      <w:pPr>
        <w:pStyle w:val="AGRBodyText"/>
      </w:pPr>
      <w:r w:rsidRPr="008B7E1F">
        <w:t xml:space="preserve">The </w:t>
      </w:r>
      <w:r w:rsidR="00FE79C8" w:rsidRPr="00FE79C8">
        <w:t xml:space="preserve">Batchelor Institute of Indigenous Tertiary Education </w:t>
      </w:r>
      <w:r w:rsidR="00FE79C8">
        <w:t xml:space="preserve">(the </w:t>
      </w:r>
      <w:r w:rsidRPr="008B7E1F">
        <w:t>Institute</w:t>
      </w:r>
      <w:r w:rsidR="00FE79C8">
        <w:t>)</w:t>
      </w:r>
      <w:r w:rsidRPr="008B7E1F">
        <w:t xml:space="preserve"> </w:t>
      </w:r>
      <w:r w:rsidR="004C3EBD">
        <w:t>is</w:t>
      </w:r>
      <w:r w:rsidR="004C3EBD" w:rsidRPr="008B7E1F">
        <w:t xml:space="preserve"> </w:t>
      </w:r>
      <w:r w:rsidRPr="008B7E1F">
        <w:t xml:space="preserve">established under the </w:t>
      </w:r>
      <w:r w:rsidRPr="008B7E1F">
        <w:rPr>
          <w:i/>
        </w:rPr>
        <w:t>Batchelor Institute of Indigenous Tertiary Education Act</w:t>
      </w:r>
      <w:r w:rsidR="00CE469D">
        <w:rPr>
          <w:i/>
        </w:rPr>
        <w:t>.</w:t>
      </w:r>
      <w:r w:rsidRPr="008B7E1F">
        <w:rPr>
          <w:i/>
        </w:rPr>
        <w:t xml:space="preserve"> </w:t>
      </w:r>
      <w:r w:rsidR="009458BC">
        <w:t xml:space="preserve"> </w:t>
      </w:r>
      <w:r w:rsidRPr="008B7E1F">
        <w:t xml:space="preserve">Section 46 of the </w:t>
      </w:r>
      <w:r w:rsidR="00C46D3F" w:rsidRPr="00C46D3F">
        <w:t>Act</w:t>
      </w:r>
      <w:r w:rsidRPr="004C3EBD">
        <w:t xml:space="preserve"> </w:t>
      </w:r>
      <w:r w:rsidRPr="008B7E1F">
        <w:t xml:space="preserve">requires the Institute to </w:t>
      </w:r>
      <w:r w:rsidR="004710A4">
        <w:t>prepare</w:t>
      </w:r>
      <w:r w:rsidR="004710A4" w:rsidRPr="008B7E1F">
        <w:t xml:space="preserve"> </w:t>
      </w:r>
      <w:r w:rsidRPr="008B7E1F">
        <w:t>financial statements within 3 months of the end of the</w:t>
      </w:r>
      <w:r>
        <w:t xml:space="preserve"> Institute’s financial year (31 December</w:t>
      </w:r>
      <w:r w:rsidRPr="008B7E1F">
        <w:t xml:space="preserve">) and </w:t>
      </w:r>
      <w:r w:rsidR="004710A4">
        <w:t xml:space="preserve">to </w:t>
      </w:r>
      <w:r w:rsidRPr="008B7E1F">
        <w:t xml:space="preserve">submit </w:t>
      </w:r>
      <w:r w:rsidR="004710A4" w:rsidRPr="008B7E1F">
        <w:t>th</w:t>
      </w:r>
      <w:r w:rsidR="004710A4">
        <w:t>ose</w:t>
      </w:r>
      <w:r w:rsidR="004710A4" w:rsidRPr="008B7E1F">
        <w:t xml:space="preserve"> </w:t>
      </w:r>
      <w:r w:rsidR="00FF71B7">
        <w:t>to the Auditor</w:t>
      </w:r>
      <w:r w:rsidR="00FF71B7">
        <w:noBreakHyphen/>
      </w:r>
      <w:r w:rsidRPr="008B7E1F">
        <w:t>General</w:t>
      </w:r>
      <w:r w:rsidR="004710A4">
        <w:t>.</w:t>
      </w:r>
      <w:r w:rsidRPr="008B7E1F">
        <w:t xml:space="preserve"> </w:t>
      </w:r>
    </w:p>
    <w:p w:rsidR="00177BC6" w:rsidRPr="00732782" w:rsidRDefault="00177BC6" w:rsidP="00C708C3">
      <w:pPr>
        <w:pStyle w:val="AGRHeading3"/>
      </w:pPr>
      <w:r w:rsidRPr="00732782">
        <w:t>Audit Opinion</w:t>
      </w:r>
    </w:p>
    <w:p w:rsidR="00177BC6" w:rsidRPr="00732782" w:rsidRDefault="00FE79C8" w:rsidP="002F4F0B">
      <w:pPr>
        <w:pStyle w:val="AGRBodyText"/>
      </w:pPr>
      <w:r w:rsidRPr="00732782">
        <w:t xml:space="preserve">The audit of the financial statements of </w:t>
      </w:r>
      <w:r w:rsidR="005E4911">
        <w:t xml:space="preserve">the </w:t>
      </w:r>
      <w:r w:rsidRPr="00FE79C8">
        <w:t xml:space="preserve">Institute </w:t>
      </w:r>
      <w:r w:rsidRPr="00732782">
        <w:t xml:space="preserve">for the year ended </w:t>
      </w:r>
      <w:r w:rsidR="00A16513">
        <w:t>31 </w:t>
      </w:r>
      <w:r>
        <w:t xml:space="preserve">December </w:t>
      </w:r>
      <w:r w:rsidR="00313635">
        <w:t>201</w:t>
      </w:r>
      <w:r w:rsidR="00036669">
        <w:t>2</w:t>
      </w:r>
      <w:r w:rsidRPr="00732782">
        <w:t xml:space="preserve"> resulted in an unqualified independent audit opinion</w:t>
      </w:r>
      <w:r w:rsidR="007456F5">
        <w:t>.  T</w:t>
      </w:r>
      <w:r w:rsidR="006F0E7E">
        <w:t>ha</w:t>
      </w:r>
      <w:r w:rsidR="004C3EBD">
        <w:t xml:space="preserve">t opinion </w:t>
      </w:r>
      <w:r w:rsidR="004A2426">
        <w:t>was</w:t>
      </w:r>
      <w:r w:rsidR="004A2426" w:rsidRPr="00732782">
        <w:t xml:space="preserve"> issued</w:t>
      </w:r>
      <w:r w:rsidRPr="00732782">
        <w:t xml:space="preserve"> on</w:t>
      </w:r>
      <w:r w:rsidR="00177BC6" w:rsidRPr="00732782">
        <w:t xml:space="preserve"> </w:t>
      </w:r>
      <w:r w:rsidR="00E32C69" w:rsidRPr="00E32C69">
        <w:t>31</w:t>
      </w:r>
      <w:r w:rsidR="0019027F">
        <w:t> </w:t>
      </w:r>
      <w:r w:rsidR="00F453AE" w:rsidRPr="00E32C69">
        <w:t>May</w:t>
      </w:r>
      <w:r w:rsidR="00177BC6" w:rsidRPr="00E32C69">
        <w:t xml:space="preserve"> </w:t>
      </w:r>
      <w:r w:rsidR="00313635" w:rsidRPr="00E32C69">
        <w:t>201</w:t>
      </w:r>
      <w:r w:rsidR="00036669" w:rsidRPr="00E32C69">
        <w:t>3</w:t>
      </w:r>
      <w:r w:rsidR="00177BC6" w:rsidRPr="00E32C69">
        <w:t>.</w:t>
      </w:r>
    </w:p>
    <w:p w:rsidR="00C90BF2" w:rsidRPr="00C90BF2" w:rsidRDefault="00C90BF2" w:rsidP="00C708C3">
      <w:pPr>
        <w:pStyle w:val="AGRHeading3"/>
      </w:pPr>
      <w:r w:rsidRPr="00C90BF2">
        <w:t xml:space="preserve">Key </w:t>
      </w:r>
      <w:r w:rsidR="00177BC6">
        <w:t>Findings</w:t>
      </w:r>
    </w:p>
    <w:p w:rsidR="00B339A5" w:rsidRDefault="00B339A5" w:rsidP="00C708C3">
      <w:pPr>
        <w:pStyle w:val="AGRHeading4"/>
      </w:pPr>
      <w:r w:rsidRPr="00915514">
        <w:t>Financial analysis</w:t>
      </w:r>
    </w:p>
    <w:p w:rsidR="009635E5" w:rsidRDefault="004C3EBD" w:rsidP="002F4F0B">
      <w:pPr>
        <w:pStyle w:val="AGRBodyText"/>
      </w:pPr>
      <w:r>
        <w:t>The</w:t>
      </w:r>
      <w:r w:rsidR="006F0E7E">
        <w:t xml:space="preserve"> </w:t>
      </w:r>
      <w:r>
        <w:t xml:space="preserve">financial performance and financial position of the Institute </w:t>
      </w:r>
      <w:r w:rsidR="0003191B">
        <w:t>are illustrated in the following tables.</w:t>
      </w:r>
    </w:p>
    <w:p w:rsidR="00793A59" w:rsidRPr="00732782" w:rsidRDefault="00793A59" w:rsidP="0083183F">
      <w:pPr>
        <w:pStyle w:val="AGRHeading1"/>
      </w:pPr>
      <w:r w:rsidRPr="00732782">
        <w:t>Batchelor Institute of Indigenous Tertiary Education cont…</w:t>
      </w:r>
    </w:p>
    <w:p w:rsidR="0003191B" w:rsidRPr="00732782" w:rsidRDefault="0003191B" w:rsidP="00C708C3">
      <w:pPr>
        <w:pStyle w:val="AGRHeading3"/>
      </w:pPr>
      <w:r>
        <w:t>Financial Performance for the year</w:t>
      </w:r>
    </w:p>
    <w:tbl>
      <w:tblPr>
        <w:tblW w:w="7371" w:type="dxa"/>
        <w:tblInd w:w="851" w:type="dxa"/>
        <w:tblLook w:val="01E0" w:firstRow="1" w:lastRow="1" w:firstColumn="1" w:lastColumn="1" w:noHBand="0" w:noVBand="0"/>
      </w:tblPr>
      <w:tblGrid>
        <w:gridCol w:w="4728"/>
        <w:gridCol w:w="1322"/>
        <w:gridCol w:w="1321"/>
      </w:tblGrid>
      <w:tr w:rsidR="0003191B" w:rsidRPr="00732782" w:rsidTr="0003191B">
        <w:tc>
          <w:tcPr>
            <w:tcW w:w="4728" w:type="dxa"/>
            <w:tcBorders>
              <w:bottom w:val="single" w:sz="4" w:space="0" w:color="auto"/>
            </w:tcBorders>
          </w:tcPr>
          <w:p w:rsidR="0003191B" w:rsidRPr="00732782" w:rsidRDefault="0003191B" w:rsidP="0003191B">
            <w:pPr>
              <w:pStyle w:val="AGRTableText"/>
            </w:pPr>
          </w:p>
        </w:tc>
        <w:tc>
          <w:tcPr>
            <w:tcW w:w="1322" w:type="dxa"/>
            <w:tcBorders>
              <w:bottom w:val="single" w:sz="4" w:space="0" w:color="auto"/>
            </w:tcBorders>
          </w:tcPr>
          <w:p w:rsidR="0003191B" w:rsidRPr="00732782" w:rsidRDefault="0003191B" w:rsidP="0003191B">
            <w:pPr>
              <w:pStyle w:val="AGRTableText"/>
              <w:tabs>
                <w:tab w:val="center" w:pos="570"/>
              </w:tabs>
            </w:pPr>
            <w:r w:rsidRPr="00732782">
              <w:tab/>
            </w:r>
            <w:r w:rsidR="00313635">
              <w:t>201</w:t>
            </w:r>
            <w:r w:rsidR="00036669">
              <w:t>2</w:t>
            </w:r>
          </w:p>
        </w:tc>
        <w:tc>
          <w:tcPr>
            <w:tcW w:w="1321" w:type="dxa"/>
            <w:tcBorders>
              <w:bottom w:val="single" w:sz="4" w:space="0" w:color="auto"/>
            </w:tcBorders>
          </w:tcPr>
          <w:p w:rsidR="0003191B" w:rsidRPr="00732782" w:rsidRDefault="0003191B" w:rsidP="00036669">
            <w:pPr>
              <w:pStyle w:val="AGRTableText"/>
              <w:tabs>
                <w:tab w:val="center" w:pos="570"/>
              </w:tabs>
            </w:pPr>
            <w:r w:rsidRPr="00732782">
              <w:tab/>
            </w:r>
            <w:r w:rsidR="00982C76">
              <w:t>201</w:t>
            </w:r>
            <w:r w:rsidR="00036669">
              <w:t>1</w:t>
            </w:r>
          </w:p>
        </w:tc>
      </w:tr>
      <w:tr w:rsidR="0003191B" w:rsidRPr="00732782" w:rsidTr="0003191B">
        <w:tc>
          <w:tcPr>
            <w:tcW w:w="4728" w:type="dxa"/>
            <w:tcBorders>
              <w:top w:val="single" w:sz="4" w:space="0" w:color="auto"/>
            </w:tcBorders>
          </w:tcPr>
          <w:p w:rsidR="0003191B" w:rsidRPr="00732782" w:rsidRDefault="0003191B" w:rsidP="0003191B">
            <w:pPr>
              <w:pStyle w:val="AGRTableText"/>
            </w:pPr>
          </w:p>
        </w:tc>
        <w:tc>
          <w:tcPr>
            <w:tcW w:w="1322" w:type="dxa"/>
            <w:tcBorders>
              <w:top w:val="single" w:sz="4" w:space="0" w:color="auto"/>
            </w:tcBorders>
          </w:tcPr>
          <w:p w:rsidR="0003191B" w:rsidRPr="00732782" w:rsidRDefault="0003191B" w:rsidP="0003191B">
            <w:pPr>
              <w:pStyle w:val="AGRTableText"/>
              <w:tabs>
                <w:tab w:val="center" w:pos="570"/>
              </w:tabs>
            </w:pPr>
            <w:r w:rsidRPr="00732782">
              <w:tab/>
              <w:t>$’000</w:t>
            </w:r>
          </w:p>
        </w:tc>
        <w:tc>
          <w:tcPr>
            <w:tcW w:w="1321" w:type="dxa"/>
            <w:tcBorders>
              <w:top w:val="single" w:sz="4" w:space="0" w:color="auto"/>
            </w:tcBorders>
          </w:tcPr>
          <w:p w:rsidR="0003191B" w:rsidRPr="00732782" w:rsidRDefault="0003191B" w:rsidP="0003191B">
            <w:pPr>
              <w:pStyle w:val="AGRTableText"/>
              <w:tabs>
                <w:tab w:val="center" w:pos="570"/>
              </w:tabs>
            </w:pPr>
            <w:r w:rsidRPr="00732782">
              <w:tab/>
              <w:t>$’000</w:t>
            </w:r>
          </w:p>
        </w:tc>
      </w:tr>
      <w:tr w:rsidR="00036669" w:rsidRPr="00732782" w:rsidTr="0003191B">
        <w:tc>
          <w:tcPr>
            <w:tcW w:w="4728" w:type="dxa"/>
            <w:tcBorders>
              <w:bottom w:val="single" w:sz="4" w:space="0" w:color="auto"/>
            </w:tcBorders>
          </w:tcPr>
          <w:p w:rsidR="00036669" w:rsidRPr="00732782" w:rsidRDefault="00036669" w:rsidP="0003191B">
            <w:pPr>
              <w:pStyle w:val="AGRTableTextBold"/>
            </w:pPr>
            <w:r w:rsidRPr="00732782">
              <w:t xml:space="preserve">Revenue from continuing operations </w:t>
            </w:r>
          </w:p>
        </w:tc>
        <w:tc>
          <w:tcPr>
            <w:tcW w:w="1322" w:type="dxa"/>
            <w:tcBorders>
              <w:bottom w:val="single" w:sz="4" w:space="0" w:color="auto"/>
            </w:tcBorders>
          </w:tcPr>
          <w:p w:rsidR="00036669" w:rsidRPr="00732782" w:rsidRDefault="00EA4C8A" w:rsidP="00A16513">
            <w:pPr>
              <w:pStyle w:val="AGRTableNumbersBold"/>
            </w:pPr>
            <w:r>
              <w:t>43,108</w:t>
            </w:r>
          </w:p>
        </w:tc>
        <w:tc>
          <w:tcPr>
            <w:tcW w:w="1321" w:type="dxa"/>
            <w:tcBorders>
              <w:bottom w:val="single" w:sz="4" w:space="0" w:color="auto"/>
            </w:tcBorders>
          </w:tcPr>
          <w:p w:rsidR="00036669" w:rsidRPr="00732782" w:rsidRDefault="00036669" w:rsidP="00B94157">
            <w:pPr>
              <w:pStyle w:val="AGRTableNumbersBold"/>
            </w:pPr>
            <w:r>
              <w:t>47,083</w:t>
            </w:r>
          </w:p>
        </w:tc>
      </w:tr>
      <w:tr w:rsidR="00036669" w:rsidRPr="00732782" w:rsidTr="0003191B">
        <w:tc>
          <w:tcPr>
            <w:tcW w:w="4728" w:type="dxa"/>
            <w:tcBorders>
              <w:top w:val="single" w:sz="4" w:space="0" w:color="auto"/>
            </w:tcBorders>
          </w:tcPr>
          <w:p w:rsidR="00036669" w:rsidRPr="00732782" w:rsidRDefault="00036669" w:rsidP="0003191B">
            <w:pPr>
              <w:pStyle w:val="AGRTableTextBold"/>
            </w:pPr>
            <w:r w:rsidRPr="00732782">
              <w:t>Less expenses from ordinary activities</w:t>
            </w:r>
          </w:p>
        </w:tc>
        <w:tc>
          <w:tcPr>
            <w:tcW w:w="1322" w:type="dxa"/>
            <w:tcBorders>
              <w:top w:val="single" w:sz="4" w:space="0" w:color="auto"/>
            </w:tcBorders>
          </w:tcPr>
          <w:p w:rsidR="00036669" w:rsidRPr="00732782" w:rsidRDefault="00036669" w:rsidP="0003191B">
            <w:pPr>
              <w:pStyle w:val="AGRTableText"/>
              <w:tabs>
                <w:tab w:val="decimal" w:pos="811"/>
              </w:tabs>
            </w:pPr>
          </w:p>
        </w:tc>
        <w:tc>
          <w:tcPr>
            <w:tcW w:w="1321" w:type="dxa"/>
            <w:tcBorders>
              <w:top w:val="single" w:sz="4" w:space="0" w:color="auto"/>
            </w:tcBorders>
          </w:tcPr>
          <w:p w:rsidR="00036669" w:rsidRPr="00732782" w:rsidRDefault="00036669" w:rsidP="00B94157">
            <w:pPr>
              <w:pStyle w:val="AGRTableText"/>
              <w:tabs>
                <w:tab w:val="decimal" w:pos="811"/>
              </w:tabs>
            </w:pPr>
          </w:p>
        </w:tc>
      </w:tr>
      <w:tr w:rsidR="00036669" w:rsidRPr="00732782" w:rsidTr="0003191B">
        <w:tc>
          <w:tcPr>
            <w:tcW w:w="4728" w:type="dxa"/>
          </w:tcPr>
          <w:p w:rsidR="00036669" w:rsidRPr="00732782" w:rsidRDefault="00E8401B" w:rsidP="0003191B">
            <w:pPr>
              <w:pStyle w:val="AGRTableText"/>
            </w:pPr>
            <w:r>
              <w:t>Employee e</w:t>
            </w:r>
            <w:r w:rsidR="00036669" w:rsidRPr="00732782">
              <w:t>xpenses</w:t>
            </w:r>
          </w:p>
        </w:tc>
        <w:tc>
          <w:tcPr>
            <w:tcW w:w="1322" w:type="dxa"/>
          </w:tcPr>
          <w:p w:rsidR="00036669" w:rsidRPr="00732782" w:rsidRDefault="00EA4C8A" w:rsidP="00982C76">
            <w:pPr>
              <w:pStyle w:val="AGRTableNumbers"/>
            </w:pPr>
            <w:r>
              <w:t>(26,242)</w:t>
            </w:r>
          </w:p>
        </w:tc>
        <w:tc>
          <w:tcPr>
            <w:tcW w:w="1321" w:type="dxa"/>
          </w:tcPr>
          <w:p w:rsidR="00036669" w:rsidRPr="00732782" w:rsidRDefault="00036669" w:rsidP="00B94157">
            <w:pPr>
              <w:pStyle w:val="AGRTableNumbers"/>
            </w:pPr>
            <w:r w:rsidRPr="00732782">
              <w:t>(</w:t>
            </w:r>
            <w:r>
              <w:t>24,393</w:t>
            </w:r>
            <w:r w:rsidRPr="00732782">
              <w:t>)</w:t>
            </w:r>
          </w:p>
        </w:tc>
      </w:tr>
      <w:tr w:rsidR="00036669" w:rsidRPr="00732782" w:rsidTr="0003191B">
        <w:tc>
          <w:tcPr>
            <w:tcW w:w="4728" w:type="dxa"/>
          </w:tcPr>
          <w:p w:rsidR="00036669" w:rsidRPr="00732782" w:rsidRDefault="00036669" w:rsidP="0003191B">
            <w:pPr>
              <w:pStyle w:val="AGRTableText"/>
            </w:pPr>
            <w:r w:rsidRPr="00732782">
              <w:t>Depreciation</w:t>
            </w:r>
          </w:p>
        </w:tc>
        <w:tc>
          <w:tcPr>
            <w:tcW w:w="1322" w:type="dxa"/>
          </w:tcPr>
          <w:p w:rsidR="00036669" w:rsidRPr="00732782" w:rsidRDefault="00EA4C8A" w:rsidP="00982C76">
            <w:pPr>
              <w:pStyle w:val="AGRTableText"/>
              <w:tabs>
                <w:tab w:val="decimal" w:pos="811"/>
              </w:tabs>
            </w:pPr>
            <w:r>
              <w:t>(1,551)</w:t>
            </w:r>
          </w:p>
        </w:tc>
        <w:tc>
          <w:tcPr>
            <w:tcW w:w="1321" w:type="dxa"/>
          </w:tcPr>
          <w:p w:rsidR="00036669" w:rsidRPr="00732782" w:rsidRDefault="00036669" w:rsidP="00B94157">
            <w:pPr>
              <w:pStyle w:val="AGRTableText"/>
              <w:tabs>
                <w:tab w:val="decimal" w:pos="811"/>
              </w:tabs>
            </w:pPr>
            <w:r w:rsidRPr="00732782">
              <w:t>(</w:t>
            </w:r>
            <w:r>
              <w:t>1,475</w:t>
            </w:r>
            <w:r w:rsidRPr="00732782">
              <w:t>)</w:t>
            </w:r>
          </w:p>
        </w:tc>
      </w:tr>
      <w:tr w:rsidR="00036669" w:rsidRPr="00732782" w:rsidTr="0003191B">
        <w:tc>
          <w:tcPr>
            <w:tcW w:w="4728" w:type="dxa"/>
          </w:tcPr>
          <w:p w:rsidR="00036669" w:rsidRPr="00732782" w:rsidRDefault="00036669" w:rsidP="0003191B">
            <w:pPr>
              <w:pStyle w:val="AGRTableText"/>
            </w:pPr>
            <w:r w:rsidRPr="00732782">
              <w:t>Other</w:t>
            </w:r>
          </w:p>
        </w:tc>
        <w:tc>
          <w:tcPr>
            <w:tcW w:w="1322" w:type="dxa"/>
          </w:tcPr>
          <w:p w:rsidR="00036669" w:rsidRPr="00732782" w:rsidRDefault="00EA4C8A" w:rsidP="00982C76">
            <w:pPr>
              <w:pStyle w:val="AGRTableText"/>
              <w:tabs>
                <w:tab w:val="decimal" w:pos="811"/>
              </w:tabs>
            </w:pPr>
            <w:r>
              <w:t>(13,603)</w:t>
            </w:r>
          </w:p>
        </w:tc>
        <w:tc>
          <w:tcPr>
            <w:tcW w:w="1321" w:type="dxa"/>
          </w:tcPr>
          <w:p w:rsidR="00036669" w:rsidRPr="00732782" w:rsidRDefault="00036669" w:rsidP="00B94157">
            <w:pPr>
              <w:pStyle w:val="AGRTableText"/>
              <w:tabs>
                <w:tab w:val="decimal" w:pos="811"/>
              </w:tabs>
            </w:pPr>
            <w:r w:rsidRPr="00732782">
              <w:t>(</w:t>
            </w:r>
            <w:r>
              <w:t>15,448</w:t>
            </w:r>
            <w:r w:rsidRPr="00732782">
              <w:t>)</w:t>
            </w:r>
          </w:p>
        </w:tc>
      </w:tr>
      <w:tr w:rsidR="00036669" w:rsidRPr="00732782" w:rsidTr="0003191B">
        <w:tc>
          <w:tcPr>
            <w:tcW w:w="4728" w:type="dxa"/>
            <w:tcBorders>
              <w:bottom w:val="single" w:sz="4" w:space="0" w:color="auto"/>
            </w:tcBorders>
          </w:tcPr>
          <w:p w:rsidR="00036669" w:rsidRPr="00732782" w:rsidRDefault="00036669" w:rsidP="0003191B">
            <w:pPr>
              <w:pStyle w:val="AGRTableTextBold"/>
            </w:pPr>
            <w:r w:rsidRPr="00732782">
              <w:t>Total expenses from continuous operations</w:t>
            </w:r>
          </w:p>
        </w:tc>
        <w:tc>
          <w:tcPr>
            <w:tcW w:w="1322" w:type="dxa"/>
            <w:tcBorders>
              <w:bottom w:val="single" w:sz="4" w:space="0" w:color="auto"/>
            </w:tcBorders>
          </w:tcPr>
          <w:p w:rsidR="00036669" w:rsidRPr="00732782" w:rsidRDefault="00EA4C8A" w:rsidP="00537460">
            <w:pPr>
              <w:pStyle w:val="AGRTableNumbersBold"/>
            </w:pPr>
            <w:r>
              <w:t>(41,396)</w:t>
            </w:r>
          </w:p>
        </w:tc>
        <w:tc>
          <w:tcPr>
            <w:tcW w:w="1321" w:type="dxa"/>
            <w:tcBorders>
              <w:bottom w:val="single" w:sz="4" w:space="0" w:color="auto"/>
            </w:tcBorders>
          </w:tcPr>
          <w:p w:rsidR="00036669" w:rsidRPr="00732782" w:rsidRDefault="00036669" w:rsidP="00B94157">
            <w:pPr>
              <w:pStyle w:val="AGRTableNumbersBold"/>
            </w:pPr>
            <w:r w:rsidRPr="00732782">
              <w:t>(</w:t>
            </w:r>
            <w:r>
              <w:t>41,316</w:t>
            </w:r>
            <w:r w:rsidRPr="00732782">
              <w:t>)</w:t>
            </w:r>
          </w:p>
        </w:tc>
      </w:tr>
      <w:tr w:rsidR="00036669" w:rsidRPr="00732782" w:rsidTr="0003191B">
        <w:tc>
          <w:tcPr>
            <w:tcW w:w="4728" w:type="dxa"/>
            <w:tcBorders>
              <w:top w:val="single" w:sz="4" w:space="0" w:color="auto"/>
              <w:bottom w:val="single" w:sz="4" w:space="0" w:color="auto"/>
            </w:tcBorders>
          </w:tcPr>
          <w:p w:rsidR="00036669" w:rsidRPr="00732782" w:rsidRDefault="00036669" w:rsidP="0003191B">
            <w:pPr>
              <w:pStyle w:val="AGRTableText"/>
            </w:pPr>
            <w:r>
              <w:t>Operating result before i</w:t>
            </w:r>
            <w:r w:rsidRPr="00732782">
              <w:t>ncome tax expense</w:t>
            </w:r>
          </w:p>
        </w:tc>
        <w:tc>
          <w:tcPr>
            <w:tcW w:w="1322" w:type="dxa"/>
            <w:tcBorders>
              <w:top w:val="single" w:sz="4" w:space="0" w:color="auto"/>
              <w:bottom w:val="single" w:sz="4" w:space="0" w:color="auto"/>
            </w:tcBorders>
          </w:tcPr>
          <w:p w:rsidR="00036669" w:rsidRPr="00732782" w:rsidRDefault="00EA4C8A" w:rsidP="00537460">
            <w:pPr>
              <w:pStyle w:val="AGRTableNumbersBold"/>
            </w:pPr>
            <w:r>
              <w:t>1,712</w:t>
            </w:r>
          </w:p>
        </w:tc>
        <w:tc>
          <w:tcPr>
            <w:tcW w:w="1321" w:type="dxa"/>
            <w:tcBorders>
              <w:top w:val="single" w:sz="4" w:space="0" w:color="auto"/>
              <w:bottom w:val="single" w:sz="4" w:space="0" w:color="auto"/>
            </w:tcBorders>
          </w:tcPr>
          <w:p w:rsidR="00036669" w:rsidRPr="00732782" w:rsidRDefault="00036669" w:rsidP="00B94157">
            <w:pPr>
              <w:pStyle w:val="AGRTableNumbersBold"/>
            </w:pPr>
            <w:r>
              <w:t>5,767</w:t>
            </w:r>
          </w:p>
        </w:tc>
      </w:tr>
      <w:tr w:rsidR="00036669" w:rsidRPr="00732782" w:rsidTr="00D53C7A">
        <w:tc>
          <w:tcPr>
            <w:tcW w:w="4728" w:type="dxa"/>
            <w:tcBorders>
              <w:top w:val="single" w:sz="4" w:space="0" w:color="auto"/>
            </w:tcBorders>
          </w:tcPr>
          <w:p w:rsidR="00036669" w:rsidRPr="00732782" w:rsidRDefault="00036669" w:rsidP="0003191B">
            <w:pPr>
              <w:pStyle w:val="AGRTableText"/>
            </w:pPr>
            <w:r w:rsidRPr="00732782">
              <w:t>Less Income tax expense</w:t>
            </w:r>
          </w:p>
        </w:tc>
        <w:tc>
          <w:tcPr>
            <w:tcW w:w="1322" w:type="dxa"/>
            <w:tcBorders>
              <w:top w:val="single" w:sz="4" w:space="0" w:color="auto"/>
            </w:tcBorders>
          </w:tcPr>
          <w:p w:rsidR="00036669" w:rsidRPr="00732782" w:rsidRDefault="00EA4C8A" w:rsidP="0003191B">
            <w:pPr>
              <w:pStyle w:val="AGRTableText"/>
              <w:tabs>
                <w:tab w:val="decimal" w:pos="811"/>
              </w:tabs>
            </w:pPr>
            <w:r>
              <w:t>-</w:t>
            </w:r>
          </w:p>
        </w:tc>
        <w:tc>
          <w:tcPr>
            <w:tcW w:w="1321" w:type="dxa"/>
            <w:tcBorders>
              <w:top w:val="single" w:sz="4" w:space="0" w:color="auto"/>
            </w:tcBorders>
          </w:tcPr>
          <w:p w:rsidR="00036669" w:rsidRPr="00732782" w:rsidRDefault="00036669" w:rsidP="00B94157">
            <w:pPr>
              <w:pStyle w:val="AGRTableText"/>
              <w:tabs>
                <w:tab w:val="decimal" w:pos="811"/>
              </w:tabs>
            </w:pPr>
            <w:r w:rsidRPr="00732782">
              <w:t>-</w:t>
            </w:r>
          </w:p>
        </w:tc>
      </w:tr>
      <w:tr w:rsidR="00036669" w:rsidRPr="00732782" w:rsidTr="00D53C7A">
        <w:tc>
          <w:tcPr>
            <w:tcW w:w="4728" w:type="dxa"/>
            <w:tcBorders>
              <w:bottom w:val="single" w:sz="4" w:space="0" w:color="auto"/>
            </w:tcBorders>
          </w:tcPr>
          <w:p w:rsidR="00036669" w:rsidRPr="00732782" w:rsidRDefault="00036669" w:rsidP="00AF6CDA">
            <w:pPr>
              <w:pStyle w:val="AGRTableTextBold"/>
            </w:pPr>
            <w:r w:rsidRPr="00537460">
              <w:t xml:space="preserve">Operating result </w:t>
            </w:r>
            <w:r>
              <w:t>after</w:t>
            </w:r>
            <w:r w:rsidRPr="00537460">
              <w:t xml:space="preserve"> </w:t>
            </w:r>
            <w:r>
              <w:t>i</w:t>
            </w:r>
            <w:r w:rsidRPr="00537460">
              <w:t>ncome tax expense</w:t>
            </w:r>
          </w:p>
        </w:tc>
        <w:tc>
          <w:tcPr>
            <w:tcW w:w="1322" w:type="dxa"/>
            <w:tcBorders>
              <w:bottom w:val="single" w:sz="4" w:space="0" w:color="auto"/>
            </w:tcBorders>
          </w:tcPr>
          <w:p w:rsidR="00036669" w:rsidRPr="00732782" w:rsidRDefault="00EA4C8A" w:rsidP="00982C76">
            <w:pPr>
              <w:pStyle w:val="AGRTableNumbersBold"/>
            </w:pPr>
            <w:r>
              <w:t>1,712</w:t>
            </w:r>
          </w:p>
        </w:tc>
        <w:tc>
          <w:tcPr>
            <w:tcW w:w="1321" w:type="dxa"/>
            <w:tcBorders>
              <w:bottom w:val="single" w:sz="4" w:space="0" w:color="auto"/>
            </w:tcBorders>
          </w:tcPr>
          <w:p w:rsidR="00036669" w:rsidRPr="00732782" w:rsidRDefault="00036669" w:rsidP="00B94157">
            <w:pPr>
              <w:pStyle w:val="AGRTableNumbersBold"/>
            </w:pPr>
            <w:r>
              <w:t>5,767</w:t>
            </w:r>
          </w:p>
        </w:tc>
      </w:tr>
    </w:tbl>
    <w:p w:rsidR="001D7A16" w:rsidRPr="001D49AD" w:rsidRDefault="001D7A16" w:rsidP="002F4F0B">
      <w:pPr>
        <w:pStyle w:val="AGRBodyText"/>
      </w:pPr>
      <w:r>
        <w:t>As shown above, t</w:t>
      </w:r>
      <w:r w:rsidR="001D49AD" w:rsidRPr="001D49AD">
        <w:t>he Institute reported an operating surplus for the year ended 31</w:t>
      </w:r>
      <w:r w:rsidR="0019027F">
        <w:t> </w:t>
      </w:r>
      <w:r w:rsidR="001D49AD" w:rsidRPr="001D49AD">
        <w:t>December 2012 of $1.712</w:t>
      </w:r>
      <w:r w:rsidR="0019027F">
        <w:t> </w:t>
      </w:r>
      <w:r w:rsidR="001D49AD" w:rsidRPr="001D49AD">
        <w:t xml:space="preserve">million, </w:t>
      </w:r>
      <w:r>
        <w:t>compared</w:t>
      </w:r>
      <w:r w:rsidR="001D49AD" w:rsidRPr="001D49AD">
        <w:t xml:space="preserve"> </w:t>
      </w:r>
      <w:r>
        <w:t>with</w:t>
      </w:r>
      <w:r w:rsidR="001D49AD" w:rsidRPr="001D49AD">
        <w:t xml:space="preserve"> a</w:t>
      </w:r>
      <w:r>
        <w:t xml:space="preserve"> result</w:t>
      </w:r>
      <w:r w:rsidR="001D49AD" w:rsidRPr="001D49AD">
        <w:t xml:space="preserve"> of $5.767</w:t>
      </w:r>
      <w:r w:rsidR="0019027F">
        <w:t> </w:t>
      </w:r>
      <w:r w:rsidR="001D49AD" w:rsidRPr="001D49AD">
        <w:t xml:space="preserve">million </w:t>
      </w:r>
      <w:r>
        <w:t xml:space="preserve">for </w:t>
      </w:r>
      <w:r w:rsidR="001D49AD" w:rsidRPr="001D49AD">
        <w:t xml:space="preserve">the prior year.  The decline in the </w:t>
      </w:r>
      <w:r>
        <w:t>result</w:t>
      </w:r>
      <w:r w:rsidR="001D49AD" w:rsidRPr="001D49AD">
        <w:t xml:space="preserve"> was due mainly to a fall in income of $3.975</w:t>
      </w:r>
      <w:r w:rsidR="0019027F">
        <w:t> </w:t>
      </w:r>
      <w:r w:rsidR="001D49AD" w:rsidRPr="001D49AD">
        <w:t>million</w:t>
      </w:r>
      <w:r>
        <w:t xml:space="preserve"> which, in turn, </w:t>
      </w:r>
      <w:r w:rsidR="008E6D49">
        <w:t>was attributable to a reduction of $12.888</w:t>
      </w:r>
      <w:r w:rsidR="0019027F">
        <w:t> </w:t>
      </w:r>
      <w:r w:rsidR="008E6D49">
        <w:t xml:space="preserve">million in funding from the Australian Government </w:t>
      </w:r>
      <w:r>
        <w:t>offset by an increase of $2.549</w:t>
      </w:r>
      <w:r w:rsidR="0019027F">
        <w:t> </w:t>
      </w:r>
      <w:r>
        <w:t>million received from the Northern Territory Government and an increase of $6.456</w:t>
      </w:r>
      <w:r w:rsidR="0019027F">
        <w:t> </w:t>
      </w:r>
      <w:r>
        <w:t>million in revenue from consultancy and contract fees.</w:t>
      </w:r>
    </w:p>
    <w:p w:rsidR="00CD12A3" w:rsidRDefault="001D7A16" w:rsidP="002F4F0B">
      <w:pPr>
        <w:pStyle w:val="AGRBodyText"/>
      </w:pPr>
      <w:r>
        <w:t xml:space="preserve">The decline in funding received from the Australian Government reflects a </w:t>
      </w:r>
      <w:r w:rsidR="00697169">
        <w:t>fall</w:t>
      </w:r>
      <w:r>
        <w:t xml:space="preserve"> in student numbers for the year, together with reduced funding for the Away From Base project as a result of the establishment of the Australian Centre for Indigenous Knowledge and Education (ACIKE) </w:t>
      </w:r>
      <w:r w:rsidR="008E6D49">
        <w:t xml:space="preserve">and </w:t>
      </w:r>
      <w:r>
        <w:t xml:space="preserve">the </w:t>
      </w:r>
      <w:r w:rsidR="008E6D49">
        <w:t xml:space="preserve">accompanying collaboration between the Institute and the Charles Darwin University </w:t>
      </w:r>
      <w:r w:rsidR="007621AE">
        <w:t>during 2012.</w:t>
      </w:r>
    </w:p>
    <w:p w:rsidR="001D49AD" w:rsidRPr="004C0174" w:rsidRDefault="008E6D49" w:rsidP="002F4F0B">
      <w:pPr>
        <w:pStyle w:val="AGRBodyText"/>
      </w:pPr>
      <w:r w:rsidRPr="004C0174">
        <w:t>The Institute’s expenditure of $41.396</w:t>
      </w:r>
      <w:r w:rsidR="0019027F">
        <w:t> </w:t>
      </w:r>
      <w:r w:rsidRPr="004C0174">
        <w:t>million in 2012 was consistent with expenditure in 2011 of $41.316</w:t>
      </w:r>
      <w:r w:rsidR="0019027F">
        <w:t> </w:t>
      </w:r>
      <w:r w:rsidRPr="004C0174">
        <w:t xml:space="preserve">million.  While </w:t>
      </w:r>
      <w:r w:rsidR="004C0174" w:rsidRPr="004C0174">
        <w:t>employee related expenses increased by $1.849</w:t>
      </w:r>
      <w:r w:rsidR="0019027F">
        <w:t> </w:t>
      </w:r>
      <w:r w:rsidR="004C0174" w:rsidRPr="004C0174">
        <w:t xml:space="preserve">million due to </w:t>
      </w:r>
      <w:r w:rsidR="00CD12A3">
        <w:t>salary</w:t>
      </w:r>
      <w:r w:rsidR="007621AE">
        <w:t xml:space="preserve"> </w:t>
      </w:r>
      <w:r w:rsidR="004C0174" w:rsidRPr="004C0174">
        <w:t>increases provided to staff, other expenses decreased by approximately $1.884</w:t>
      </w:r>
      <w:r w:rsidR="0019027F">
        <w:t> </w:t>
      </w:r>
      <w:r w:rsidR="004C0174" w:rsidRPr="004C0174">
        <w:t xml:space="preserve">million (related largely to a reduction in </w:t>
      </w:r>
      <w:r w:rsidR="00CD12A3">
        <w:t>travel expenses</w:t>
      </w:r>
      <w:r w:rsidR="004C0174" w:rsidRPr="004C0174">
        <w:t>, consultants</w:t>
      </w:r>
      <w:r w:rsidR="00CD12A3">
        <w:t>’</w:t>
      </w:r>
      <w:r w:rsidR="004C0174" w:rsidRPr="004C0174">
        <w:t xml:space="preserve"> fees and </w:t>
      </w:r>
      <w:r w:rsidR="00CD12A3">
        <w:t>training</w:t>
      </w:r>
      <w:r w:rsidR="004C0174" w:rsidRPr="004C0174">
        <w:t xml:space="preserve"> expenses).</w:t>
      </w:r>
    </w:p>
    <w:p w:rsidR="00C90BF2" w:rsidRPr="00732782" w:rsidRDefault="00C90BF2" w:rsidP="0083183F">
      <w:pPr>
        <w:pStyle w:val="AGRHeading1"/>
      </w:pPr>
      <w:r w:rsidRPr="00732782">
        <w:t>Batchelor Institute of Indigenous Tertiary Education cont…</w:t>
      </w:r>
    </w:p>
    <w:p w:rsidR="00C90BF2" w:rsidRPr="00732782" w:rsidRDefault="005602EC" w:rsidP="00C708C3">
      <w:pPr>
        <w:pStyle w:val="AGRHeading3"/>
      </w:pPr>
      <w:r>
        <w:t>Financial Position at year end</w:t>
      </w:r>
    </w:p>
    <w:tbl>
      <w:tblPr>
        <w:tblW w:w="7371" w:type="dxa"/>
        <w:tblInd w:w="851" w:type="dxa"/>
        <w:tblLook w:val="01E0" w:firstRow="1" w:lastRow="1" w:firstColumn="1" w:lastColumn="1" w:noHBand="0" w:noVBand="0"/>
      </w:tblPr>
      <w:tblGrid>
        <w:gridCol w:w="4728"/>
        <w:gridCol w:w="1322"/>
        <w:gridCol w:w="1321"/>
      </w:tblGrid>
      <w:tr w:rsidR="00036669" w:rsidRPr="00732782" w:rsidTr="00036669">
        <w:tc>
          <w:tcPr>
            <w:tcW w:w="4728" w:type="dxa"/>
            <w:tcBorders>
              <w:bottom w:val="single" w:sz="4" w:space="0" w:color="auto"/>
            </w:tcBorders>
          </w:tcPr>
          <w:p w:rsidR="00036669" w:rsidRPr="00732782" w:rsidRDefault="00036669" w:rsidP="00C90BF2">
            <w:pPr>
              <w:pStyle w:val="AGRTableText"/>
            </w:pPr>
          </w:p>
        </w:tc>
        <w:tc>
          <w:tcPr>
            <w:tcW w:w="1322" w:type="dxa"/>
            <w:tcBorders>
              <w:bottom w:val="single" w:sz="4" w:space="0" w:color="auto"/>
            </w:tcBorders>
          </w:tcPr>
          <w:p w:rsidR="00036669" w:rsidRPr="00732782" w:rsidRDefault="00036669" w:rsidP="00C90BF2">
            <w:pPr>
              <w:pStyle w:val="AGRTableText"/>
              <w:tabs>
                <w:tab w:val="center" w:pos="570"/>
              </w:tabs>
            </w:pPr>
            <w:r w:rsidRPr="00732782">
              <w:tab/>
            </w:r>
            <w:r>
              <w:t>2012</w:t>
            </w:r>
          </w:p>
        </w:tc>
        <w:tc>
          <w:tcPr>
            <w:tcW w:w="1321" w:type="dxa"/>
            <w:tcBorders>
              <w:bottom w:val="single" w:sz="4" w:space="0" w:color="auto"/>
            </w:tcBorders>
          </w:tcPr>
          <w:p w:rsidR="00036669" w:rsidRPr="00732782" w:rsidRDefault="00036669" w:rsidP="00B94157">
            <w:pPr>
              <w:pStyle w:val="AGRTableText"/>
              <w:tabs>
                <w:tab w:val="center" w:pos="570"/>
              </w:tabs>
            </w:pPr>
            <w:r w:rsidRPr="00732782">
              <w:tab/>
            </w:r>
            <w:r>
              <w:t>2011</w:t>
            </w:r>
          </w:p>
        </w:tc>
      </w:tr>
      <w:tr w:rsidR="00036669" w:rsidRPr="00732782" w:rsidTr="00036669">
        <w:tc>
          <w:tcPr>
            <w:tcW w:w="4728" w:type="dxa"/>
            <w:tcBorders>
              <w:top w:val="single" w:sz="4" w:space="0" w:color="auto"/>
            </w:tcBorders>
          </w:tcPr>
          <w:p w:rsidR="00036669" w:rsidRPr="00732782" w:rsidRDefault="00036669" w:rsidP="00C90BF2">
            <w:pPr>
              <w:pStyle w:val="AGRTableText"/>
            </w:pPr>
          </w:p>
        </w:tc>
        <w:tc>
          <w:tcPr>
            <w:tcW w:w="1322" w:type="dxa"/>
            <w:tcBorders>
              <w:top w:val="single" w:sz="4" w:space="0" w:color="auto"/>
            </w:tcBorders>
          </w:tcPr>
          <w:p w:rsidR="00036669" w:rsidRPr="00732782" w:rsidRDefault="00036669" w:rsidP="00C90BF2">
            <w:pPr>
              <w:pStyle w:val="AGRTableText"/>
              <w:tabs>
                <w:tab w:val="center" w:pos="570"/>
              </w:tabs>
            </w:pPr>
            <w:r w:rsidRPr="00732782">
              <w:tab/>
              <w:t>$’000</w:t>
            </w:r>
          </w:p>
        </w:tc>
        <w:tc>
          <w:tcPr>
            <w:tcW w:w="1321" w:type="dxa"/>
            <w:tcBorders>
              <w:top w:val="single" w:sz="4" w:space="0" w:color="auto"/>
            </w:tcBorders>
          </w:tcPr>
          <w:p w:rsidR="00036669" w:rsidRPr="00732782" w:rsidRDefault="00036669" w:rsidP="00B94157">
            <w:pPr>
              <w:pStyle w:val="AGRTableText"/>
              <w:tabs>
                <w:tab w:val="center" w:pos="570"/>
              </w:tabs>
            </w:pPr>
            <w:r w:rsidRPr="00732782">
              <w:tab/>
              <w:t>$’000</w:t>
            </w:r>
          </w:p>
        </w:tc>
      </w:tr>
      <w:tr w:rsidR="00036669" w:rsidRPr="00732782" w:rsidTr="00036669">
        <w:tc>
          <w:tcPr>
            <w:tcW w:w="4728" w:type="dxa"/>
          </w:tcPr>
          <w:p w:rsidR="00036669" w:rsidRPr="00732782" w:rsidRDefault="00E8401B" w:rsidP="00C90BF2">
            <w:pPr>
              <w:pStyle w:val="AGRTableText"/>
            </w:pPr>
            <w:r>
              <w:t>Current a</w:t>
            </w:r>
            <w:r w:rsidR="00036669" w:rsidRPr="00732782">
              <w:t>ssets</w:t>
            </w:r>
          </w:p>
        </w:tc>
        <w:tc>
          <w:tcPr>
            <w:tcW w:w="1322" w:type="dxa"/>
          </w:tcPr>
          <w:p w:rsidR="00036669" w:rsidRPr="00732782" w:rsidRDefault="004C5492" w:rsidP="00C90BF2">
            <w:pPr>
              <w:pStyle w:val="AGRTableNumbers"/>
            </w:pPr>
            <w:r>
              <w:t>18,830</w:t>
            </w:r>
          </w:p>
        </w:tc>
        <w:tc>
          <w:tcPr>
            <w:tcW w:w="1321" w:type="dxa"/>
          </w:tcPr>
          <w:p w:rsidR="00036669" w:rsidRPr="00732782" w:rsidRDefault="00036669" w:rsidP="00B94157">
            <w:pPr>
              <w:pStyle w:val="AGRTableNumbers"/>
            </w:pPr>
            <w:r>
              <w:t>19,541</w:t>
            </w:r>
          </w:p>
        </w:tc>
      </w:tr>
      <w:tr w:rsidR="00036669" w:rsidRPr="00732782" w:rsidTr="00036669">
        <w:tc>
          <w:tcPr>
            <w:tcW w:w="4728" w:type="dxa"/>
          </w:tcPr>
          <w:p w:rsidR="00036669" w:rsidRPr="00732782" w:rsidRDefault="00E8401B" w:rsidP="00E8401B">
            <w:pPr>
              <w:pStyle w:val="AGRTableText"/>
            </w:pPr>
            <w:r>
              <w:t>Less c</w:t>
            </w:r>
            <w:r w:rsidR="00036669" w:rsidRPr="00732782">
              <w:t xml:space="preserve">urrent </w:t>
            </w:r>
            <w:r>
              <w:t>l</w:t>
            </w:r>
            <w:r w:rsidR="00036669" w:rsidRPr="00732782">
              <w:t>iabilities</w:t>
            </w:r>
          </w:p>
        </w:tc>
        <w:tc>
          <w:tcPr>
            <w:tcW w:w="1322" w:type="dxa"/>
          </w:tcPr>
          <w:p w:rsidR="00036669" w:rsidRPr="00732782" w:rsidRDefault="004C5492" w:rsidP="002345B6">
            <w:pPr>
              <w:pStyle w:val="AGRTableText"/>
              <w:tabs>
                <w:tab w:val="decimal" w:pos="811"/>
              </w:tabs>
            </w:pPr>
            <w:r>
              <w:t>(6,236)</w:t>
            </w:r>
          </w:p>
        </w:tc>
        <w:tc>
          <w:tcPr>
            <w:tcW w:w="1321" w:type="dxa"/>
          </w:tcPr>
          <w:p w:rsidR="00036669" w:rsidRPr="00732782" w:rsidRDefault="00036669" w:rsidP="00B94157">
            <w:pPr>
              <w:pStyle w:val="AGRTableText"/>
              <w:tabs>
                <w:tab w:val="decimal" w:pos="811"/>
              </w:tabs>
            </w:pPr>
            <w:r w:rsidRPr="00732782">
              <w:t>(</w:t>
            </w:r>
            <w:r>
              <w:t>7,193</w:t>
            </w:r>
            <w:r w:rsidRPr="00732782">
              <w:t>)</w:t>
            </w:r>
          </w:p>
        </w:tc>
      </w:tr>
      <w:tr w:rsidR="00036669" w:rsidRPr="00732782" w:rsidTr="00036669">
        <w:tc>
          <w:tcPr>
            <w:tcW w:w="4728" w:type="dxa"/>
            <w:tcBorders>
              <w:bottom w:val="single" w:sz="4" w:space="0" w:color="auto"/>
            </w:tcBorders>
          </w:tcPr>
          <w:p w:rsidR="00036669" w:rsidRPr="00732782" w:rsidRDefault="00E8401B" w:rsidP="00C90BF2">
            <w:pPr>
              <w:pStyle w:val="AGRTableTextBold"/>
            </w:pPr>
            <w:r>
              <w:t>Working c</w:t>
            </w:r>
            <w:r w:rsidR="00036669" w:rsidRPr="00732782">
              <w:t>apital</w:t>
            </w:r>
          </w:p>
        </w:tc>
        <w:tc>
          <w:tcPr>
            <w:tcW w:w="1322" w:type="dxa"/>
            <w:tcBorders>
              <w:bottom w:val="single" w:sz="4" w:space="0" w:color="auto"/>
            </w:tcBorders>
          </w:tcPr>
          <w:p w:rsidR="00036669" w:rsidRPr="00732782" w:rsidRDefault="00036669" w:rsidP="004C5492">
            <w:pPr>
              <w:pStyle w:val="AGRTableNumbersBold"/>
            </w:pPr>
            <w:r>
              <w:fldChar w:fldCharType="begin"/>
            </w:r>
            <w:r>
              <w:instrText xml:space="preserve"> =SUM(ABOVE) </w:instrText>
            </w:r>
            <w:r>
              <w:fldChar w:fldCharType="separate"/>
            </w:r>
            <w:r w:rsidR="00B53DC5">
              <w:rPr>
                <w:noProof/>
              </w:rPr>
              <w:t>12,594</w:t>
            </w:r>
            <w:r>
              <w:rPr>
                <w:noProof/>
              </w:rPr>
              <w:fldChar w:fldCharType="end"/>
            </w:r>
          </w:p>
        </w:tc>
        <w:tc>
          <w:tcPr>
            <w:tcW w:w="1321" w:type="dxa"/>
            <w:tcBorders>
              <w:bottom w:val="single" w:sz="4" w:space="0" w:color="auto"/>
            </w:tcBorders>
          </w:tcPr>
          <w:p w:rsidR="00036669" w:rsidRPr="00732782" w:rsidRDefault="00036669" w:rsidP="00B94157">
            <w:pPr>
              <w:pStyle w:val="AGRTableNumbersBold"/>
            </w:pPr>
            <w:r>
              <w:fldChar w:fldCharType="begin"/>
            </w:r>
            <w:r>
              <w:instrText xml:space="preserve"> =SUM(ABOVE) </w:instrText>
            </w:r>
            <w:r>
              <w:fldChar w:fldCharType="separate"/>
            </w:r>
            <w:r w:rsidR="00B53DC5">
              <w:rPr>
                <w:noProof/>
              </w:rPr>
              <w:t>12,348</w:t>
            </w:r>
            <w:r>
              <w:rPr>
                <w:noProof/>
              </w:rPr>
              <w:fldChar w:fldCharType="end"/>
            </w:r>
          </w:p>
        </w:tc>
      </w:tr>
      <w:tr w:rsidR="00036669" w:rsidRPr="00732782" w:rsidTr="00036669">
        <w:tc>
          <w:tcPr>
            <w:tcW w:w="4728" w:type="dxa"/>
            <w:tcBorders>
              <w:top w:val="single" w:sz="4" w:space="0" w:color="auto"/>
            </w:tcBorders>
          </w:tcPr>
          <w:p w:rsidR="00036669" w:rsidRPr="00732782" w:rsidRDefault="00E8401B" w:rsidP="00E8401B">
            <w:pPr>
              <w:pStyle w:val="AGRTableText"/>
            </w:pPr>
            <w:r>
              <w:t>Add n</w:t>
            </w:r>
            <w:r w:rsidR="00036669" w:rsidRPr="00732782">
              <w:t xml:space="preserve">on </w:t>
            </w:r>
            <w:r>
              <w:t>c</w:t>
            </w:r>
            <w:r w:rsidR="00036669" w:rsidRPr="00732782">
              <w:t xml:space="preserve">urrent </w:t>
            </w:r>
            <w:r>
              <w:t>a</w:t>
            </w:r>
            <w:r w:rsidR="00036669" w:rsidRPr="00732782">
              <w:t>ssets</w:t>
            </w:r>
          </w:p>
        </w:tc>
        <w:tc>
          <w:tcPr>
            <w:tcW w:w="1322" w:type="dxa"/>
            <w:tcBorders>
              <w:top w:val="single" w:sz="4" w:space="0" w:color="auto"/>
            </w:tcBorders>
          </w:tcPr>
          <w:p w:rsidR="00036669" w:rsidRPr="00732782" w:rsidRDefault="004C5492" w:rsidP="00982C76">
            <w:pPr>
              <w:pStyle w:val="AGRTableText"/>
              <w:tabs>
                <w:tab w:val="decimal" w:pos="811"/>
              </w:tabs>
            </w:pPr>
            <w:r>
              <w:t>35,700</w:t>
            </w:r>
          </w:p>
        </w:tc>
        <w:tc>
          <w:tcPr>
            <w:tcW w:w="1321" w:type="dxa"/>
            <w:tcBorders>
              <w:top w:val="single" w:sz="4" w:space="0" w:color="auto"/>
            </w:tcBorders>
          </w:tcPr>
          <w:p w:rsidR="00036669" w:rsidRPr="00732782" w:rsidRDefault="00036669" w:rsidP="00B94157">
            <w:pPr>
              <w:pStyle w:val="AGRTableText"/>
              <w:tabs>
                <w:tab w:val="decimal" w:pos="811"/>
              </w:tabs>
            </w:pPr>
            <w:r>
              <w:t>31,301</w:t>
            </w:r>
          </w:p>
        </w:tc>
      </w:tr>
      <w:tr w:rsidR="00036669" w:rsidRPr="00732782" w:rsidTr="00036669">
        <w:tc>
          <w:tcPr>
            <w:tcW w:w="4728" w:type="dxa"/>
          </w:tcPr>
          <w:p w:rsidR="00036669" w:rsidRPr="00732782" w:rsidRDefault="00036669" w:rsidP="00C90BF2">
            <w:pPr>
              <w:pStyle w:val="AGRTableText"/>
            </w:pPr>
          </w:p>
        </w:tc>
        <w:tc>
          <w:tcPr>
            <w:tcW w:w="1322" w:type="dxa"/>
          </w:tcPr>
          <w:p w:rsidR="00036669" w:rsidRPr="00732782" w:rsidRDefault="004C5492" w:rsidP="00855F52">
            <w:pPr>
              <w:pStyle w:val="AGRTableNumbers"/>
            </w:pPr>
            <w:r>
              <w:t>48,294</w:t>
            </w:r>
          </w:p>
        </w:tc>
        <w:tc>
          <w:tcPr>
            <w:tcW w:w="1321" w:type="dxa"/>
          </w:tcPr>
          <w:p w:rsidR="00036669" w:rsidRPr="00732782" w:rsidRDefault="00036669" w:rsidP="00B94157">
            <w:pPr>
              <w:pStyle w:val="AGRTableNumbers"/>
            </w:pPr>
            <w:r>
              <w:t>43,649</w:t>
            </w:r>
          </w:p>
        </w:tc>
      </w:tr>
      <w:tr w:rsidR="00036669" w:rsidRPr="00732782" w:rsidTr="00036669">
        <w:tc>
          <w:tcPr>
            <w:tcW w:w="4728" w:type="dxa"/>
          </w:tcPr>
          <w:p w:rsidR="00036669" w:rsidRPr="00732782" w:rsidRDefault="00036669" w:rsidP="00E8401B">
            <w:pPr>
              <w:pStyle w:val="AGRTableText"/>
            </w:pPr>
            <w:r w:rsidRPr="00732782">
              <w:t xml:space="preserve">Less </w:t>
            </w:r>
            <w:r w:rsidR="00E8401B">
              <w:t>n</w:t>
            </w:r>
            <w:r w:rsidRPr="00732782">
              <w:t xml:space="preserve">on </w:t>
            </w:r>
            <w:r w:rsidR="00E8401B">
              <w:t>c</w:t>
            </w:r>
            <w:r w:rsidRPr="00732782">
              <w:t xml:space="preserve">urrent </w:t>
            </w:r>
            <w:r w:rsidR="00E8401B">
              <w:t>l</w:t>
            </w:r>
            <w:r w:rsidRPr="00732782">
              <w:t>iabilities</w:t>
            </w:r>
          </w:p>
        </w:tc>
        <w:tc>
          <w:tcPr>
            <w:tcW w:w="1322" w:type="dxa"/>
          </w:tcPr>
          <w:p w:rsidR="00036669" w:rsidRPr="00732782" w:rsidRDefault="004C5492" w:rsidP="00982C76">
            <w:pPr>
              <w:pStyle w:val="AGRTableNumbers"/>
            </w:pPr>
            <w:r>
              <w:t>(782)</w:t>
            </w:r>
          </w:p>
        </w:tc>
        <w:tc>
          <w:tcPr>
            <w:tcW w:w="1321" w:type="dxa"/>
          </w:tcPr>
          <w:p w:rsidR="00036669" w:rsidRPr="00732782" w:rsidRDefault="00036669" w:rsidP="00B94157">
            <w:pPr>
              <w:pStyle w:val="AGRTableNumbers"/>
            </w:pPr>
            <w:r w:rsidRPr="00732782">
              <w:t>(</w:t>
            </w:r>
            <w:r>
              <w:t>692</w:t>
            </w:r>
            <w:r w:rsidRPr="00732782">
              <w:t>)</w:t>
            </w:r>
          </w:p>
        </w:tc>
      </w:tr>
      <w:tr w:rsidR="00036669" w:rsidRPr="00732782" w:rsidTr="00036669">
        <w:tc>
          <w:tcPr>
            <w:tcW w:w="4728" w:type="dxa"/>
            <w:tcBorders>
              <w:bottom w:val="single" w:sz="4" w:space="0" w:color="auto"/>
            </w:tcBorders>
          </w:tcPr>
          <w:p w:rsidR="00036669" w:rsidRPr="00732782" w:rsidRDefault="00E8401B" w:rsidP="00C90BF2">
            <w:pPr>
              <w:pStyle w:val="AGRTableTextBold"/>
            </w:pPr>
            <w:r>
              <w:t>Net a</w:t>
            </w:r>
            <w:r w:rsidR="00036669" w:rsidRPr="00732782">
              <w:t>ssets</w:t>
            </w:r>
          </w:p>
        </w:tc>
        <w:tc>
          <w:tcPr>
            <w:tcW w:w="1322" w:type="dxa"/>
            <w:tcBorders>
              <w:bottom w:val="single" w:sz="4" w:space="0" w:color="auto"/>
            </w:tcBorders>
          </w:tcPr>
          <w:p w:rsidR="00036669" w:rsidRPr="00732782" w:rsidRDefault="004C5492" w:rsidP="00C90BF2">
            <w:pPr>
              <w:pStyle w:val="AGRTableNumbersBold"/>
            </w:pPr>
            <w:r>
              <w:t>47,512</w:t>
            </w:r>
          </w:p>
        </w:tc>
        <w:tc>
          <w:tcPr>
            <w:tcW w:w="1321" w:type="dxa"/>
            <w:tcBorders>
              <w:bottom w:val="single" w:sz="4" w:space="0" w:color="auto"/>
            </w:tcBorders>
          </w:tcPr>
          <w:p w:rsidR="00036669" w:rsidRPr="00732782" w:rsidRDefault="00036669" w:rsidP="00B94157">
            <w:pPr>
              <w:pStyle w:val="AGRTableNumbersBold"/>
            </w:pPr>
            <w:r>
              <w:t>42,957</w:t>
            </w:r>
          </w:p>
        </w:tc>
      </w:tr>
      <w:tr w:rsidR="00036669" w:rsidRPr="00732782" w:rsidTr="00036669">
        <w:tc>
          <w:tcPr>
            <w:tcW w:w="4728" w:type="dxa"/>
            <w:tcBorders>
              <w:top w:val="single" w:sz="4" w:space="0" w:color="auto"/>
            </w:tcBorders>
          </w:tcPr>
          <w:p w:rsidR="00036669" w:rsidRPr="00732782" w:rsidRDefault="00036669" w:rsidP="00C90BF2">
            <w:pPr>
              <w:pStyle w:val="AGRTableText"/>
            </w:pPr>
            <w:r w:rsidRPr="00732782">
              <w:t>Represented by:</w:t>
            </w:r>
          </w:p>
        </w:tc>
        <w:tc>
          <w:tcPr>
            <w:tcW w:w="1322" w:type="dxa"/>
            <w:tcBorders>
              <w:top w:val="single" w:sz="4" w:space="0" w:color="auto"/>
            </w:tcBorders>
          </w:tcPr>
          <w:p w:rsidR="00036669" w:rsidRPr="00732782" w:rsidRDefault="00036669" w:rsidP="00C90BF2">
            <w:pPr>
              <w:pStyle w:val="AGRTableNumbers"/>
            </w:pPr>
          </w:p>
        </w:tc>
        <w:tc>
          <w:tcPr>
            <w:tcW w:w="1321" w:type="dxa"/>
            <w:tcBorders>
              <w:top w:val="single" w:sz="4" w:space="0" w:color="auto"/>
            </w:tcBorders>
          </w:tcPr>
          <w:p w:rsidR="00036669" w:rsidRPr="00732782" w:rsidRDefault="00036669" w:rsidP="00B94157">
            <w:pPr>
              <w:pStyle w:val="AGRTableNumbers"/>
            </w:pPr>
          </w:p>
        </w:tc>
      </w:tr>
      <w:tr w:rsidR="00036669" w:rsidRPr="00732782" w:rsidTr="00036669">
        <w:tc>
          <w:tcPr>
            <w:tcW w:w="4728" w:type="dxa"/>
          </w:tcPr>
          <w:p w:rsidR="00036669" w:rsidRPr="00732782" w:rsidRDefault="00036669" w:rsidP="00C90BF2">
            <w:pPr>
              <w:pStyle w:val="AGRTableText"/>
            </w:pPr>
            <w:r w:rsidRPr="00732782">
              <w:t>Reserves</w:t>
            </w:r>
          </w:p>
        </w:tc>
        <w:tc>
          <w:tcPr>
            <w:tcW w:w="1322" w:type="dxa"/>
          </w:tcPr>
          <w:p w:rsidR="00036669" w:rsidRPr="00732782" w:rsidRDefault="004C5492" w:rsidP="00C90BF2">
            <w:pPr>
              <w:pStyle w:val="AGRTableNumbers"/>
            </w:pPr>
            <w:r>
              <w:t>30,393</w:t>
            </w:r>
          </w:p>
        </w:tc>
        <w:tc>
          <w:tcPr>
            <w:tcW w:w="1321" w:type="dxa"/>
          </w:tcPr>
          <w:p w:rsidR="00036669" w:rsidRPr="00732782" w:rsidRDefault="00036669" w:rsidP="00B94157">
            <w:pPr>
              <w:pStyle w:val="AGRTableNumbers"/>
            </w:pPr>
            <w:r>
              <w:t>27,550</w:t>
            </w:r>
          </w:p>
        </w:tc>
      </w:tr>
      <w:tr w:rsidR="00036669" w:rsidRPr="00732782" w:rsidTr="00036669">
        <w:tc>
          <w:tcPr>
            <w:tcW w:w="4728" w:type="dxa"/>
          </w:tcPr>
          <w:p w:rsidR="00036669" w:rsidRPr="00732782" w:rsidRDefault="00036669" w:rsidP="00E8401B">
            <w:pPr>
              <w:pStyle w:val="AGRTableText"/>
            </w:pPr>
            <w:r w:rsidRPr="00732782">
              <w:t xml:space="preserve">Accumulated </w:t>
            </w:r>
            <w:r w:rsidR="00E8401B">
              <w:t>f</w:t>
            </w:r>
            <w:r w:rsidRPr="00732782">
              <w:t>unds</w:t>
            </w:r>
          </w:p>
        </w:tc>
        <w:tc>
          <w:tcPr>
            <w:tcW w:w="1322" w:type="dxa"/>
          </w:tcPr>
          <w:p w:rsidR="00036669" w:rsidRPr="00732782" w:rsidRDefault="004C5492" w:rsidP="00C90BF2">
            <w:pPr>
              <w:pStyle w:val="AGRTableNumbers"/>
            </w:pPr>
            <w:r>
              <w:t>17,119</w:t>
            </w:r>
          </w:p>
        </w:tc>
        <w:tc>
          <w:tcPr>
            <w:tcW w:w="1321" w:type="dxa"/>
          </w:tcPr>
          <w:p w:rsidR="00036669" w:rsidRPr="00732782" w:rsidRDefault="00036669" w:rsidP="00B94157">
            <w:pPr>
              <w:pStyle w:val="AGRTableNumbers"/>
            </w:pPr>
            <w:r>
              <w:t>15,407</w:t>
            </w:r>
          </w:p>
        </w:tc>
      </w:tr>
      <w:tr w:rsidR="00036669" w:rsidRPr="00732782" w:rsidTr="00036669">
        <w:tc>
          <w:tcPr>
            <w:tcW w:w="4728" w:type="dxa"/>
            <w:tcBorders>
              <w:bottom w:val="single" w:sz="4" w:space="0" w:color="auto"/>
            </w:tcBorders>
          </w:tcPr>
          <w:p w:rsidR="00036669" w:rsidRPr="00732782" w:rsidRDefault="00036669" w:rsidP="00C90BF2">
            <w:pPr>
              <w:pStyle w:val="AGRTableTextBold"/>
            </w:pPr>
            <w:r w:rsidRPr="00732782">
              <w:t>Equity</w:t>
            </w:r>
          </w:p>
        </w:tc>
        <w:tc>
          <w:tcPr>
            <w:tcW w:w="1322" w:type="dxa"/>
            <w:tcBorders>
              <w:bottom w:val="single" w:sz="4" w:space="0" w:color="auto"/>
            </w:tcBorders>
          </w:tcPr>
          <w:p w:rsidR="00036669" w:rsidRPr="00732782" w:rsidRDefault="004C5492" w:rsidP="00C90BF2">
            <w:pPr>
              <w:pStyle w:val="AGRTableNumbersBold"/>
            </w:pPr>
            <w:r>
              <w:t>47,512</w:t>
            </w:r>
          </w:p>
        </w:tc>
        <w:tc>
          <w:tcPr>
            <w:tcW w:w="1321" w:type="dxa"/>
            <w:tcBorders>
              <w:bottom w:val="single" w:sz="4" w:space="0" w:color="auto"/>
            </w:tcBorders>
          </w:tcPr>
          <w:p w:rsidR="00036669" w:rsidRPr="00732782" w:rsidRDefault="00036669" w:rsidP="00B94157">
            <w:pPr>
              <w:pStyle w:val="AGRTableNumbersBold"/>
            </w:pPr>
            <w:r>
              <w:t>42,957</w:t>
            </w:r>
          </w:p>
        </w:tc>
      </w:tr>
    </w:tbl>
    <w:p w:rsidR="001410DB" w:rsidRDefault="00CD12A3" w:rsidP="002F4F0B">
      <w:pPr>
        <w:pStyle w:val="AGRBodyText"/>
      </w:pPr>
      <w:r>
        <w:t>T</w:t>
      </w:r>
      <w:r w:rsidR="00257AB7">
        <w:t xml:space="preserve">he increase in </w:t>
      </w:r>
      <w:r>
        <w:t>net assets, and equity, for the year was $4.555</w:t>
      </w:r>
      <w:r w:rsidR="00FF3A9F">
        <w:t> </w:t>
      </w:r>
      <w:r>
        <w:t>million and this increase consists of the operating result of $1.712</w:t>
      </w:r>
      <w:r w:rsidR="00FF3A9F">
        <w:t> </w:t>
      </w:r>
      <w:r>
        <w:t>million together with an amount of $2.843</w:t>
      </w:r>
      <w:r w:rsidR="00FF3A9F">
        <w:t> </w:t>
      </w:r>
      <w:r>
        <w:t>million arising from the revaluation of buildings, infrastructure, and art and library collections.</w:t>
      </w:r>
    </w:p>
    <w:p w:rsidR="005D71CD" w:rsidRPr="00732782" w:rsidRDefault="00A24915" w:rsidP="0083183F">
      <w:pPr>
        <w:pStyle w:val="AGRHeading1"/>
      </w:pPr>
      <w:bookmarkStart w:id="14" w:name="cdu"/>
      <w:r w:rsidRPr="00732782">
        <w:t>Charles Darwin University</w:t>
      </w:r>
      <w:bookmarkEnd w:id="14"/>
    </w:p>
    <w:p w:rsidR="005D71CD" w:rsidRPr="00732782" w:rsidRDefault="005D71CD" w:rsidP="00C90BF2">
      <w:pPr>
        <w:pStyle w:val="AGRHeading2"/>
      </w:pPr>
      <w:bookmarkStart w:id="15" w:name="cdu_audit_title"/>
      <w:r w:rsidRPr="00732782">
        <w:t xml:space="preserve">Audit findings and </w:t>
      </w:r>
      <w:r w:rsidR="004B45B6">
        <w:t>a</w:t>
      </w:r>
      <w:r w:rsidR="004B45B6" w:rsidRPr="00732782">
        <w:t xml:space="preserve">nalysis </w:t>
      </w:r>
      <w:r w:rsidRPr="00732782">
        <w:t xml:space="preserve">of the financial statements for the year ended </w:t>
      </w:r>
      <w:r w:rsidR="00CC0DC7">
        <w:t>31 December 201</w:t>
      </w:r>
      <w:r w:rsidR="00036669">
        <w:t>2</w:t>
      </w:r>
      <w:bookmarkEnd w:id="15"/>
    </w:p>
    <w:p w:rsidR="005D71CD" w:rsidRPr="00732782" w:rsidRDefault="005D71CD" w:rsidP="00C708C3">
      <w:pPr>
        <w:pStyle w:val="AGRHeading3"/>
      </w:pPr>
      <w:r w:rsidRPr="00732782">
        <w:t>Background</w:t>
      </w:r>
    </w:p>
    <w:p w:rsidR="0079133F" w:rsidRPr="00732782" w:rsidRDefault="0079133F" w:rsidP="002F4F0B">
      <w:pPr>
        <w:pStyle w:val="AGRBodyText"/>
      </w:pPr>
      <w:r w:rsidRPr="00732782">
        <w:t xml:space="preserve">The Charles Darwin University (the University) is established under the </w:t>
      </w:r>
      <w:r w:rsidRPr="00732782">
        <w:rPr>
          <w:i/>
        </w:rPr>
        <w:t>Charles Darwin University Act</w:t>
      </w:r>
      <w:r w:rsidRPr="00732782">
        <w:t>.  The University controls</w:t>
      </w:r>
      <w:r w:rsidR="00697169">
        <w:t xml:space="preserve"> three</w:t>
      </w:r>
      <w:r w:rsidR="009C43A1" w:rsidRPr="00732782">
        <w:t xml:space="preserve"> </w:t>
      </w:r>
      <w:r w:rsidRPr="00732782">
        <w:t xml:space="preserve">subsidiary </w:t>
      </w:r>
      <w:r w:rsidRPr="00FF3A9F">
        <w:t>entities</w:t>
      </w:r>
      <w:r w:rsidR="00FF3A9F" w:rsidRPr="00FF3A9F">
        <w:t>:</w:t>
      </w:r>
      <w:r w:rsidRPr="00FF3A9F">
        <w:t xml:space="preserve"> the Menzies School of Health Research</w:t>
      </w:r>
      <w:r w:rsidR="00EB3EA2">
        <w:t>;</w:t>
      </w:r>
      <w:r w:rsidRPr="00FF3A9F">
        <w:t xml:space="preserve"> the Charles Darwin University Foundation, a company </w:t>
      </w:r>
      <w:r w:rsidR="009C43A1" w:rsidRPr="00FF3A9F">
        <w:t>limited by guarantee</w:t>
      </w:r>
      <w:r w:rsidR="002A5DB3" w:rsidRPr="00FF3A9F">
        <w:t xml:space="preserve"> and which </w:t>
      </w:r>
      <w:r w:rsidRPr="00FF3A9F">
        <w:t xml:space="preserve">acts as trustee of the Charles Darwin University </w:t>
      </w:r>
      <w:r w:rsidR="00CE382F" w:rsidRPr="00FF3A9F">
        <w:t xml:space="preserve">Foundation </w:t>
      </w:r>
      <w:r w:rsidRPr="00FF3A9F">
        <w:t>Trust</w:t>
      </w:r>
      <w:r w:rsidR="00EB3EA2">
        <w:t>;</w:t>
      </w:r>
      <w:r w:rsidR="009C43A1" w:rsidRPr="00FF3A9F">
        <w:t xml:space="preserve"> and</w:t>
      </w:r>
      <w:r w:rsidR="0023215F" w:rsidRPr="00FF3A9F">
        <w:t xml:space="preserve"> CDU Amenities </w:t>
      </w:r>
      <w:r w:rsidR="002345B6" w:rsidRPr="00FF3A9F">
        <w:t>Limited</w:t>
      </w:r>
      <w:r w:rsidR="0071400A" w:rsidRPr="00FF3A9F">
        <w:t xml:space="preserve">, which is also a </w:t>
      </w:r>
      <w:r w:rsidR="009C43A1" w:rsidRPr="00FF3A9F">
        <w:t>company limited by guarantee.</w:t>
      </w:r>
    </w:p>
    <w:p w:rsidR="009635E5" w:rsidRDefault="0079133F" w:rsidP="002F4F0B">
      <w:pPr>
        <w:pStyle w:val="AGRBodyText"/>
      </w:pPr>
      <w:r w:rsidRPr="00732782">
        <w:t xml:space="preserve">The University provides both </w:t>
      </w:r>
      <w:r w:rsidR="0023215F" w:rsidRPr="00732782">
        <w:t xml:space="preserve">higher education, </w:t>
      </w:r>
      <w:r w:rsidRPr="00732782">
        <w:t xml:space="preserve">and </w:t>
      </w:r>
      <w:r w:rsidR="0023215F" w:rsidRPr="00732782">
        <w:t xml:space="preserve">vocational education </w:t>
      </w:r>
      <w:r w:rsidRPr="00732782">
        <w:t xml:space="preserve">and </w:t>
      </w:r>
      <w:r w:rsidR="0023215F" w:rsidRPr="00732782">
        <w:t xml:space="preserve">training </w:t>
      </w:r>
      <w:r w:rsidRPr="00732782">
        <w:t xml:space="preserve">(VET).  Higher </w:t>
      </w:r>
      <w:r w:rsidR="004252B7">
        <w:t>e</w:t>
      </w:r>
      <w:r w:rsidR="004252B7" w:rsidRPr="00732782">
        <w:t xml:space="preserve">ducation </w:t>
      </w:r>
      <w:r w:rsidRPr="00732782">
        <w:t xml:space="preserve">funding is provided </w:t>
      </w:r>
      <w:r w:rsidR="0023215F" w:rsidRPr="00732782">
        <w:t xml:space="preserve">to the University </w:t>
      </w:r>
      <w:r w:rsidRPr="00732782">
        <w:t xml:space="preserve">by the Commonwealth Government through direct grants, and through the </w:t>
      </w:r>
      <w:r w:rsidR="0023215F" w:rsidRPr="00732782">
        <w:t>proceeds of student loans under the auspices of the HECS-HELP Scheme</w:t>
      </w:r>
      <w:r w:rsidR="00143F28" w:rsidRPr="00732782">
        <w:t>.</w:t>
      </w:r>
      <w:r w:rsidRPr="00732782">
        <w:t xml:space="preserve">  VET funding is provided by the Northern Territory Government through monies appropriated by the Legislative Assembly to the Department of Education and Training.  The University also attracts research funding from a variety of sources. </w:t>
      </w:r>
    </w:p>
    <w:p w:rsidR="009635E5" w:rsidRDefault="0079133F" w:rsidP="002F4F0B">
      <w:pPr>
        <w:pStyle w:val="AGRBodyText"/>
      </w:pPr>
      <w:r w:rsidRPr="00732782">
        <w:t xml:space="preserve">The University </w:t>
      </w:r>
      <w:r w:rsidR="009C43A1">
        <w:t>is required by its enabling Act to prepare</w:t>
      </w:r>
      <w:r w:rsidR="00E029FA">
        <w:t xml:space="preserve"> financial statements as at 31 </w:t>
      </w:r>
      <w:r w:rsidRPr="00732782">
        <w:t xml:space="preserve">December each year and </w:t>
      </w:r>
      <w:r w:rsidR="004252B7">
        <w:t xml:space="preserve">to </w:t>
      </w:r>
      <w:r w:rsidR="009C43A1">
        <w:t>submit those statements to the</w:t>
      </w:r>
      <w:r w:rsidR="00F04109">
        <w:t xml:space="preserve"> Auditor</w:t>
      </w:r>
      <w:r w:rsidR="00F04109">
        <w:noBreakHyphen/>
      </w:r>
      <w:r w:rsidRPr="00732782">
        <w:t>General</w:t>
      </w:r>
      <w:r w:rsidR="004252B7">
        <w:t xml:space="preserve"> </w:t>
      </w:r>
      <w:r w:rsidR="00036669">
        <w:t>by 31 </w:t>
      </w:r>
      <w:r w:rsidR="009C43A1">
        <w:t>March each year.</w:t>
      </w:r>
    </w:p>
    <w:p w:rsidR="00177BC6" w:rsidRPr="00C90BF2" w:rsidRDefault="00177BC6" w:rsidP="00C708C3">
      <w:pPr>
        <w:pStyle w:val="AGRHeading3"/>
      </w:pPr>
      <w:r w:rsidRPr="00C90BF2">
        <w:t>Audit Opinion</w:t>
      </w:r>
    </w:p>
    <w:p w:rsidR="00177BC6" w:rsidRPr="00732782" w:rsidRDefault="00177BC6" w:rsidP="002F4F0B">
      <w:pPr>
        <w:pStyle w:val="AGRBodyText"/>
      </w:pPr>
      <w:r w:rsidRPr="00573D2E">
        <w:t xml:space="preserve">The audit of the financial statements of Charles Darwin University for the year ended </w:t>
      </w:r>
      <w:r w:rsidR="00E029FA" w:rsidRPr="00573D2E">
        <w:t>31 </w:t>
      </w:r>
      <w:r w:rsidRPr="00573D2E">
        <w:t xml:space="preserve">December </w:t>
      </w:r>
      <w:r w:rsidR="00313635" w:rsidRPr="00573D2E">
        <w:t>201</w:t>
      </w:r>
      <w:r w:rsidR="00036669" w:rsidRPr="00573D2E">
        <w:t>2</w:t>
      </w:r>
      <w:r w:rsidRPr="00573D2E">
        <w:t xml:space="preserve"> resulted in an unqualified independent audit opinion</w:t>
      </w:r>
      <w:r w:rsidR="004252B7" w:rsidRPr="00573D2E">
        <w:t>.  That opinion</w:t>
      </w:r>
      <w:r w:rsidRPr="00573D2E">
        <w:t xml:space="preserve"> was issued on </w:t>
      </w:r>
      <w:r w:rsidR="00573D2E" w:rsidRPr="00573D2E">
        <w:t>28</w:t>
      </w:r>
      <w:r w:rsidR="002C6B7F" w:rsidRPr="002C6B7F">
        <w:t> </w:t>
      </w:r>
      <w:r w:rsidR="00575C0F" w:rsidRPr="00573D2E">
        <w:t>May</w:t>
      </w:r>
      <w:r w:rsidR="00AA054E" w:rsidRPr="00573D2E">
        <w:t xml:space="preserve"> </w:t>
      </w:r>
      <w:r w:rsidR="00313635" w:rsidRPr="00573D2E">
        <w:t>201</w:t>
      </w:r>
      <w:r w:rsidR="00036669" w:rsidRPr="00573D2E">
        <w:t>3</w:t>
      </w:r>
      <w:r w:rsidRPr="00573D2E">
        <w:t>.</w:t>
      </w:r>
    </w:p>
    <w:p w:rsidR="005D71CD" w:rsidRPr="00732782" w:rsidRDefault="005D71CD" w:rsidP="00C708C3">
      <w:pPr>
        <w:pStyle w:val="AGRHeading3"/>
      </w:pPr>
      <w:r w:rsidRPr="00732782">
        <w:t xml:space="preserve">Key </w:t>
      </w:r>
      <w:r w:rsidR="00177BC6">
        <w:t>Findings</w:t>
      </w:r>
    </w:p>
    <w:p w:rsidR="009635E5" w:rsidRDefault="00A836AC" w:rsidP="00C708C3">
      <w:pPr>
        <w:pStyle w:val="AGRHeading4"/>
      </w:pPr>
      <w:r w:rsidRPr="00A836AC">
        <w:t>Financial Performan</w:t>
      </w:r>
      <w:r w:rsidR="004252B7">
        <w:t>c</w:t>
      </w:r>
      <w:r w:rsidRPr="00A836AC">
        <w:t>e and Financial Position of the University</w:t>
      </w:r>
    </w:p>
    <w:p w:rsidR="009635E5" w:rsidRDefault="00A836AC" w:rsidP="002F4F0B">
      <w:pPr>
        <w:pStyle w:val="AGRBodyText"/>
      </w:pPr>
      <w:r w:rsidRPr="002C6B7F">
        <w:t>The financial performance of the University, as measured by its operating result</w:t>
      </w:r>
      <w:r w:rsidR="004252B7" w:rsidRPr="002C6B7F">
        <w:t>,</w:t>
      </w:r>
      <w:r w:rsidRPr="002C6B7F">
        <w:t xml:space="preserve"> </w:t>
      </w:r>
      <w:r w:rsidR="00F6739C" w:rsidRPr="002C6B7F">
        <w:t>was</w:t>
      </w:r>
      <w:r w:rsidRPr="002C6B7F">
        <w:t xml:space="preserve"> $</w:t>
      </w:r>
      <w:r w:rsidR="002C6B7F" w:rsidRPr="002C6B7F">
        <w:t>25.5 </w:t>
      </w:r>
      <w:r w:rsidRPr="002C6B7F">
        <w:t>million ($</w:t>
      </w:r>
      <w:r w:rsidR="002C6B7F" w:rsidRPr="002C6B7F">
        <w:t>12.0 </w:t>
      </w:r>
      <w:r w:rsidRPr="002C6B7F">
        <w:t>mil</w:t>
      </w:r>
      <w:r w:rsidR="004252B7" w:rsidRPr="002C6B7F">
        <w:t>l</w:t>
      </w:r>
      <w:r w:rsidRPr="002C6B7F">
        <w:t xml:space="preserve">ion for </w:t>
      </w:r>
      <w:r w:rsidR="002C6B7F" w:rsidRPr="002C6B7F">
        <w:t>2011</w:t>
      </w:r>
      <w:r w:rsidRPr="002C6B7F">
        <w:t>).  The higher education component of the Univers</w:t>
      </w:r>
      <w:r w:rsidR="004268BA" w:rsidRPr="002C6B7F">
        <w:t>ity achieved a surplus of $</w:t>
      </w:r>
      <w:r w:rsidR="002C6B7F" w:rsidRPr="002C6B7F">
        <w:t>38.4</w:t>
      </w:r>
      <w:r w:rsidR="004268BA" w:rsidRPr="002C6B7F">
        <w:t> </w:t>
      </w:r>
      <w:r w:rsidRPr="002C6B7F">
        <w:t>million for the year, which was offset by a $</w:t>
      </w:r>
      <w:r w:rsidR="002C6B7F" w:rsidRPr="002C6B7F">
        <w:t>12.9 </w:t>
      </w:r>
      <w:r w:rsidRPr="002C6B7F">
        <w:t>million deficit on the part of the VET component.</w:t>
      </w:r>
    </w:p>
    <w:p w:rsidR="00F6739C" w:rsidRPr="00732782" w:rsidRDefault="00F6739C" w:rsidP="0083183F">
      <w:pPr>
        <w:pStyle w:val="AGRHeading1"/>
      </w:pPr>
      <w:r w:rsidRPr="00732782">
        <w:t>Charles Darwin University cont…</w:t>
      </w:r>
    </w:p>
    <w:p w:rsidR="00575C0F" w:rsidRPr="00732782" w:rsidRDefault="00575C0F" w:rsidP="00C708C3">
      <w:pPr>
        <w:pStyle w:val="AGRHeading3"/>
      </w:pPr>
      <w:r>
        <w:t>Financial Performance</w:t>
      </w:r>
      <w:r w:rsidR="009868FF">
        <w:t xml:space="preserve"> of the University</w:t>
      </w:r>
      <w:r>
        <w:t xml:space="preserve"> for the year</w:t>
      </w:r>
      <w:r w:rsidRPr="00732782">
        <w:t xml:space="preserve"> – excluding controlled entities</w:t>
      </w:r>
    </w:p>
    <w:tbl>
      <w:tblPr>
        <w:tblW w:w="7654" w:type="dxa"/>
        <w:tblInd w:w="851" w:type="dxa"/>
        <w:tblLayout w:type="fixed"/>
        <w:tblLook w:val="01E0" w:firstRow="1" w:lastRow="1" w:firstColumn="1" w:lastColumn="1" w:noHBand="0" w:noVBand="0"/>
      </w:tblPr>
      <w:tblGrid>
        <w:gridCol w:w="4883"/>
        <w:gridCol w:w="1354"/>
        <w:gridCol w:w="1417"/>
      </w:tblGrid>
      <w:tr w:rsidR="00575C0F" w:rsidRPr="00732782" w:rsidTr="00575C0F">
        <w:tc>
          <w:tcPr>
            <w:tcW w:w="4883" w:type="dxa"/>
            <w:tcBorders>
              <w:bottom w:val="single" w:sz="4" w:space="0" w:color="auto"/>
            </w:tcBorders>
          </w:tcPr>
          <w:p w:rsidR="00575C0F" w:rsidRPr="00732782" w:rsidRDefault="00575C0F" w:rsidP="00575C0F">
            <w:pPr>
              <w:pStyle w:val="AGRTableText"/>
              <w:keepNext/>
              <w:ind w:left="720" w:hanging="720"/>
            </w:pPr>
          </w:p>
        </w:tc>
        <w:tc>
          <w:tcPr>
            <w:tcW w:w="1354" w:type="dxa"/>
            <w:tcBorders>
              <w:bottom w:val="single" w:sz="4" w:space="0" w:color="auto"/>
            </w:tcBorders>
          </w:tcPr>
          <w:p w:rsidR="00575C0F" w:rsidRPr="00732782" w:rsidRDefault="00575C0F" w:rsidP="00036669">
            <w:pPr>
              <w:pStyle w:val="AGRTableText"/>
              <w:jc w:val="center"/>
            </w:pPr>
            <w:r>
              <w:t>201</w:t>
            </w:r>
            <w:r w:rsidR="00036669">
              <w:t>2</w:t>
            </w:r>
          </w:p>
        </w:tc>
        <w:tc>
          <w:tcPr>
            <w:tcW w:w="1417" w:type="dxa"/>
            <w:tcBorders>
              <w:bottom w:val="single" w:sz="4" w:space="0" w:color="auto"/>
            </w:tcBorders>
          </w:tcPr>
          <w:p w:rsidR="00575C0F" w:rsidRPr="00732782" w:rsidRDefault="00575C0F" w:rsidP="00575C0F">
            <w:pPr>
              <w:pStyle w:val="AGRTableText"/>
              <w:jc w:val="center"/>
            </w:pPr>
            <w:r>
              <w:t>201</w:t>
            </w:r>
            <w:r w:rsidR="00036669">
              <w:t>1</w:t>
            </w:r>
          </w:p>
        </w:tc>
      </w:tr>
      <w:tr w:rsidR="00575C0F" w:rsidRPr="00732782" w:rsidTr="00575C0F">
        <w:tc>
          <w:tcPr>
            <w:tcW w:w="4883" w:type="dxa"/>
            <w:tcBorders>
              <w:top w:val="single" w:sz="4" w:space="0" w:color="auto"/>
            </w:tcBorders>
          </w:tcPr>
          <w:p w:rsidR="00575C0F" w:rsidRPr="00732782" w:rsidRDefault="00575C0F" w:rsidP="00575C0F">
            <w:pPr>
              <w:pStyle w:val="AGRTableText"/>
              <w:keepNext/>
              <w:ind w:left="720" w:hanging="720"/>
            </w:pPr>
          </w:p>
        </w:tc>
        <w:tc>
          <w:tcPr>
            <w:tcW w:w="1354" w:type="dxa"/>
            <w:tcBorders>
              <w:top w:val="single" w:sz="4" w:space="0" w:color="auto"/>
            </w:tcBorders>
          </w:tcPr>
          <w:p w:rsidR="00575C0F" w:rsidRPr="00732782" w:rsidRDefault="00575C0F" w:rsidP="00575C0F">
            <w:pPr>
              <w:pStyle w:val="AGRTableText"/>
              <w:jc w:val="center"/>
            </w:pPr>
            <w:r w:rsidRPr="00732782">
              <w:t>$’000</w:t>
            </w:r>
          </w:p>
        </w:tc>
        <w:tc>
          <w:tcPr>
            <w:tcW w:w="1417" w:type="dxa"/>
            <w:tcBorders>
              <w:top w:val="single" w:sz="4" w:space="0" w:color="auto"/>
            </w:tcBorders>
          </w:tcPr>
          <w:p w:rsidR="00575C0F" w:rsidRPr="00732782" w:rsidRDefault="00575C0F" w:rsidP="00575C0F">
            <w:pPr>
              <w:pStyle w:val="AGRTableText"/>
              <w:jc w:val="center"/>
            </w:pPr>
            <w:r w:rsidRPr="00732782">
              <w:t>$’000</w:t>
            </w:r>
          </w:p>
        </w:tc>
      </w:tr>
      <w:tr w:rsidR="00575C0F" w:rsidRPr="00732782" w:rsidTr="00575C0F">
        <w:tc>
          <w:tcPr>
            <w:tcW w:w="4883" w:type="dxa"/>
          </w:tcPr>
          <w:p w:rsidR="00575C0F" w:rsidRPr="00732782" w:rsidRDefault="00575C0F" w:rsidP="00575C0F">
            <w:pPr>
              <w:pStyle w:val="AGRTableText"/>
              <w:rPr>
                <w:b/>
                <w:bCs/>
              </w:rPr>
            </w:pPr>
            <w:r w:rsidRPr="00732782">
              <w:rPr>
                <w:b/>
                <w:bCs/>
              </w:rPr>
              <w:t xml:space="preserve">Revenue from ordinary activities </w:t>
            </w:r>
          </w:p>
        </w:tc>
        <w:tc>
          <w:tcPr>
            <w:tcW w:w="1354" w:type="dxa"/>
          </w:tcPr>
          <w:p w:rsidR="00575C0F" w:rsidRPr="00732782" w:rsidRDefault="00575C0F" w:rsidP="00575C0F">
            <w:pPr>
              <w:pStyle w:val="AGRTableNumbers"/>
              <w:tabs>
                <w:tab w:val="decimal" w:pos="1070"/>
              </w:tabs>
              <w:ind w:right="170"/>
            </w:pPr>
          </w:p>
        </w:tc>
        <w:tc>
          <w:tcPr>
            <w:tcW w:w="1417" w:type="dxa"/>
          </w:tcPr>
          <w:p w:rsidR="00575C0F" w:rsidRPr="00732782" w:rsidRDefault="00575C0F" w:rsidP="00575C0F">
            <w:pPr>
              <w:pStyle w:val="AGRTableNumbers"/>
              <w:tabs>
                <w:tab w:val="decimal" w:pos="1070"/>
              </w:tabs>
              <w:ind w:right="170"/>
            </w:pPr>
          </w:p>
        </w:tc>
      </w:tr>
      <w:tr w:rsidR="00036669" w:rsidRPr="00732782" w:rsidTr="00575C0F">
        <w:tc>
          <w:tcPr>
            <w:tcW w:w="4883" w:type="dxa"/>
          </w:tcPr>
          <w:p w:rsidR="00036669" w:rsidRPr="00732782" w:rsidRDefault="00036669" w:rsidP="00575C0F">
            <w:pPr>
              <w:pStyle w:val="AGRTableText"/>
            </w:pPr>
            <w:r w:rsidRPr="00732782">
              <w:t xml:space="preserve">Financial assistance </w:t>
            </w:r>
            <w:r w:rsidR="00074352">
              <w:t xml:space="preserve">and grants </w:t>
            </w:r>
            <w:r w:rsidRPr="00732782">
              <w:t>from the Commonwealth</w:t>
            </w:r>
          </w:p>
        </w:tc>
        <w:tc>
          <w:tcPr>
            <w:tcW w:w="1354" w:type="dxa"/>
          </w:tcPr>
          <w:p w:rsidR="00036669" w:rsidRPr="00732782" w:rsidRDefault="00074352" w:rsidP="00575C0F">
            <w:pPr>
              <w:pStyle w:val="AGRTableNumbersBold"/>
              <w:tabs>
                <w:tab w:val="clear" w:pos="811"/>
                <w:tab w:val="decimal" w:pos="1106"/>
              </w:tabs>
              <w:rPr>
                <w:b w:val="0"/>
              </w:rPr>
            </w:pPr>
            <w:r>
              <w:rPr>
                <w:b w:val="0"/>
              </w:rPr>
              <w:t>124,937</w:t>
            </w:r>
          </w:p>
        </w:tc>
        <w:tc>
          <w:tcPr>
            <w:tcW w:w="1417" w:type="dxa"/>
          </w:tcPr>
          <w:p w:rsidR="00036669" w:rsidRPr="00732782" w:rsidRDefault="00074352" w:rsidP="00B94157">
            <w:pPr>
              <w:pStyle w:val="AGRTableNumbersBold"/>
              <w:tabs>
                <w:tab w:val="clear" w:pos="811"/>
                <w:tab w:val="decimal" w:pos="1106"/>
              </w:tabs>
              <w:rPr>
                <w:b w:val="0"/>
              </w:rPr>
            </w:pPr>
            <w:r>
              <w:rPr>
                <w:b w:val="0"/>
              </w:rPr>
              <w:t>95,096</w:t>
            </w:r>
          </w:p>
        </w:tc>
      </w:tr>
      <w:tr w:rsidR="00036669" w:rsidRPr="00732782" w:rsidTr="00575C0F">
        <w:tc>
          <w:tcPr>
            <w:tcW w:w="4883" w:type="dxa"/>
          </w:tcPr>
          <w:p w:rsidR="00036669" w:rsidRPr="00732782" w:rsidRDefault="00036669" w:rsidP="00575C0F">
            <w:pPr>
              <w:pStyle w:val="AGRTableText"/>
            </w:pPr>
            <w:r w:rsidRPr="00732782">
              <w:t xml:space="preserve">Financial assistance from the </w:t>
            </w:r>
            <w:r>
              <w:t>Northern Territory Government</w:t>
            </w:r>
          </w:p>
        </w:tc>
        <w:tc>
          <w:tcPr>
            <w:tcW w:w="1354" w:type="dxa"/>
          </w:tcPr>
          <w:p w:rsidR="00036669" w:rsidRPr="00732782" w:rsidRDefault="00FD4071" w:rsidP="00575C0F">
            <w:pPr>
              <w:pStyle w:val="AGRTableNumbersBold"/>
              <w:tabs>
                <w:tab w:val="clear" w:pos="811"/>
                <w:tab w:val="decimal" w:pos="1106"/>
              </w:tabs>
              <w:rPr>
                <w:b w:val="0"/>
              </w:rPr>
            </w:pPr>
            <w:r>
              <w:rPr>
                <w:b w:val="0"/>
              </w:rPr>
              <w:t>59,781</w:t>
            </w:r>
          </w:p>
        </w:tc>
        <w:tc>
          <w:tcPr>
            <w:tcW w:w="1417" w:type="dxa"/>
          </w:tcPr>
          <w:p w:rsidR="00036669" w:rsidRPr="00732782" w:rsidRDefault="00036669" w:rsidP="00B94157">
            <w:pPr>
              <w:pStyle w:val="AGRTableNumbersBold"/>
              <w:tabs>
                <w:tab w:val="clear" w:pos="811"/>
                <w:tab w:val="decimal" w:pos="1106"/>
              </w:tabs>
              <w:rPr>
                <w:b w:val="0"/>
              </w:rPr>
            </w:pPr>
            <w:r>
              <w:rPr>
                <w:b w:val="0"/>
              </w:rPr>
              <w:t>58,407</w:t>
            </w:r>
          </w:p>
        </w:tc>
      </w:tr>
      <w:tr w:rsidR="00036669" w:rsidRPr="00732782" w:rsidTr="00575C0F">
        <w:tc>
          <w:tcPr>
            <w:tcW w:w="4883" w:type="dxa"/>
          </w:tcPr>
          <w:p w:rsidR="00036669" w:rsidRPr="00732782" w:rsidRDefault="00036669" w:rsidP="00575C0F">
            <w:pPr>
              <w:pStyle w:val="AGRTableText"/>
            </w:pPr>
            <w:r w:rsidRPr="00732782">
              <w:t>Other revenue (HECS, fees, interest, etc)</w:t>
            </w:r>
          </w:p>
        </w:tc>
        <w:tc>
          <w:tcPr>
            <w:tcW w:w="1354" w:type="dxa"/>
          </w:tcPr>
          <w:p w:rsidR="00036669" w:rsidRPr="00732782" w:rsidRDefault="00074352" w:rsidP="00575C0F">
            <w:pPr>
              <w:pStyle w:val="AGRTableNumbersBold"/>
              <w:tabs>
                <w:tab w:val="clear" w:pos="811"/>
                <w:tab w:val="decimal" w:pos="1106"/>
              </w:tabs>
              <w:rPr>
                <w:b w:val="0"/>
              </w:rPr>
            </w:pPr>
            <w:r>
              <w:rPr>
                <w:b w:val="0"/>
              </w:rPr>
              <w:t>71,125</w:t>
            </w:r>
          </w:p>
        </w:tc>
        <w:tc>
          <w:tcPr>
            <w:tcW w:w="1417" w:type="dxa"/>
          </w:tcPr>
          <w:p w:rsidR="00036669" w:rsidRPr="00732782" w:rsidRDefault="00074352" w:rsidP="00B94157">
            <w:pPr>
              <w:pStyle w:val="AGRTableNumbersBold"/>
              <w:tabs>
                <w:tab w:val="clear" w:pos="811"/>
                <w:tab w:val="decimal" w:pos="1106"/>
              </w:tabs>
              <w:rPr>
                <w:b w:val="0"/>
              </w:rPr>
            </w:pPr>
            <w:r>
              <w:rPr>
                <w:b w:val="0"/>
              </w:rPr>
              <w:t>68,757</w:t>
            </w:r>
          </w:p>
        </w:tc>
      </w:tr>
      <w:tr w:rsidR="00036669" w:rsidRPr="00732782" w:rsidTr="00575C0F">
        <w:tc>
          <w:tcPr>
            <w:tcW w:w="4883" w:type="dxa"/>
            <w:tcBorders>
              <w:bottom w:val="single" w:sz="4" w:space="0" w:color="auto"/>
            </w:tcBorders>
          </w:tcPr>
          <w:p w:rsidR="00036669" w:rsidRPr="00732782" w:rsidRDefault="00036669" w:rsidP="00575C0F">
            <w:pPr>
              <w:pStyle w:val="AGRTableText"/>
              <w:rPr>
                <w:b/>
                <w:bCs/>
              </w:rPr>
            </w:pPr>
            <w:r w:rsidRPr="00732782">
              <w:rPr>
                <w:b/>
                <w:bCs/>
              </w:rPr>
              <w:t xml:space="preserve">Total revenue from ordinary activities </w:t>
            </w:r>
          </w:p>
        </w:tc>
        <w:tc>
          <w:tcPr>
            <w:tcW w:w="1354" w:type="dxa"/>
            <w:tcBorders>
              <w:bottom w:val="single" w:sz="4" w:space="0" w:color="auto"/>
            </w:tcBorders>
          </w:tcPr>
          <w:p w:rsidR="00036669" w:rsidRPr="00732782" w:rsidRDefault="00FD4071" w:rsidP="00575C0F">
            <w:pPr>
              <w:pStyle w:val="AGRTableNumbersBold"/>
              <w:tabs>
                <w:tab w:val="clear" w:pos="811"/>
                <w:tab w:val="decimal" w:pos="1106"/>
              </w:tabs>
            </w:pPr>
            <w:r>
              <w:t>255,843</w:t>
            </w:r>
          </w:p>
        </w:tc>
        <w:tc>
          <w:tcPr>
            <w:tcW w:w="1417" w:type="dxa"/>
            <w:tcBorders>
              <w:bottom w:val="single" w:sz="4" w:space="0" w:color="auto"/>
            </w:tcBorders>
          </w:tcPr>
          <w:p w:rsidR="00036669" w:rsidRPr="00732782" w:rsidRDefault="00036669" w:rsidP="00B94157">
            <w:pPr>
              <w:pStyle w:val="AGRTableNumbersBold"/>
              <w:tabs>
                <w:tab w:val="clear" w:pos="811"/>
                <w:tab w:val="decimal" w:pos="1106"/>
              </w:tabs>
            </w:pPr>
            <w:r>
              <w:fldChar w:fldCharType="begin"/>
            </w:r>
            <w:r>
              <w:instrText xml:space="preserve"> =SUM(ABOVE) </w:instrText>
            </w:r>
            <w:r>
              <w:fldChar w:fldCharType="separate"/>
            </w:r>
            <w:r w:rsidR="00B53DC5">
              <w:rPr>
                <w:noProof/>
              </w:rPr>
              <w:t>222,260</w:t>
            </w:r>
            <w:r>
              <w:rPr>
                <w:noProof/>
              </w:rPr>
              <w:fldChar w:fldCharType="end"/>
            </w:r>
          </w:p>
        </w:tc>
      </w:tr>
      <w:tr w:rsidR="00036669" w:rsidRPr="00732782" w:rsidTr="00575C0F">
        <w:tc>
          <w:tcPr>
            <w:tcW w:w="4883" w:type="dxa"/>
            <w:tcBorders>
              <w:top w:val="single" w:sz="4" w:space="0" w:color="auto"/>
            </w:tcBorders>
          </w:tcPr>
          <w:p w:rsidR="00036669" w:rsidRPr="00732782" w:rsidRDefault="00036669" w:rsidP="00575C0F">
            <w:pPr>
              <w:pStyle w:val="AGRTableText"/>
              <w:rPr>
                <w:b/>
                <w:bCs/>
              </w:rPr>
            </w:pPr>
            <w:r w:rsidRPr="00732782">
              <w:rPr>
                <w:b/>
                <w:bCs/>
              </w:rPr>
              <w:t xml:space="preserve">Less expenses from ordinary activities </w:t>
            </w:r>
          </w:p>
        </w:tc>
        <w:tc>
          <w:tcPr>
            <w:tcW w:w="1354" w:type="dxa"/>
            <w:tcBorders>
              <w:top w:val="single" w:sz="4" w:space="0" w:color="auto"/>
            </w:tcBorders>
          </w:tcPr>
          <w:p w:rsidR="00036669" w:rsidRPr="00732782" w:rsidRDefault="00036669" w:rsidP="00575C0F">
            <w:pPr>
              <w:pStyle w:val="AGRTableNumbersBold"/>
              <w:tabs>
                <w:tab w:val="clear" w:pos="811"/>
                <w:tab w:val="decimal" w:pos="1106"/>
              </w:tabs>
            </w:pPr>
          </w:p>
        </w:tc>
        <w:tc>
          <w:tcPr>
            <w:tcW w:w="1417" w:type="dxa"/>
            <w:tcBorders>
              <w:top w:val="single" w:sz="4" w:space="0" w:color="auto"/>
            </w:tcBorders>
          </w:tcPr>
          <w:p w:rsidR="00036669" w:rsidRPr="00732782" w:rsidRDefault="00036669" w:rsidP="00B94157">
            <w:pPr>
              <w:pStyle w:val="AGRTableNumbersBold"/>
              <w:tabs>
                <w:tab w:val="clear" w:pos="811"/>
                <w:tab w:val="decimal" w:pos="1106"/>
              </w:tabs>
            </w:pPr>
          </w:p>
        </w:tc>
      </w:tr>
      <w:tr w:rsidR="00036669" w:rsidRPr="00732782" w:rsidTr="00575C0F">
        <w:tc>
          <w:tcPr>
            <w:tcW w:w="4883" w:type="dxa"/>
          </w:tcPr>
          <w:p w:rsidR="00036669" w:rsidRPr="00732782" w:rsidRDefault="00036669" w:rsidP="00575C0F">
            <w:pPr>
              <w:pStyle w:val="AGRTableText"/>
            </w:pPr>
            <w:r w:rsidRPr="00732782">
              <w:t>Employee related costs</w:t>
            </w:r>
          </w:p>
        </w:tc>
        <w:tc>
          <w:tcPr>
            <w:tcW w:w="1354" w:type="dxa"/>
          </w:tcPr>
          <w:p w:rsidR="00036669" w:rsidRPr="00732782" w:rsidRDefault="00FD4071" w:rsidP="00575C0F">
            <w:pPr>
              <w:pStyle w:val="AGRTableNumbersBold"/>
              <w:tabs>
                <w:tab w:val="clear" w:pos="811"/>
                <w:tab w:val="decimal" w:pos="1106"/>
              </w:tabs>
              <w:rPr>
                <w:b w:val="0"/>
              </w:rPr>
            </w:pPr>
            <w:r>
              <w:rPr>
                <w:b w:val="0"/>
              </w:rPr>
              <w:t>(127,339)</w:t>
            </w:r>
          </w:p>
        </w:tc>
        <w:tc>
          <w:tcPr>
            <w:tcW w:w="1417" w:type="dxa"/>
          </w:tcPr>
          <w:p w:rsidR="00036669" w:rsidRPr="00732782" w:rsidRDefault="00036669" w:rsidP="00B94157">
            <w:pPr>
              <w:pStyle w:val="AGRTableNumbersBold"/>
              <w:tabs>
                <w:tab w:val="clear" w:pos="811"/>
                <w:tab w:val="decimal" w:pos="1106"/>
              </w:tabs>
              <w:rPr>
                <w:b w:val="0"/>
              </w:rPr>
            </w:pPr>
            <w:r w:rsidRPr="00732782">
              <w:rPr>
                <w:b w:val="0"/>
              </w:rPr>
              <w:t>(</w:t>
            </w:r>
            <w:r>
              <w:rPr>
                <w:b w:val="0"/>
              </w:rPr>
              <w:t>118,417</w:t>
            </w:r>
            <w:r w:rsidRPr="00732782">
              <w:rPr>
                <w:b w:val="0"/>
              </w:rPr>
              <w:t>)</w:t>
            </w:r>
          </w:p>
        </w:tc>
      </w:tr>
      <w:tr w:rsidR="00036669" w:rsidRPr="00732782" w:rsidTr="00575C0F">
        <w:tc>
          <w:tcPr>
            <w:tcW w:w="4883" w:type="dxa"/>
          </w:tcPr>
          <w:p w:rsidR="00036669" w:rsidRPr="00732782" w:rsidRDefault="00036669" w:rsidP="00575C0F">
            <w:pPr>
              <w:pStyle w:val="AGRTableText"/>
            </w:pPr>
            <w:r w:rsidRPr="00732782">
              <w:t>Administration, operational and other expenses</w:t>
            </w:r>
          </w:p>
        </w:tc>
        <w:tc>
          <w:tcPr>
            <w:tcW w:w="1354" w:type="dxa"/>
          </w:tcPr>
          <w:p w:rsidR="00036669" w:rsidRPr="00732782" w:rsidRDefault="00FD4071" w:rsidP="00575C0F">
            <w:pPr>
              <w:pStyle w:val="AGRTableNumbersBold"/>
              <w:tabs>
                <w:tab w:val="clear" w:pos="811"/>
                <w:tab w:val="decimal" w:pos="1106"/>
              </w:tabs>
              <w:rPr>
                <w:b w:val="0"/>
              </w:rPr>
            </w:pPr>
            <w:r>
              <w:rPr>
                <w:b w:val="0"/>
              </w:rPr>
              <w:t>(103,291)</w:t>
            </w:r>
          </w:p>
        </w:tc>
        <w:tc>
          <w:tcPr>
            <w:tcW w:w="1417" w:type="dxa"/>
          </w:tcPr>
          <w:p w:rsidR="00036669" w:rsidRPr="00732782" w:rsidRDefault="00036669" w:rsidP="00B94157">
            <w:pPr>
              <w:pStyle w:val="AGRTableNumbersBold"/>
              <w:tabs>
                <w:tab w:val="clear" w:pos="811"/>
                <w:tab w:val="decimal" w:pos="1106"/>
              </w:tabs>
              <w:rPr>
                <w:b w:val="0"/>
              </w:rPr>
            </w:pPr>
            <w:r w:rsidRPr="00732782">
              <w:rPr>
                <w:b w:val="0"/>
              </w:rPr>
              <w:t>(</w:t>
            </w:r>
            <w:r>
              <w:rPr>
                <w:b w:val="0"/>
              </w:rPr>
              <w:t>91,814</w:t>
            </w:r>
            <w:r w:rsidRPr="00732782">
              <w:rPr>
                <w:b w:val="0"/>
              </w:rPr>
              <w:t>)</w:t>
            </w:r>
          </w:p>
        </w:tc>
      </w:tr>
      <w:tr w:rsidR="00036669" w:rsidRPr="00732782" w:rsidTr="00575C0F">
        <w:tc>
          <w:tcPr>
            <w:tcW w:w="4883" w:type="dxa"/>
            <w:tcBorders>
              <w:bottom w:val="single" w:sz="4" w:space="0" w:color="auto"/>
            </w:tcBorders>
          </w:tcPr>
          <w:p w:rsidR="00036669" w:rsidRPr="00732782" w:rsidRDefault="00036669" w:rsidP="00575C0F">
            <w:pPr>
              <w:pStyle w:val="AGRTableText"/>
              <w:rPr>
                <w:b/>
                <w:bCs/>
              </w:rPr>
            </w:pPr>
            <w:r w:rsidRPr="00732782">
              <w:rPr>
                <w:b/>
                <w:bCs/>
              </w:rPr>
              <w:t xml:space="preserve">Total expenses from ordinary activities </w:t>
            </w:r>
          </w:p>
        </w:tc>
        <w:tc>
          <w:tcPr>
            <w:tcW w:w="1354" w:type="dxa"/>
            <w:tcBorders>
              <w:bottom w:val="single" w:sz="4" w:space="0" w:color="auto"/>
            </w:tcBorders>
          </w:tcPr>
          <w:p w:rsidR="00036669" w:rsidRPr="00732782" w:rsidRDefault="00FD4071" w:rsidP="00575C0F">
            <w:pPr>
              <w:pStyle w:val="AGRTableNumbersBold"/>
              <w:tabs>
                <w:tab w:val="clear" w:pos="811"/>
                <w:tab w:val="decimal" w:pos="1106"/>
              </w:tabs>
            </w:pPr>
            <w:r>
              <w:t>(230,360)</w:t>
            </w:r>
          </w:p>
        </w:tc>
        <w:tc>
          <w:tcPr>
            <w:tcW w:w="1417" w:type="dxa"/>
            <w:tcBorders>
              <w:bottom w:val="single" w:sz="4" w:space="0" w:color="auto"/>
            </w:tcBorders>
          </w:tcPr>
          <w:p w:rsidR="00036669" w:rsidRPr="00732782" w:rsidRDefault="00036669" w:rsidP="00B94157">
            <w:pPr>
              <w:pStyle w:val="AGRTableNumbersBold"/>
              <w:tabs>
                <w:tab w:val="clear" w:pos="811"/>
                <w:tab w:val="decimal" w:pos="1106"/>
              </w:tabs>
            </w:pPr>
            <w:r w:rsidRPr="00732782">
              <w:t>(</w:t>
            </w:r>
            <w:r>
              <w:t>210,231</w:t>
            </w:r>
            <w:r w:rsidRPr="00732782">
              <w:t>)</w:t>
            </w:r>
          </w:p>
        </w:tc>
      </w:tr>
      <w:tr w:rsidR="00036669" w:rsidRPr="00732782" w:rsidTr="00575C0F">
        <w:tc>
          <w:tcPr>
            <w:tcW w:w="4883" w:type="dxa"/>
            <w:tcBorders>
              <w:top w:val="single" w:sz="4" w:space="0" w:color="auto"/>
              <w:bottom w:val="single" w:sz="4" w:space="0" w:color="auto"/>
            </w:tcBorders>
          </w:tcPr>
          <w:p w:rsidR="00036669" w:rsidRPr="00732782" w:rsidRDefault="00036669" w:rsidP="00575C0F">
            <w:pPr>
              <w:pStyle w:val="AGRTableText"/>
              <w:rPr>
                <w:b/>
                <w:bCs/>
              </w:rPr>
            </w:pPr>
            <w:r w:rsidRPr="00732782">
              <w:rPr>
                <w:b/>
                <w:bCs/>
              </w:rPr>
              <w:t>Operating result for the year</w:t>
            </w:r>
          </w:p>
        </w:tc>
        <w:tc>
          <w:tcPr>
            <w:tcW w:w="1354" w:type="dxa"/>
            <w:tcBorders>
              <w:top w:val="single" w:sz="4" w:space="0" w:color="auto"/>
              <w:bottom w:val="single" w:sz="4" w:space="0" w:color="auto"/>
            </w:tcBorders>
          </w:tcPr>
          <w:p w:rsidR="00036669" w:rsidRPr="00732782" w:rsidRDefault="00FD4071" w:rsidP="00575C0F">
            <w:pPr>
              <w:pStyle w:val="AGRTableNumbersBold"/>
              <w:tabs>
                <w:tab w:val="clear" w:pos="811"/>
                <w:tab w:val="decimal" w:pos="1106"/>
              </w:tabs>
            </w:pPr>
            <w:r>
              <w:t>25,483</w:t>
            </w:r>
          </w:p>
        </w:tc>
        <w:tc>
          <w:tcPr>
            <w:tcW w:w="1417" w:type="dxa"/>
            <w:tcBorders>
              <w:top w:val="single" w:sz="4" w:space="0" w:color="auto"/>
              <w:bottom w:val="single" w:sz="4" w:space="0" w:color="auto"/>
            </w:tcBorders>
          </w:tcPr>
          <w:p w:rsidR="00036669" w:rsidRPr="00732782" w:rsidRDefault="00036669" w:rsidP="00B94157">
            <w:pPr>
              <w:pStyle w:val="AGRTableNumbersBold"/>
              <w:tabs>
                <w:tab w:val="clear" w:pos="811"/>
                <w:tab w:val="decimal" w:pos="1106"/>
              </w:tabs>
            </w:pPr>
            <w:r>
              <w:t>12,029</w:t>
            </w:r>
          </w:p>
        </w:tc>
      </w:tr>
    </w:tbl>
    <w:p w:rsidR="004C2FA4" w:rsidRPr="0054791F" w:rsidRDefault="00575C0F" w:rsidP="002F4F0B">
      <w:pPr>
        <w:pStyle w:val="AGRBodyText"/>
      </w:pPr>
      <w:r w:rsidRPr="0054791F">
        <w:t xml:space="preserve">The </w:t>
      </w:r>
      <w:r w:rsidR="0054791F" w:rsidRPr="0054791F">
        <w:t>in</w:t>
      </w:r>
      <w:r w:rsidR="00F6739C" w:rsidRPr="0054791F">
        <w:t>crease</w:t>
      </w:r>
      <w:r w:rsidRPr="0054791F">
        <w:t xml:space="preserve"> in revenue for the year was a result of</w:t>
      </w:r>
      <w:r w:rsidR="004C2FA4" w:rsidRPr="0054791F">
        <w:t>:</w:t>
      </w:r>
    </w:p>
    <w:p w:rsidR="00575C0F" w:rsidRPr="0054791F" w:rsidRDefault="00AE603C" w:rsidP="002F4F0B">
      <w:pPr>
        <w:pStyle w:val="AGRBulletText"/>
      </w:pPr>
      <w:r>
        <w:t>a</w:t>
      </w:r>
      <w:r w:rsidR="00074352">
        <w:t xml:space="preserve"> significant</w:t>
      </w:r>
      <w:r w:rsidR="0054791F" w:rsidRPr="0054791F">
        <w:t xml:space="preserve"> in</w:t>
      </w:r>
      <w:r w:rsidR="00F6739C" w:rsidRPr="0054791F">
        <w:t xml:space="preserve">crease in Australian Government </w:t>
      </w:r>
      <w:r w:rsidR="00074352">
        <w:t xml:space="preserve">financial assistance </w:t>
      </w:r>
      <w:r w:rsidR="00F6739C" w:rsidRPr="0054791F">
        <w:t>grants</w:t>
      </w:r>
      <w:r w:rsidR="00074352">
        <w:t>, accompanied by an</w:t>
      </w:r>
      <w:r w:rsidR="0054791F" w:rsidRPr="0054791F">
        <w:t xml:space="preserve"> increase in</w:t>
      </w:r>
      <w:r w:rsidR="004C2FA4" w:rsidRPr="0054791F">
        <w:t xml:space="preserve"> </w:t>
      </w:r>
      <w:r w:rsidR="004A431A" w:rsidRPr="0054791F">
        <w:t>Northern Territory Government</w:t>
      </w:r>
      <w:r w:rsidR="00F6739C" w:rsidRPr="0054791F">
        <w:t xml:space="preserve"> financial assistance;</w:t>
      </w:r>
      <w:r w:rsidR="009868FF">
        <w:t xml:space="preserve"> and</w:t>
      </w:r>
    </w:p>
    <w:p w:rsidR="0054791F" w:rsidRDefault="0054791F" w:rsidP="002F4F0B">
      <w:pPr>
        <w:pStyle w:val="AGRBulletText"/>
      </w:pPr>
      <w:r w:rsidRPr="0054791F">
        <w:t>an inc</w:t>
      </w:r>
      <w:r w:rsidR="00575C0F" w:rsidRPr="0054791F">
        <w:t>rease in HE</w:t>
      </w:r>
      <w:r w:rsidR="00C171E1">
        <w:t>CS – HELP, and Fees and Charges.</w:t>
      </w:r>
    </w:p>
    <w:p w:rsidR="00575C0F" w:rsidRDefault="00575C0F" w:rsidP="002F4F0B">
      <w:pPr>
        <w:pStyle w:val="AGRBodyText"/>
      </w:pPr>
      <w:r w:rsidRPr="0054791F">
        <w:t xml:space="preserve">The increase </w:t>
      </w:r>
      <w:r w:rsidR="00B2502A" w:rsidRPr="0054791F">
        <w:t>in expen</w:t>
      </w:r>
      <w:r w:rsidR="00961974" w:rsidRPr="0054791F">
        <w:t>ses</w:t>
      </w:r>
      <w:r w:rsidR="00B2502A" w:rsidRPr="0054791F">
        <w:t xml:space="preserve"> w</w:t>
      </w:r>
      <w:r w:rsidR="00961974" w:rsidRPr="0054791F">
        <w:t>as</w:t>
      </w:r>
      <w:r w:rsidR="00B2502A" w:rsidRPr="0054791F">
        <w:t xml:space="preserve"> predominantly due to</w:t>
      </w:r>
      <w:r w:rsidR="004C2FA4" w:rsidRPr="0054791F">
        <w:t xml:space="preserve"> </w:t>
      </w:r>
      <w:r w:rsidR="00B2502A" w:rsidRPr="0054791F">
        <w:t xml:space="preserve">an increase in </w:t>
      </w:r>
      <w:r w:rsidR="004C2FA4" w:rsidRPr="0054791F">
        <w:t>e</w:t>
      </w:r>
      <w:r w:rsidR="00B2502A" w:rsidRPr="0054791F">
        <w:t xml:space="preserve">mployee related </w:t>
      </w:r>
      <w:r w:rsidR="00711103">
        <w:t>expense</w:t>
      </w:r>
      <w:r w:rsidR="00C171E1">
        <w:t>s, which increased by $8.9</w:t>
      </w:r>
      <w:r w:rsidR="005D307D" w:rsidRPr="002C6B7F">
        <w:t> </w:t>
      </w:r>
      <w:r w:rsidR="00C171E1">
        <w:t>million for the year.  A notable expense for the year was that of scholarships, grants and prizes which totaled $17.4</w:t>
      </w:r>
      <w:r w:rsidR="005D307D" w:rsidRPr="002C6B7F">
        <w:t> </w:t>
      </w:r>
      <w:r w:rsidR="00C171E1">
        <w:t>million compared with $11.4</w:t>
      </w:r>
      <w:r w:rsidR="005D307D" w:rsidRPr="002C6B7F">
        <w:t> </w:t>
      </w:r>
      <w:r w:rsidR="009868FF">
        <w:t>million</w:t>
      </w:r>
      <w:r w:rsidR="00C171E1">
        <w:t xml:space="preserve"> for 2011.</w:t>
      </w:r>
    </w:p>
    <w:p w:rsidR="004C2FA4" w:rsidRPr="00732782" w:rsidRDefault="004C2FA4" w:rsidP="0083183F">
      <w:pPr>
        <w:pStyle w:val="AGRHeading1"/>
      </w:pPr>
      <w:r w:rsidRPr="00732782">
        <w:t>Charles Darwin University cont…</w:t>
      </w:r>
    </w:p>
    <w:p w:rsidR="00DD7386" w:rsidRPr="00732782" w:rsidRDefault="00DD7386" w:rsidP="00C708C3">
      <w:pPr>
        <w:pStyle w:val="AGRHeading3"/>
      </w:pPr>
      <w:r>
        <w:t>Financial Position</w:t>
      </w:r>
      <w:r w:rsidR="00A9071D">
        <w:t xml:space="preserve"> of the University</w:t>
      </w:r>
      <w:r>
        <w:t xml:space="preserve"> at year end</w:t>
      </w:r>
      <w:r w:rsidRPr="00732782">
        <w:t xml:space="preserve"> – excluding controlled entities</w:t>
      </w:r>
    </w:p>
    <w:tbl>
      <w:tblPr>
        <w:tblW w:w="7371" w:type="dxa"/>
        <w:tblInd w:w="851" w:type="dxa"/>
        <w:tblLook w:val="01E0" w:firstRow="1" w:lastRow="1" w:firstColumn="1" w:lastColumn="1" w:noHBand="0" w:noVBand="0"/>
      </w:tblPr>
      <w:tblGrid>
        <w:gridCol w:w="4728"/>
        <w:gridCol w:w="1322"/>
        <w:gridCol w:w="1321"/>
      </w:tblGrid>
      <w:tr w:rsidR="00DD7386" w:rsidRPr="00732782" w:rsidTr="00DD7386">
        <w:tc>
          <w:tcPr>
            <w:tcW w:w="4728" w:type="dxa"/>
            <w:tcBorders>
              <w:bottom w:val="single" w:sz="4" w:space="0" w:color="auto"/>
            </w:tcBorders>
          </w:tcPr>
          <w:p w:rsidR="00DD7386" w:rsidRPr="00732782" w:rsidRDefault="00DD7386" w:rsidP="00DD7386">
            <w:pPr>
              <w:pStyle w:val="AGRTableText"/>
            </w:pPr>
          </w:p>
        </w:tc>
        <w:tc>
          <w:tcPr>
            <w:tcW w:w="1322" w:type="dxa"/>
            <w:tcBorders>
              <w:bottom w:val="single" w:sz="4" w:space="0" w:color="auto"/>
            </w:tcBorders>
          </w:tcPr>
          <w:p w:rsidR="00DD7386" w:rsidRPr="00732782" w:rsidRDefault="00DD7386" w:rsidP="00036669">
            <w:pPr>
              <w:pStyle w:val="AGRTableText"/>
              <w:tabs>
                <w:tab w:val="center" w:pos="570"/>
              </w:tabs>
            </w:pPr>
            <w:r w:rsidRPr="00732782">
              <w:tab/>
            </w:r>
            <w:r w:rsidR="00313635">
              <w:t>201</w:t>
            </w:r>
            <w:r w:rsidR="00036669">
              <w:t>2</w:t>
            </w:r>
          </w:p>
        </w:tc>
        <w:tc>
          <w:tcPr>
            <w:tcW w:w="1321" w:type="dxa"/>
            <w:tcBorders>
              <w:bottom w:val="single" w:sz="4" w:space="0" w:color="auto"/>
            </w:tcBorders>
          </w:tcPr>
          <w:p w:rsidR="00DD7386" w:rsidRPr="00732782" w:rsidRDefault="00DD7386" w:rsidP="00036669">
            <w:pPr>
              <w:pStyle w:val="AGRTableText"/>
              <w:tabs>
                <w:tab w:val="center" w:pos="570"/>
              </w:tabs>
            </w:pPr>
            <w:r w:rsidRPr="00732782">
              <w:tab/>
            </w:r>
            <w:r w:rsidR="00982C76">
              <w:t>201</w:t>
            </w:r>
            <w:r w:rsidR="00036669">
              <w:t>1</w:t>
            </w:r>
          </w:p>
        </w:tc>
      </w:tr>
      <w:tr w:rsidR="00DD7386" w:rsidRPr="00732782" w:rsidTr="00DD7386">
        <w:tc>
          <w:tcPr>
            <w:tcW w:w="4728" w:type="dxa"/>
            <w:tcBorders>
              <w:top w:val="single" w:sz="4" w:space="0" w:color="auto"/>
            </w:tcBorders>
          </w:tcPr>
          <w:p w:rsidR="00DD7386" w:rsidRPr="00732782" w:rsidRDefault="00DD7386" w:rsidP="00DD7386">
            <w:pPr>
              <w:pStyle w:val="AGRTableText"/>
            </w:pPr>
          </w:p>
        </w:tc>
        <w:tc>
          <w:tcPr>
            <w:tcW w:w="1322" w:type="dxa"/>
            <w:tcBorders>
              <w:top w:val="single" w:sz="4" w:space="0" w:color="auto"/>
            </w:tcBorders>
          </w:tcPr>
          <w:p w:rsidR="00DD7386" w:rsidRPr="00732782" w:rsidRDefault="00DD7386" w:rsidP="00DD7386">
            <w:pPr>
              <w:pStyle w:val="AGRTableText"/>
              <w:tabs>
                <w:tab w:val="center" w:pos="570"/>
              </w:tabs>
            </w:pPr>
            <w:r w:rsidRPr="00732782">
              <w:tab/>
              <w:t>$’000</w:t>
            </w:r>
          </w:p>
        </w:tc>
        <w:tc>
          <w:tcPr>
            <w:tcW w:w="1321" w:type="dxa"/>
            <w:tcBorders>
              <w:top w:val="single" w:sz="4" w:space="0" w:color="auto"/>
            </w:tcBorders>
          </w:tcPr>
          <w:p w:rsidR="00DD7386" w:rsidRPr="00732782" w:rsidRDefault="00DD7386" w:rsidP="00DD7386">
            <w:pPr>
              <w:pStyle w:val="AGRTableText"/>
              <w:tabs>
                <w:tab w:val="center" w:pos="570"/>
              </w:tabs>
            </w:pPr>
            <w:r w:rsidRPr="00732782">
              <w:tab/>
              <w:t>$’000</w:t>
            </w:r>
          </w:p>
        </w:tc>
      </w:tr>
      <w:tr w:rsidR="00036669" w:rsidRPr="00732782" w:rsidTr="00DD7386">
        <w:tc>
          <w:tcPr>
            <w:tcW w:w="4728" w:type="dxa"/>
          </w:tcPr>
          <w:p w:rsidR="00036669" w:rsidRPr="00732782" w:rsidRDefault="009868FF" w:rsidP="00DD7386">
            <w:pPr>
              <w:pStyle w:val="AGRTableText"/>
            </w:pPr>
            <w:r>
              <w:t>Current a</w:t>
            </w:r>
            <w:r w:rsidR="00036669" w:rsidRPr="00732782">
              <w:t>ssets</w:t>
            </w:r>
          </w:p>
        </w:tc>
        <w:tc>
          <w:tcPr>
            <w:tcW w:w="1322" w:type="dxa"/>
          </w:tcPr>
          <w:p w:rsidR="00036669" w:rsidRPr="00732782" w:rsidRDefault="008F05C8" w:rsidP="00DD7386">
            <w:pPr>
              <w:pStyle w:val="AGRTableNumbers"/>
            </w:pPr>
            <w:r>
              <w:t>127,981</w:t>
            </w:r>
          </w:p>
        </w:tc>
        <w:tc>
          <w:tcPr>
            <w:tcW w:w="1321" w:type="dxa"/>
          </w:tcPr>
          <w:p w:rsidR="00036669" w:rsidRPr="00732782" w:rsidRDefault="00036669" w:rsidP="00B94157">
            <w:pPr>
              <w:pStyle w:val="AGRTableNumbers"/>
            </w:pPr>
            <w:r>
              <w:t>94,779</w:t>
            </w:r>
          </w:p>
        </w:tc>
      </w:tr>
      <w:tr w:rsidR="00036669" w:rsidRPr="00732782" w:rsidTr="00DD7386">
        <w:tc>
          <w:tcPr>
            <w:tcW w:w="4728" w:type="dxa"/>
          </w:tcPr>
          <w:p w:rsidR="00036669" w:rsidRPr="00732782" w:rsidRDefault="009868FF" w:rsidP="00DD7386">
            <w:pPr>
              <w:pStyle w:val="AGRTableText"/>
            </w:pPr>
            <w:r>
              <w:t>Less current l</w:t>
            </w:r>
            <w:r w:rsidR="00036669" w:rsidRPr="00732782">
              <w:t>iabilities</w:t>
            </w:r>
          </w:p>
        </w:tc>
        <w:tc>
          <w:tcPr>
            <w:tcW w:w="1322" w:type="dxa"/>
          </w:tcPr>
          <w:p w:rsidR="00036669" w:rsidRPr="00732782" w:rsidRDefault="008F05C8" w:rsidP="00982C76">
            <w:pPr>
              <w:pStyle w:val="AGRTableText"/>
              <w:tabs>
                <w:tab w:val="decimal" w:pos="811"/>
              </w:tabs>
            </w:pPr>
            <w:r>
              <w:t>(31,482)</w:t>
            </w:r>
          </w:p>
        </w:tc>
        <w:tc>
          <w:tcPr>
            <w:tcW w:w="1321" w:type="dxa"/>
          </w:tcPr>
          <w:p w:rsidR="00036669" w:rsidRPr="00732782" w:rsidRDefault="00036669" w:rsidP="00B94157">
            <w:pPr>
              <w:pStyle w:val="AGRTableText"/>
              <w:tabs>
                <w:tab w:val="decimal" w:pos="811"/>
              </w:tabs>
            </w:pPr>
            <w:r w:rsidRPr="00732782">
              <w:t>(</w:t>
            </w:r>
            <w:r>
              <w:t>29,572</w:t>
            </w:r>
            <w:r w:rsidRPr="00732782">
              <w:t>)</w:t>
            </w:r>
          </w:p>
        </w:tc>
      </w:tr>
      <w:tr w:rsidR="00036669" w:rsidRPr="00732782" w:rsidTr="00DD7386">
        <w:tc>
          <w:tcPr>
            <w:tcW w:w="4728" w:type="dxa"/>
            <w:tcBorders>
              <w:bottom w:val="single" w:sz="4" w:space="0" w:color="auto"/>
            </w:tcBorders>
          </w:tcPr>
          <w:p w:rsidR="00036669" w:rsidRPr="00732782" w:rsidRDefault="00036669" w:rsidP="009868FF">
            <w:pPr>
              <w:pStyle w:val="AGRTableTextBold"/>
            </w:pPr>
            <w:r w:rsidRPr="00732782">
              <w:t xml:space="preserve">Working </w:t>
            </w:r>
            <w:r w:rsidR="009868FF">
              <w:t>c</w:t>
            </w:r>
            <w:r w:rsidRPr="00732782">
              <w:t>apital</w:t>
            </w:r>
          </w:p>
        </w:tc>
        <w:tc>
          <w:tcPr>
            <w:tcW w:w="1322" w:type="dxa"/>
            <w:tcBorders>
              <w:bottom w:val="single" w:sz="4" w:space="0" w:color="auto"/>
            </w:tcBorders>
          </w:tcPr>
          <w:p w:rsidR="00036669" w:rsidRPr="00732782" w:rsidRDefault="008F05C8" w:rsidP="00DD7386">
            <w:pPr>
              <w:pStyle w:val="AGRTableNumbersBold"/>
            </w:pPr>
            <w:r>
              <w:t>96,499</w:t>
            </w:r>
          </w:p>
        </w:tc>
        <w:tc>
          <w:tcPr>
            <w:tcW w:w="1321" w:type="dxa"/>
            <w:tcBorders>
              <w:bottom w:val="single" w:sz="4" w:space="0" w:color="auto"/>
            </w:tcBorders>
          </w:tcPr>
          <w:p w:rsidR="00036669" w:rsidRPr="00732782" w:rsidRDefault="00036669" w:rsidP="00B94157">
            <w:pPr>
              <w:pStyle w:val="AGRTableNumbersBold"/>
            </w:pPr>
            <w:r>
              <w:fldChar w:fldCharType="begin"/>
            </w:r>
            <w:r>
              <w:instrText xml:space="preserve"> =SUM(ABOVE) </w:instrText>
            </w:r>
            <w:r>
              <w:fldChar w:fldCharType="separate"/>
            </w:r>
            <w:r w:rsidR="00B53DC5">
              <w:rPr>
                <w:noProof/>
              </w:rPr>
              <w:t>65,207</w:t>
            </w:r>
            <w:r>
              <w:rPr>
                <w:noProof/>
              </w:rPr>
              <w:fldChar w:fldCharType="end"/>
            </w:r>
          </w:p>
        </w:tc>
      </w:tr>
      <w:tr w:rsidR="00036669" w:rsidRPr="00732782" w:rsidTr="00DD7386">
        <w:tc>
          <w:tcPr>
            <w:tcW w:w="4728" w:type="dxa"/>
            <w:tcBorders>
              <w:top w:val="single" w:sz="4" w:space="0" w:color="auto"/>
            </w:tcBorders>
          </w:tcPr>
          <w:p w:rsidR="00036669" w:rsidRPr="00732782" w:rsidRDefault="009868FF" w:rsidP="009868FF">
            <w:pPr>
              <w:pStyle w:val="AGRTableText"/>
            </w:pPr>
            <w:r>
              <w:t>Add non c</w:t>
            </w:r>
            <w:r w:rsidR="00036669" w:rsidRPr="00732782">
              <w:t xml:space="preserve">urrent </w:t>
            </w:r>
            <w:r>
              <w:t>a</w:t>
            </w:r>
            <w:r w:rsidR="00036669" w:rsidRPr="00732782">
              <w:t>ssets</w:t>
            </w:r>
          </w:p>
        </w:tc>
        <w:tc>
          <w:tcPr>
            <w:tcW w:w="1322" w:type="dxa"/>
            <w:tcBorders>
              <w:top w:val="single" w:sz="4" w:space="0" w:color="auto"/>
            </w:tcBorders>
          </w:tcPr>
          <w:p w:rsidR="00036669" w:rsidRPr="00732782" w:rsidRDefault="008F05C8" w:rsidP="00DD7386">
            <w:pPr>
              <w:pStyle w:val="AGRTableText"/>
              <w:tabs>
                <w:tab w:val="decimal" w:pos="811"/>
              </w:tabs>
            </w:pPr>
            <w:r>
              <w:t>406,657</w:t>
            </w:r>
          </w:p>
        </w:tc>
        <w:tc>
          <w:tcPr>
            <w:tcW w:w="1321" w:type="dxa"/>
            <w:tcBorders>
              <w:top w:val="single" w:sz="4" w:space="0" w:color="auto"/>
            </w:tcBorders>
          </w:tcPr>
          <w:p w:rsidR="00036669" w:rsidRPr="00732782" w:rsidRDefault="00036669" w:rsidP="00B94157">
            <w:pPr>
              <w:pStyle w:val="AGRTableText"/>
              <w:tabs>
                <w:tab w:val="decimal" w:pos="811"/>
              </w:tabs>
            </w:pPr>
            <w:r>
              <w:t>384,870</w:t>
            </w:r>
          </w:p>
        </w:tc>
      </w:tr>
      <w:tr w:rsidR="00036669" w:rsidRPr="00732782" w:rsidTr="00DD7386">
        <w:tc>
          <w:tcPr>
            <w:tcW w:w="4728" w:type="dxa"/>
          </w:tcPr>
          <w:p w:rsidR="00036669" w:rsidRPr="00732782" w:rsidRDefault="00036669" w:rsidP="00DD7386">
            <w:pPr>
              <w:pStyle w:val="AGRTableText"/>
            </w:pPr>
          </w:p>
        </w:tc>
        <w:tc>
          <w:tcPr>
            <w:tcW w:w="1322" w:type="dxa"/>
          </w:tcPr>
          <w:p w:rsidR="00036669" w:rsidRPr="00732782" w:rsidRDefault="008F05C8" w:rsidP="00DD7386">
            <w:pPr>
              <w:pStyle w:val="AGRTableNumbers"/>
            </w:pPr>
            <w:r>
              <w:t>503,156</w:t>
            </w:r>
          </w:p>
        </w:tc>
        <w:tc>
          <w:tcPr>
            <w:tcW w:w="1321" w:type="dxa"/>
          </w:tcPr>
          <w:p w:rsidR="00036669" w:rsidRPr="00732782" w:rsidRDefault="00036669" w:rsidP="00B94157">
            <w:pPr>
              <w:pStyle w:val="AGRTableNumbers"/>
            </w:pPr>
            <w:r>
              <w:t>450,077</w:t>
            </w:r>
          </w:p>
        </w:tc>
      </w:tr>
      <w:tr w:rsidR="00036669" w:rsidRPr="00732782" w:rsidTr="00DD7386">
        <w:tc>
          <w:tcPr>
            <w:tcW w:w="4728" w:type="dxa"/>
          </w:tcPr>
          <w:p w:rsidR="00036669" w:rsidRPr="00732782" w:rsidRDefault="009868FF" w:rsidP="009868FF">
            <w:pPr>
              <w:pStyle w:val="AGRTableText"/>
            </w:pPr>
            <w:r>
              <w:t>Less non c</w:t>
            </w:r>
            <w:r w:rsidR="00036669" w:rsidRPr="00732782">
              <w:t xml:space="preserve">urrent </w:t>
            </w:r>
            <w:r>
              <w:t>l</w:t>
            </w:r>
            <w:r w:rsidR="00036669" w:rsidRPr="00732782">
              <w:t>iabilities</w:t>
            </w:r>
          </w:p>
        </w:tc>
        <w:tc>
          <w:tcPr>
            <w:tcW w:w="1322" w:type="dxa"/>
          </w:tcPr>
          <w:p w:rsidR="00036669" w:rsidRPr="00732782" w:rsidRDefault="008F05C8" w:rsidP="00982C76">
            <w:pPr>
              <w:pStyle w:val="AGRTableNumbers"/>
            </w:pPr>
            <w:r>
              <w:t>(7,734)</w:t>
            </w:r>
          </w:p>
        </w:tc>
        <w:tc>
          <w:tcPr>
            <w:tcW w:w="1321" w:type="dxa"/>
          </w:tcPr>
          <w:p w:rsidR="00036669" w:rsidRPr="00732782" w:rsidRDefault="00036669" w:rsidP="00B94157">
            <w:pPr>
              <w:pStyle w:val="AGRTableNumbers"/>
            </w:pPr>
            <w:r w:rsidRPr="00732782">
              <w:t>(</w:t>
            </w:r>
            <w:r>
              <w:t>1,458</w:t>
            </w:r>
            <w:r w:rsidRPr="00732782">
              <w:t>)</w:t>
            </w:r>
          </w:p>
        </w:tc>
      </w:tr>
      <w:tr w:rsidR="00036669" w:rsidRPr="00732782" w:rsidTr="00DD7386">
        <w:tc>
          <w:tcPr>
            <w:tcW w:w="4728" w:type="dxa"/>
            <w:tcBorders>
              <w:bottom w:val="single" w:sz="4" w:space="0" w:color="auto"/>
            </w:tcBorders>
          </w:tcPr>
          <w:p w:rsidR="00036669" w:rsidRPr="00732782" w:rsidRDefault="009868FF" w:rsidP="00DD7386">
            <w:pPr>
              <w:pStyle w:val="AGRTableTextBold"/>
            </w:pPr>
            <w:r>
              <w:t>Net a</w:t>
            </w:r>
            <w:r w:rsidR="00036669" w:rsidRPr="00732782">
              <w:t>ssets</w:t>
            </w:r>
          </w:p>
        </w:tc>
        <w:tc>
          <w:tcPr>
            <w:tcW w:w="1322" w:type="dxa"/>
            <w:tcBorders>
              <w:bottom w:val="single" w:sz="4" w:space="0" w:color="auto"/>
            </w:tcBorders>
          </w:tcPr>
          <w:p w:rsidR="00036669" w:rsidRPr="00732782" w:rsidRDefault="008F05C8" w:rsidP="00DD7386">
            <w:pPr>
              <w:pStyle w:val="AGRTableNumbersBold"/>
            </w:pPr>
            <w:r>
              <w:t>495,422</w:t>
            </w:r>
          </w:p>
        </w:tc>
        <w:tc>
          <w:tcPr>
            <w:tcW w:w="1321" w:type="dxa"/>
            <w:tcBorders>
              <w:bottom w:val="single" w:sz="4" w:space="0" w:color="auto"/>
            </w:tcBorders>
          </w:tcPr>
          <w:p w:rsidR="00036669" w:rsidRPr="00732782" w:rsidRDefault="00036669" w:rsidP="00B94157">
            <w:pPr>
              <w:pStyle w:val="AGRTableNumbersBold"/>
            </w:pPr>
            <w:r>
              <w:t>448,619</w:t>
            </w:r>
          </w:p>
        </w:tc>
      </w:tr>
      <w:tr w:rsidR="00036669" w:rsidRPr="00732782" w:rsidTr="00DD7386">
        <w:tc>
          <w:tcPr>
            <w:tcW w:w="4728" w:type="dxa"/>
            <w:tcBorders>
              <w:top w:val="single" w:sz="4" w:space="0" w:color="auto"/>
            </w:tcBorders>
          </w:tcPr>
          <w:p w:rsidR="00036669" w:rsidRPr="00732782" w:rsidRDefault="00036669" w:rsidP="00DD7386">
            <w:pPr>
              <w:pStyle w:val="AGRTableText"/>
            </w:pPr>
            <w:r w:rsidRPr="00732782">
              <w:t>Represented by:</w:t>
            </w:r>
          </w:p>
        </w:tc>
        <w:tc>
          <w:tcPr>
            <w:tcW w:w="1322" w:type="dxa"/>
            <w:tcBorders>
              <w:top w:val="single" w:sz="4" w:space="0" w:color="auto"/>
            </w:tcBorders>
          </w:tcPr>
          <w:p w:rsidR="00036669" w:rsidRPr="00732782" w:rsidRDefault="00036669" w:rsidP="00DD7386">
            <w:pPr>
              <w:pStyle w:val="AGRTableNumbers"/>
            </w:pPr>
          </w:p>
        </w:tc>
        <w:tc>
          <w:tcPr>
            <w:tcW w:w="1321" w:type="dxa"/>
            <w:tcBorders>
              <w:top w:val="single" w:sz="4" w:space="0" w:color="auto"/>
            </w:tcBorders>
          </w:tcPr>
          <w:p w:rsidR="00036669" w:rsidRPr="00732782" w:rsidRDefault="00036669" w:rsidP="00B94157">
            <w:pPr>
              <w:pStyle w:val="AGRTableNumbers"/>
            </w:pPr>
          </w:p>
        </w:tc>
      </w:tr>
      <w:tr w:rsidR="00036669" w:rsidRPr="00732782" w:rsidTr="00DD7386">
        <w:tc>
          <w:tcPr>
            <w:tcW w:w="4728" w:type="dxa"/>
          </w:tcPr>
          <w:p w:rsidR="00036669" w:rsidRPr="00732782" w:rsidRDefault="00036669" w:rsidP="00DD7386">
            <w:pPr>
              <w:pStyle w:val="AGRTableText"/>
            </w:pPr>
            <w:r w:rsidRPr="00732782">
              <w:t>Reserves, restricted and accumulated funds</w:t>
            </w:r>
          </w:p>
        </w:tc>
        <w:tc>
          <w:tcPr>
            <w:tcW w:w="1322" w:type="dxa"/>
          </w:tcPr>
          <w:p w:rsidR="00036669" w:rsidRPr="00732782" w:rsidRDefault="008F05C8" w:rsidP="00DD7386">
            <w:pPr>
              <w:pStyle w:val="AGRTableNumbers"/>
            </w:pPr>
            <w:r>
              <w:t>495,422</w:t>
            </w:r>
          </w:p>
        </w:tc>
        <w:tc>
          <w:tcPr>
            <w:tcW w:w="1321" w:type="dxa"/>
          </w:tcPr>
          <w:p w:rsidR="00036669" w:rsidRPr="00732782" w:rsidRDefault="00036669" w:rsidP="00B94157">
            <w:pPr>
              <w:pStyle w:val="AGRTableNumbers"/>
            </w:pPr>
            <w:r>
              <w:t>448,619</w:t>
            </w:r>
          </w:p>
        </w:tc>
      </w:tr>
      <w:tr w:rsidR="00036669" w:rsidRPr="00732782" w:rsidTr="00DD7386">
        <w:tc>
          <w:tcPr>
            <w:tcW w:w="4728" w:type="dxa"/>
            <w:tcBorders>
              <w:bottom w:val="single" w:sz="4" w:space="0" w:color="auto"/>
            </w:tcBorders>
          </w:tcPr>
          <w:p w:rsidR="00036669" w:rsidRPr="00732782" w:rsidRDefault="00036669" w:rsidP="00DD7386">
            <w:pPr>
              <w:pStyle w:val="AGRTableTextBold"/>
            </w:pPr>
            <w:r w:rsidRPr="00732782">
              <w:t>Equity</w:t>
            </w:r>
          </w:p>
        </w:tc>
        <w:tc>
          <w:tcPr>
            <w:tcW w:w="1322" w:type="dxa"/>
            <w:tcBorders>
              <w:bottom w:val="single" w:sz="4" w:space="0" w:color="auto"/>
            </w:tcBorders>
          </w:tcPr>
          <w:p w:rsidR="00036669" w:rsidRPr="00732782" w:rsidRDefault="008F05C8" w:rsidP="00DD7386">
            <w:pPr>
              <w:pStyle w:val="AGRTableNumbersBold"/>
            </w:pPr>
            <w:r>
              <w:t>495,422</w:t>
            </w:r>
          </w:p>
        </w:tc>
        <w:tc>
          <w:tcPr>
            <w:tcW w:w="1321" w:type="dxa"/>
            <w:tcBorders>
              <w:bottom w:val="single" w:sz="4" w:space="0" w:color="auto"/>
            </w:tcBorders>
          </w:tcPr>
          <w:p w:rsidR="00036669" w:rsidRPr="00732782" w:rsidRDefault="00036669" w:rsidP="00B94157">
            <w:pPr>
              <w:pStyle w:val="AGRTableNumbersBold"/>
            </w:pPr>
            <w:r>
              <w:t>448,619</w:t>
            </w:r>
          </w:p>
        </w:tc>
      </w:tr>
    </w:tbl>
    <w:p w:rsidR="00A9071D" w:rsidRDefault="00A9071D" w:rsidP="002F4F0B">
      <w:pPr>
        <w:pStyle w:val="AGRBodyText"/>
      </w:pPr>
      <w:r>
        <w:t xml:space="preserve">The increase in net assets, and equity, for the year was represented by the </w:t>
      </w:r>
      <w:r w:rsidR="00906CBA">
        <w:t>operating result of $25.483</w:t>
      </w:r>
      <w:r w:rsidR="005D307D" w:rsidRPr="002C6B7F">
        <w:t> </w:t>
      </w:r>
      <w:r w:rsidR="00906CBA">
        <w:t>million together with a gain of $21.32</w:t>
      </w:r>
      <w:r w:rsidR="006526EB">
        <w:t>0</w:t>
      </w:r>
      <w:r w:rsidR="005D307D" w:rsidRPr="002C6B7F">
        <w:t> </w:t>
      </w:r>
      <w:r w:rsidR="00906CBA">
        <w:t>million arising from the revaluat</w:t>
      </w:r>
      <w:r w:rsidR="00AE603C">
        <w:t>i</w:t>
      </w:r>
      <w:r w:rsidR="00906CBA">
        <w:t>on of land and buildings.</w:t>
      </w:r>
    </w:p>
    <w:p w:rsidR="00AE603C" w:rsidRPr="00822180" w:rsidRDefault="00AE603C" w:rsidP="002F4F0B">
      <w:pPr>
        <w:pStyle w:val="AGRBodyText"/>
      </w:pPr>
      <w:r>
        <w:t xml:space="preserve">The reported reserves </w:t>
      </w:r>
      <w:r w:rsidR="002416EA">
        <w:t>of the University at 31</w:t>
      </w:r>
      <w:r w:rsidR="005D307D" w:rsidRPr="002C6B7F">
        <w:t> </w:t>
      </w:r>
      <w:r w:rsidR="002416EA">
        <w:t xml:space="preserve">December 2012 </w:t>
      </w:r>
      <w:r>
        <w:t>include</w:t>
      </w:r>
      <w:r w:rsidR="002416EA">
        <w:t>d</w:t>
      </w:r>
      <w:r>
        <w:t xml:space="preserve"> restricted funds of $48.4</w:t>
      </w:r>
      <w:r w:rsidR="005D307D" w:rsidRPr="002C6B7F">
        <w:t> </w:t>
      </w:r>
      <w:r>
        <w:t>mil</w:t>
      </w:r>
      <w:r w:rsidR="002416EA">
        <w:t>l</w:t>
      </w:r>
      <w:r>
        <w:t>ion</w:t>
      </w:r>
      <w:r w:rsidR="009868FF">
        <w:t xml:space="preserve">. </w:t>
      </w:r>
      <w:r w:rsidR="002416EA">
        <w:t xml:space="preserve"> This amount represented the unexpended value of revenues received for the purpose of funding of specific projects and is not, therefore, available to meet discretionary spending by the University.</w:t>
      </w:r>
    </w:p>
    <w:p w:rsidR="005D71CD" w:rsidRPr="00732782" w:rsidRDefault="00A24915" w:rsidP="0083183F">
      <w:pPr>
        <w:pStyle w:val="AGRHeading1"/>
      </w:pPr>
      <w:bookmarkStart w:id="16" w:name="cdu_foundation"/>
      <w:r w:rsidRPr="00732782">
        <w:t>Charles Darwin University Foundation</w:t>
      </w:r>
      <w:bookmarkEnd w:id="16"/>
    </w:p>
    <w:p w:rsidR="005D71CD" w:rsidRPr="00732782" w:rsidRDefault="005D71CD" w:rsidP="005D71CD">
      <w:pPr>
        <w:pStyle w:val="AGRHeading2"/>
      </w:pPr>
      <w:bookmarkStart w:id="17" w:name="cdu_foundation_audit_title"/>
      <w:r w:rsidRPr="00732782">
        <w:t xml:space="preserve">Audit findings and </w:t>
      </w:r>
      <w:r w:rsidR="004B45B6">
        <w:t>a</w:t>
      </w:r>
      <w:r w:rsidR="004B45B6" w:rsidRPr="00732782">
        <w:t xml:space="preserve">nalysis </w:t>
      </w:r>
      <w:r w:rsidRPr="00732782">
        <w:t xml:space="preserve">of the financial statements for the year ended </w:t>
      </w:r>
      <w:r w:rsidR="00C90BF2">
        <w:t xml:space="preserve">31 December </w:t>
      </w:r>
      <w:r w:rsidR="00313635">
        <w:t>201</w:t>
      </w:r>
      <w:r w:rsidR="00036669">
        <w:t>2</w:t>
      </w:r>
      <w:bookmarkEnd w:id="17"/>
    </w:p>
    <w:p w:rsidR="005D71CD" w:rsidRPr="00732782" w:rsidRDefault="005D71CD" w:rsidP="00C708C3">
      <w:pPr>
        <w:pStyle w:val="AGRHeading3"/>
      </w:pPr>
      <w:r w:rsidRPr="00732782">
        <w:t>Background</w:t>
      </w:r>
    </w:p>
    <w:p w:rsidR="00EC0688" w:rsidRPr="00732782" w:rsidRDefault="00EC0688" w:rsidP="002F4F0B">
      <w:pPr>
        <w:pStyle w:val="AGRBodyText"/>
      </w:pPr>
      <w:r w:rsidRPr="00732782">
        <w:t xml:space="preserve">The Charles Darwin University Foundation </w:t>
      </w:r>
      <w:r w:rsidR="002E19A8">
        <w:t xml:space="preserve">(the Foundation) </w:t>
      </w:r>
      <w:r w:rsidRPr="00732782">
        <w:t>is a company limited by guarantee that acts as trustee of the Charles Darwin University Foundation Trust</w:t>
      </w:r>
      <w:r w:rsidR="002E19A8">
        <w:t xml:space="preserve"> (the Trust)</w:t>
      </w:r>
      <w:r w:rsidRPr="00732782">
        <w:t xml:space="preserve">.  The </w:t>
      </w:r>
      <w:r w:rsidR="002E19A8">
        <w:t>Foundation</w:t>
      </w:r>
      <w:r w:rsidR="002E19A8" w:rsidRPr="00732782">
        <w:t xml:space="preserve"> </w:t>
      </w:r>
      <w:r w:rsidR="00390B01" w:rsidRPr="00732782">
        <w:t>i</w:t>
      </w:r>
      <w:r w:rsidR="007F13E1" w:rsidRPr="00732782">
        <w:t>nc</w:t>
      </w:r>
      <w:r w:rsidRPr="00732782">
        <w:t>urs liabilities on behalf of the Trust and discharges those liabilities out of the assets of the Trust.</w:t>
      </w:r>
    </w:p>
    <w:p w:rsidR="009635E5" w:rsidRDefault="00EC0688" w:rsidP="002F4F0B">
      <w:pPr>
        <w:pStyle w:val="AGRBodyText"/>
      </w:pPr>
      <w:r w:rsidRPr="00732782">
        <w:t xml:space="preserve">The </w:t>
      </w:r>
      <w:r w:rsidR="002E19A8">
        <w:t>Foundation</w:t>
      </w:r>
      <w:r w:rsidR="002E19A8" w:rsidRPr="00732782">
        <w:t xml:space="preserve"> </w:t>
      </w:r>
      <w:r w:rsidRPr="00732782">
        <w:t>and the Trust were established as the fundraising arm of the University</w:t>
      </w:r>
      <w:r w:rsidR="00494D02">
        <w:t xml:space="preserve"> and </w:t>
      </w:r>
      <w:r w:rsidR="001072F0">
        <w:t>b</w:t>
      </w:r>
      <w:r w:rsidRPr="00732782">
        <w:t xml:space="preserve">oth are controlled entities of the University within the meaning of section 41 of the </w:t>
      </w:r>
      <w:r w:rsidRPr="00732782">
        <w:rPr>
          <w:i/>
        </w:rPr>
        <w:t>Charles Darwin University Act</w:t>
      </w:r>
      <w:r w:rsidRPr="00732782">
        <w:t>.</w:t>
      </w:r>
    </w:p>
    <w:p w:rsidR="009635E5" w:rsidRDefault="00EC0688" w:rsidP="002F4F0B">
      <w:pPr>
        <w:pStyle w:val="AGRBodyText"/>
      </w:pPr>
      <w:r w:rsidRPr="00732782">
        <w:t>The purpose of the Foundation is to enhance the relationship between the University and the wider Northern Territory community</w:t>
      </w:r>
      <w:r w:rsidR="00494D02">
        <w:t>,</w:t>
      </w:r>
      <w:r w:rsidRPr="00732782">
        <w:t xml:space="preserve"> and to </w:t>
      </w:r>
      <w:r w:rsidR="00494D02">
        <w:t>raise</w:t>
      </w:r>
      <w:r w:rsidR="00494D02" w:rsidRPr="00732782">
        <w:t xml:space="preserve"> </w:t>
      </w:r>
      <w:r w:rsidRPr="00732782">
        <w:t>funds for the University</w:t>
      </w:r>
      <w:r w:rsidR="00494D02">
        <w:t>.</w:t>
      </w:r>
      <w:r w:rsidRPr="00732782">
        <w:t xml:space="preserve">  In pursuit of this objective</w:t>
      </w:r>
      <w:r w:rsidR="001072F0">
        <w:t>,</w:t>
      </w:r>
      <w:r w:rsidRPr="00732782">
        <w:t xml:space="preserve"> the Foundation</w:t>
      </w:r>
      <w:r w:rsidR="00DD7386">
        <w:t xml:space="preserve"> </w:t>
      </w:r>
      <w:r w:rsidRPr="00732782">
        <w:t xml:space="preserve">seeks donations and other contributions </w:t>
      </w:r>
      <w:r w:rsidR="00494D02">
        <w:t xml:space="preserve">while also </w:t>
      </w:r>
      <w:r w:rsidR="00DD7386">
        <w:t xml:space="preserve">providing </w:t>
      </w:r>
      <w:r w:rsidR="00682DCB">
        <w:t>assurance to donors that</w:t>
      </w:r>
      <w:r w:rsidRPr="00732782">
        <w:t xml:space="preserve"> </w:t>
      </w:r>
      <w:r w:rsidR="00494D02">
        <w:t>bequests and donations will be applied in accordance with the wishes of the testator or donor</w:t>
      </w:r>
      <w:r w:rsidRPr="00732782">
        <w:t>.</w:t>
      </w:r>
    </w:p>
    <w:p w:rsidR="00177BC6" w:rsidRPr="00732782" w:rsidRDefault="00177BC6" w:rsidP="00C708C3">
      <w:pPr>
        <w:pStyle w:val="AGRHeading3"/>
      </w:pPr>
      <w:r w:rsidRPr="00732782">
        <w:t>Audit Opinion</w:t>
      </w:r>
    </w:p>
    <w:p w:rsidR="00177BC6" w:rsidRPr="00732782" w:rsidRDefault="00177BC6" w:rsidP="002F4F0B">
      <w:pPr>
        <w:pStyle w:val="AGRBodyText"/>
      </w:pPr>
      <w:r w:rsidRPr="00732782">
        <w:t xml:space="preserve">The audit of the financial statements of the Foundation and the Trust for the year ended </w:t>
      </w:r>
      <w:r>
        <w:t>31</w:t>
      </w:r>
      <w:r w:rsidR="005D307D" w:rsidRPr="002C6B7F">
        <w:t> </w:t>
      </w:r>
      <w:r>
        <w:t xml:space="preserve">December </w:t>
      </w:r>
      <w:r w:rsidR="00313635">
        <w:t>201</w:t>
      </w:r>
      <w:r w:rsidR="00036669">
        <w:t>2</w:t>
      </w:r>
      <w:r w:rsidRPr="00732782">
        <w:t xml:space="preserve"> resulted in unqualified independent audit </w:t>
      </w:r>
      <w:r w:rsidRPr="00AB5E58">
        <w:t>opinions</w:t>
      </w:r>
      <w:r w:rsidR="00DD7386">
        <w:t xml:space="preserve"> for both entities and these</w:t>
      </w:r>
      <w:r w:rsidRPr="00AB5E58">
        <w:t xml:space="preserve"> were issued on </w:t>
      </w:r>
      <w:r w:rsidR="00190059">
        <w:t>3</w:t>
      </w:r>
      <w:r w:rsidR="005D307D" w:rsidRPr="002C6B7F">
        <w:t> </w:t>
      </w:r>
      <w:r w:rsidR="00190059">
        <w:t>May</w:t>
      </w:r>
      <w:r w:rsidRPr="00AB5E58">
        <w:t xml:space="preserve"> </w:t>
      </w:r>
      <w:r w:rsidR="00313635">
        <w:t>201</w:t>
      </w:r>
      <w:r w:rsidR="00036669">
        <w:t>3</w:t>
      </w:r>
      <w:r w:rsidRPr="00AB5E58">
        <w:t>.</w:t>
      </w:r>
    </w:p>
    <w:p w:rsidR="005D71CD" w:rsidRPr="00732782" w:rsidRDefault="005D71CD" w:rsidP="00C708C3">
      <w:pPr>
        <w:pStyle w:val="AGRHeading3"/>
      </w:pPr>
      <w:r w:rsidRPr="00732782">
        <w:t xml:space="preserve">Key </w:t>
      </w:r>
      <w:r w:rsidR="00177BC6">
        <w:t>Findings</w:t>
      </w:r>
    </w:p>
    <w:p w:rsidR="00EC0688" w:rsidRPr="00732782" w:rsidRDefault="00EC0688" w:rsidP="002F4F0B">
      <w:pPr>
        <w:pStyle w:val="AGRBodyText"/>
      </w:pPr>
      <w:r w:rsidRPr="00732782">
        <w:t>As noted in previous years</w:t>
      </w:r>
      <w:r w:rsidR="00390B01" w:rsidRPr="00732782">
        <w:t>, there are instances where</w:t>
      </w:r>
      <w:r w:rsidRPr="00732782">
        <w:t xml:space="preserve"> </w:t>
      </w:r>
      <w:r w:rsidR="00390B01" w:rsidRPr="00732782">
        <w:t xml:space="preserve">in-kind donations </w:t>
      </w:r>
      <w:r w:rsidRPr="00732782">
        <w:t xml:space="preserve">are provided to the Foundation without supporting evidence to substantiate the donors’ advice as to the </w:t>
      </w:r>
      <w:r w:rsidR="002E19A8">
        <w:t xml:space="preserve">value of the </w:t>
      </w:r>
      <w:r w:rsidR="00390B01" w:rsidRPr="00732782">
        <w:t>donations</w:t>
      </w:r>
      <w:r w:rsidRPr="00732782">
        <w:t xml:space="preserve">.  However, the risk of misstatement of the </w:t>
      </w:r>
      <w:r w:rsidR="00390B01" w:rsidRPr="00732782">
        <w:t xml:space="preserve">financial performance or financial position of the Foundation </w:t>
      </w:r>
      <w:r w:rsidRPr="00732782">
        <w:t xml:space="preserve">is not considered to be material given that in-kind donations are recorded as </w:t>
      </w:r>
      <w:r w:rsidR="0023215F" w:rsidRPr="00732782">
        <w:t>inc</w:t>
      </w:r>
      <w:r w:rsidRPr="00732782">
        <w:t xml:space="preserve">ome and expense in the same period in which they are received. </w:t>
      </w:r>
    </w:p>
    <w:p w:rsidR="009635E5" w:rsidRDefault="00390B01" w:rsidP="002F4F0B">
      <w:pPr>
        <w:pStyle w:val="AGRBodyText"/>
      </w:pPr>
      <w:r w:rsidRPr="00732782">
        <w:t xml:space="preserve">This and previous </w:t>
      </w:r>
      <w:r w:rsidR="00EC0688" w:rsidRPr="00732782">
        <w:t>audit</w:t>
      </w:r>
      <w:r w:rsidRPr="00732782">
        <w:t>s</w:t>
      </w:r>
      <w:r w:rsidR="00EC0688" w:rsidRPr="00732782">
        <w:t xml:space="preserve"> </w:t>
      </w:r>
      <w:r w:rsidRPr="00732782">
        <w:t xml:space="preserve">have </w:t>
      </w:r>
      <w:r w:rsidR="00EC0688" w:rsidRPr="00732782">
        <w:t>also identified a weakness in the control over the receipt of “over the counter” cash donations.  However</w:t>
      </w:r>
      <w:r w:rsidRPr="00732782">
        <w:t>,</w:t>
      </w:r>
      <w:r w:rsidR="00EC0688" w:rsidRPr="00732782">
        <w:t xml:space="preserve"> as the amounts received by this method occur relatively infrequently, I did not consider it necessary to qualify my audit opinion in relation to the completeness of revenue.</w:t>
      </w:r>
    </w:p>
    <w:p w:rsidR="00A24915" w:rsidRPr="00732782" w:rsidRDefault="00A24915" w:rsidP="0083183F">
      <w:pPr>
        <w:pStyle w:val="AGRHeading1"/>
      </w:pPr>
      <w:r w:rsidRPr="00732782">
        <w:t>Charles Darwin University Foundation</w:t>
      </w:r>
      <w:r w:rsidR="00666139" w:rsidRPr="00732782">
        <w:t xml:space="preserve"> cont…</w:t>
      </w:r>
    </w:p>
    <w:p w:rsidR="005D71CD" w:rsidRPr="00732782" w:rsidRDefault="005602EC" w:rsidP="009868FF">
      <w:pPr>
        <w:pStyle w:val="AGRHeading3"/>
      </w:pPr>
      <w:r>
        <w:t>Financial Performance for the year</w:t>
      </w:r>
      <w:r w:rsidR="00EC0688" w:rsidRPr="00732782">
        <w:t xml:space="preserve"> – </w:t>
      </w:r>
      <w:r w:rsidR="00845BC4">
        <w:t xml:space="preserve">CDU Foundation </w:t>
      </w:r>
      <w:r w:rsidR="009868FF">
        <w:t xml:space="preserve">– </w:t>
      </w:r>
      <w:r w:rsidR="00845BC4">
        <w:t xml:space="preserve">Trust </w:t>
      </w:r>
      <w:r w:rsidR="00EC0688" w:rsidRPr="00732782">
        <w:t>Only</w:t>
      </w:r>
    </w:p>
    <w:tbl>
      <w:tblPr>
        <w:tblW w:w="7371" w:type="dxa"/>
        <w:tblInd w:w="851" w:type="dxa"/>
        <w:tblLook w:val="01E0" w:firstRow="1" w:lastRow="1" w:firstColumn="1" w:lastColumn="1" w:noHBand="0" w:noVBand="0"/>
      </w:tblPr>
      <w:tblGrid>
        <w:gridCol w:w="4728"/>
        <w:gridCol w:w="1322"/>
        <w:gridCol w:w="1321"/>
      </w:tblGrid>
      <w:tr w:rsidR="005D71CD" w:rsidRPr="00732782" w:rsidTr="002C0576">
        <w:tc>
          <w:tcPr>
            <w:tcW w:w="4728" w:type="dxa"/>
            <w:tcBorders>
              <w:bottom w:val="single" w:sz="4" w:space="0" w:color="auto"/>
            </w:tcBorders>
          </w:tcPr>
          <w:p w:rsidR="005D71CD" w:rsidRPr="00732782" w:rsidRDefault="005D71CD" w:rsidP="002C0576">
            <w:pPr>
              <w:pStyle w:val="AGRTableText"/>
            </w:pPr>
          </w:p>
        </w:tc>
        <w:tc>
          <w:tcPr>
            <w:tcW w:w="1322" w:type="dxa"/>
            <w:tcBorders>
              <w:bottom w:val="single" w:sz="4" w:space="0" w:color="auto"/>
            </w:tcBorders>
          </w:tcPr>
          <w:p w:rsidR="005D71CD" w:rsidRPr="00732782" w:rsidRDefault="005D71CD" w:rsidP="00036669">
            <w:pPr>
              <w:pStyle w:val="AGRTableText"/>
              <w:tabs>
                <w:tab w:val="center" w:pos="570"/>
              </w:tabs>
            </w:pPr>
            <w:r w:rsidRPr="00732782">
              <w:tab/>
            </w:r>
            <w:r w:rsidR="00313635">
              <w:t>201</w:t>
            </w:r>
            <w:r w:rsidR="00036669">
              <w:t>2</w:t>
            </w:r>
          </w:p>
        </w:tc>
        <w:tc>
          <w:tcPr>
            <w:tcW w:w="1321" w:type="dxa"/>
            <w:tcBorders>
              <w:bottom w:val="single" w:sz="4" w:space="0" w:color="auto"/>
            </w:tcBorders>
          </w:tcPr>
          <w:p w:rsidR="005D71CD" w:rsidRPr="00732782" w:rsidRDefault="005602EC" w:rsidP="00036669">
            <w:pPr>
              <w:pStyle w:val="AGRTableText"/>
              <w:tabs>
                <w:tab w:val="center" w:pos="570"/>
              </w:tabs>
            </w:pPr>
            <w:r>
              <w:tab/>
            </w:r>
            <w:r w:rsidR="00982C76">
              <w:t>201</w:t>
            </w:r>
            <w:r w:rsidR="00036669">
              <w:t>1</w:t>
            </w:r>
          </w:p>
        </w:tc>
      </w:tr>
      <w:tr w:rsidR="005D71CD" w:rsidRPr="00732782" w:rsidTr="002C0576">
        <w:tc>
          <w:tcPr>
            <w:tcW w:w="4728" w:type="dxa"/>
            <w:tcBorders>
              <w:top w:val="single" w:sz="4" w:space="0" w:color="auto"/>
            </w:tcBorders>
          </w:tcPr>
          <w:p w:rsidR="005D71CD" w:rsidRPr="00732782" w:rsidRDefault="005D71CD" w:rsidP="002C0576">
            <w:pPr>
              <w:pStyle w:val="AGRTableText"/>
            </w:pPr>
          </w:p>
        </w:tc>
        <w:tc>
          <w:tcPr>
            <w:tcW w:w="1322" w:type="dxa"/>
            <w:tcBorders>
              <w:top w:val="single" w:sz="4" w:space="0" w:color="auto"/>
            </w:tcBorders>
          </w:tcPr>
          <w:p w:rsidR="005D71CD" w:rsidRPr="00732782" w:rsidRDefault="005D71CD" w:rsidP="002C0576">
            <w:pPr>
              <w:pStyle w:val="AGRTableText"/>
              <w:tabs>
                <w:tab w:val="center" w:pos="570"/>
              </w:tabs>
            </w:pPr>
            <w:r w:rsidRPr="00732782">
              <w:tab/>
              <w:t>$’000</w:t>
            </w:r>
          </w:p>
        </w:tc>
        <w:tc>
          <w:tcPr>
            <w:tcW w:w="1321" w:type="dxa"/>
            <w:tcBorders>
              <w:top w:val="single" w:sz="4" w:space="0" w:color="auto"/>
            </w:tcBorders>
          </w:tcPr>
          <w:p w:rsidR="005D71CD" w:rsidRPr="00732782" w:rsidRDefault="005D71CD" w:rsidP="002C0576">
            <w:pPr>
              <w:pStyle w:val="AGRTableText"/>
              <w:tabs>
                <w:tab w:val="center" w:pos="570"/>
              </w:tabs>
            </w:pPr>
            <w:r w:rsidRPr="00732782">
              <w:tab/>
              <w:t>$’000</w:t>
            </w:r>
          </w:p>
        </w:tc>
      </w:tr>
      <w:tr w:rsidR="00036669" w:rsidRPr="00732782" w:rsidTr="002C0576">
        <w:tc>
          <w:tcPr>
            <w:tcW w:w="4728" w:type="dxa"/>
            <w:tcBorders>
              <w:bottom w:val="single" w:sz="4" w:space="0" w:color="auto"/>
            </w:tcBorders>
          </w:tcPr>
          <w:p w:rsidR="00036669" w:rsidRPr="00732782" w:rsidRDefault="00036669" w:rsidP="002C0576">
            <w:pPr>
              <w:pStyle w:val="AGRTableTextBold"/>
            </w:pPr>
            <w:r w:rsidRPr="00732782">
              <w:t>Revenue from ordinary activities</w:t>
            </w:r>
          </w:p>
        </w:tc>
        <w:tc>
          <w:tcPr>
            <w:tcW w:w="1322" w:type="dxa"/>
            <w:tcBorders>
              <w:bottom w:val="single" w:sz="4" w:space="0" w:color="auto"/>
            </w:tcBorders>
          </w:tcPr>
          <w:p w:rsidR="00036669" w:rsidRPr="00732782" w:rsidRDefault="00190059" w:rsidP="00190059">
            <w:pPr>
              <w:pStyle w:val="AGRTableNumbersBold"/>
            </w:pPr>
            <w:r>
              <w:t>4,617</w:t>
            </w:r>
          </w:p>
        </w:tc>
        <w:tc>
          <w:tcPr>
            <w:tcW w:w="1321" w:type="dxa"/>
            <w:tcBorders>
              <w:bottom w:val="single" w:sz="4" w:space="0" w:color="auto"/>
            </w:tcBorders>
          </w:tcPr>
          <w:p w:rsidR="00036669" w:rsidRPr="00732782" w:rsidRDefault="00036669" w:rsidP="00B94157">
            <w:pPr>
              <w:pStyle w:val="AGRTableNumbersBold"/>
            </w:pPr>
            <w:r>
              <w:t>1,424</w:t>
            </w:r>
          </w:p>
        </w:tc>
      </w:tr>
      <w:tr w:rsidR="00036669" w:rsidRPr="00732782" w:rsidTr="002C0576">
        <w:tc>
          <w:tcPr>
            <w:tcW w:w="4728" w:type="dxa"/>
            <w:tcBorders>
              <w:top w:val="single" w:sz="4" w:space="0" w:color="auto"/>
            </w:tcBorders>
          </w:tcPr>
          <w:p w:rsidR="00036669" w:rsidRPr="00732782" w:rsidRDefault="00036669" w:rsidP="002C0576">
            <w:pPr>
              <w:pStyle w:val="AGRTableTextBold"/>
            </w:pPr>
            <w:r w:rsidRPr="00732782">
              <w:t>Less expenses from ordinary activities</w:t>
            </w:r>
          </w:p>
        </w:tc>
        <w:tc>
          <w:tcPr>
            <w:tcW w:w="1322" w:type="dxa"/>
            <w:tcBorders>
              <w:top w:val="single" w:sz="4" w:space="0" w:color="auto"/>
            </w:tcBorders>
          </w:tcPr>
          <w:p w:rsidR="00036669" w:rsidRPr="00732782" w:rsidRDefault="00036669" w:rsidP="002C0576">
            <w:pPr>
              <w:pStyle w:val="AGRTableText"/>
              <w:tabs>
                <w:tab w:val="decimal" w:pos="811"/>
              </w:tabs>
            </w:pPr>
          </w:p>
        </w:tc>
        <w:tc>
          <w:tcPr>
            <w:tcW w:w="1321" w:type="dxa"/>
            <w:tcBorders>
              <w:top w:val="single" w:sz="4" w:space="0" w:color="auto"/>
            </w:tcBorders>
          </w:tcPr>
          <w:p w:rsidR="00036669" w:rsidRPr="00732782" w:rsidRDefault="00036669" w:rsidP="00B94157">
            <w:pPr>
              <w:pStyle w:val="AGRTableText"/>
              <w:tabs>
                <w:tab w:val="decimal" w:pos="811"/>
              </w:tabs>
            </w:pPr>
          </w:p>
        </w:tc>
      </w:tr>
      <w:tr w:rsidR="00036669" w:rsidRPr="00732782" w:rsidTr="002C0576">
        <w:tc>
          <w:tcPr>
            <w:tcW w:w="4728" w:type="dxa"/>
          </w:tcPr>
          <w:p w:rsidR="00036669" w:rsidRPr="00732782" w:rsidRDefault="00036669" w:rsidP="002C0576">
            <w:pPr>
              <w:pStyle w:val="AGRTableText"/>
            </w:pPr>
            <w:r w:rsidRPr="00732782">
              <w:t>Trust donations disbursed</w:t>
            </w:r>
          </w:p>
        </w:tc>
        <w:tc>
          <w:tcPr>
            <w:tcW w:w="1322" w:type="dxa"/>
          </w:tcPr>
          <w:p w:rsidR="00036669" w:rsidRPr="00732782" w:rsidRDefault="00190059" w:rsidP="00982C76">
            <w:pPr>
              <w:pStyle w:val="AGRTableNumbers"/>
            </w:pPr>
            <w:r>
              <w:t>(2,449)</w:t>
            </w:r>
          </w:p>
        </w:tc>
        <w:tc>
          <w:tcPr>
            <w:tcW w:w="1321" w:type="dxa"/>
          </w:tcPr>
          <w:p w:rsidR="00036669" w:rsidRPr="00732782" w:rsidRDefault="00036669" w:rsidP="00190059">
            <w:pPr>
              <w:pStyle w:val="AGRTableNumbers"/>
            </w:pPr>
            <w:r w:rsidRPr="00732782">
              <w:t>(</w:t>
            </w:r>
            <w:r>
              <w:t>1,0</w:t>
            </w:r>
            <w:r w:rsidR="00190059">
              <w:t>98</w:t>
            </w:r>
            <w:r w:rsidRPr="00732782">
              <w:t>)</w:t>
            </w:r>
          </w:p>
        </w:tc>
      </w:tr>
      <w:tr w:rsidR="00036669" w:rsidRPr="00732782" w:rsidTr="002C0576">
        <w:tc>
          <w:tcPr>
            <w:tcW w:w="4728" w:type="dxa"/>
          </w:tcPr>
          <w:p w:rsidR="00036669" w:rsidRPr="00732782" w:rsidRDefault="00036669" w:rsidP="002C0576">
            <w:pPr>
              <w:pStyle w:val="AGRTableText"/>
            </w:pPr>
            <w:r w:rsidRPr="00732782">
              <w:t>Donations in kind – operational</w:t>
            </w:r>
          </w:p>
        </w:tc>
        <w:tc>
          <w:tcPr>
            <w:tcW w:w="1322" w:type="dxa"/>
          </w:tcPr>
          <w:p w:rsidR="00036669" w:rsidRPr="00732782" w:rsidRDefault="00190059" w:rsidP="00982C76">
            <w:pPr>
              <w:pStyle w:val="AGRTableText"/>
              <w:tabs>
                <w:tab w:val="decimal" w:pos="811"/>
              </w:tabs>
            </w:pPr>
            <w:r>
              <w:t>(78)</w:t>
            </w:r>
          </w:p>
        </w:tc>
        <w:tc>
          <w:tcPr>
            <w:tcW w:w="1321" w:type="dxa"/>
          </w:tcPr>
          <w:p w:rsidR="00036669" w:rsidRPr="00732782" w:rsidRDefault="00036669" w:rsidP="00B94157">
            <w:pPr>
              <w:pStyle w:val="AGRTableText"/>
              <w:tabs>
                <w:tab w:val="decimal" w:pos="811"/>
              </w:tabs>
            </w:pPr>
            <w:r w:rsidRPr="00732782">
              <w:t>(</w:t>
            </w:r>
            <w:r>
              <w:t>49</w:t>
            </w:r>
            <w:r w:rsidRPr="00732782">
              <w:t>)</w:t>
            </w:r>
          </w:p>
        </w:tc>
      </w:tr>
      <w:tr w:rsidR="00036669" w:rsidRPr="00732782" w:rsidTr="002C0576">
        <w:tc>
          <w:tcPr>
            <w:tcW w:w="4728" w:type="dxa"/>
          </w:tcPr>
          <w:p w:rsidR="00036669" w:rsidRPr="00732782" w:rsidRDefault="00036669" w:rsidP="002C0576">
            <w:pPr>
              <w:pStyle w:val="AGRTableText"/>
            </w:pPr>
            <w:r w:rsidRPr="00732782">
              <w:t>Other</w:t>
            </w:r>
          </w:p>
        </w:tc>
        <w:tc>
          <w:tcPr>
            <w:tcW w:w="1322" w:type="dxa"/>
          </w:tcPr>
          <w:p w:rsidR="00036669" w:rsidRPr="00732782" w:rsidRDefault="00190059" w:rsidP="00982C76">
            <w:pPr>
              <w:pStyle w:val="AGRTableText"/>
              <w:tabs>
                <w:tab w:val="decimal" w:pos="811"/>
              </w:tabs>
            </w:pPr>
            <w:r>
              <w:t>(4)</w:t>
            </w:r>
          </w:p>
        </w:tc>
        <w:tc>
          <w:tcPr>
            <w:tcW w:w="1321" w:type="dxa"/>
          </w:tcPr>
          <w:p w:rsidR="00036669" w:rsidRPr="00732782" w:rsidRDefault="00036669" w:rsidP="00190059">
            <w:pPr>
              <w:pStyle w:val="AGRTableText"/>
              <w:tabs>
                <w:tab w:val="decimal" w:pos="811"/>
              </w:tabs>
            </w:pPr>
            <w:r w:rsidRPr="00732782">
              <w:t>(</w:t>
            </w:r>
            <w:r w:rsidR="00190059">
              <w:t>6</w:t>
            </w:r>
            <w:r w:rsidRPr="00732782">
              <w:t>)</w:t>
            </w:r>
          </w:p>
        </w:tc>
      </w:tr>
      <w:tr w:rsidR="00036669" w:rsidRPr="00732782" w:rsidTr="002C0576">
        <w:tc>
          <w:tcPr>
            <w:tcW w:w="4728" w:type="dxa"/>
            <w:tcBorders>
              <w:bottom w:val="single" w:sz="4" w:space="0" w:color="auto"/>
            </w:tcBorders>
          </w:tcPr>
          <w:p w:rsidR="00036669" w:rsidRPr="00732782" w:rsidRDefault="00036669" w:rsidP="002C0576">
            <w:pPr>
              <w:pStyle w:val="AGRTableTextBold"/>
            </w:pPr>
            <w:r w:rsidRPr="00732782">
              <w:t>Total expenses from ordinary activities</w:t>
            </w:r>
          </w:p>
        </w:tc>
        <w:tc>
          <w:tcPr>
            <w:tcW w:w="1322" w:type="dxa"/>
            <w:tcBorders>
              <w:bottom w:val="single" w:sz="4" w:space="0" w:color="auto"/>
            </w:tcBorders>
          </w:tcPr>
          <w:p w:rsidR="00036669" w:rsidRPr="00732782" w:rsidRDefault="00190059" w:rsidP="00DF4679">
            <w:pPr>
              <w:pStyle w:val="AGRTableNumbersBold"/>
            </w:pPr>
            <w:r>
              <w:t>2,531</w:t>
            </w:r>
          </w:p>
        </w:tc>
        <w:tc>
          <w:tcPr>
            <w:tcW w:w="1321" w:type="dxa"/>
            <w:tcBorders>
              <w:bottom w:val="single" w:sz="4" w:space="0" w:color="auto"/>
            </w:tcBorders>
          </w:tcPr>
          <w:p w:rsidR="00036669" w:rsidRPr="00732782" w:rsidRDefault="00036669" w:rsidP="00B94157">
            <w:pPr>
              <w:pStyle w:val="AGRTableNumbersBold"/>
            </w:pPr>
            <w:r w:rsidRPr="00732782">
              <w:t>(</w:t>
            </w:r>
            <w:r>
              <w:t>1,152</w:t>
            </w:r>
            <w:r w:rsidRPr="00732782">
              <w:t>)</w:t>
            </w:r>
          </w:p>
        </w:tc>
      </w:tr>
      <w:tr w:rsidR="00036669" w:rsidRPr="00732782" w:rsidTr="002C0576">
        <w:tc>
          <w:tcPr>
            <w:tcW w:w="4728" w:type="dxa"/>
            <w:tcBorders>
              <w:bottom w:val="single" w:sz="4" w:space="0" w:color="auto"/>
            </w:tcBorders>
          </w:tcPr>
          <w:p w:rsidR="00036669" w:rsidRPr="00732782" w:rsidRDefault="00036669" w:rsidP="00DD7386">
            <w:pPr>
              <w:pStyle w:val="AGRTableTextBold"/>
            </w:pPr>
            <w:r w:rsidRPr="00732782">
              <w:t>Net operati</w:t>
            </w:r>
            <w:r>
              <w:t>ng</w:t>
            </w:r>
            <w:r w:rsidRPr="00732782">
              <w:t xml:space="preserve"> result for the year</w:t>
            </w:r>
          </w:p>
        </w:tc>
        <w:tc>
          <w:tcPr>
            <w:tcW w:w="1322" w:type="dxa"/>
            <w:tcBorders>
              <w:bottom w:val="single" w:sz="4" w:space="0" w:color="auto"/>
            </w:tcBorders>
          </w:tcPr>
          <w:p w:rsidR="00036669" w:rsidRPr="00732782" w:rsidRDefault="00190059" w:rsidP="002C0576">
            <w:pPr>
              <w:pStyle w:val="AGRTableNumbersBold"/>
            </w:pPr>
            <w:r>
              <w:t>2,086</w:t>
            </w:r>
          </w:p>
        </w:tc>
        <w:tc>
          <w:tcPr>
            <w:tcW w:w="1321" w:type="dxa"/>
            <w:tcBorders>
              <w:bottom w:val="single" w:sz="4" w:space="0" w:color="auto"/>
            </w:tcBorders>
          </w:tcPr>
          <w:p w:rsidR="00036669" w:rsidRPr="00732782" w:rsidRDefault="00036669" w:rsidP="00B94157">
            <w:pPr>
              <w:pStyle w:val="AGRTableNumbersBold"/>
            </w:pPr>
            <w:r>
              <w:t>272</w:t>
            </w:r>
          </w:p>
        </w:tc>
      </w:tr>
    </w:tbl>
    <w:p w:rsidR="0083079C" w:rsidRDefault="00190059" w:rsidP="002F4F0B">
      <w:pPr>
        <w:pStyle w:val="AGRBodyText"/>
      </w:pPr>
      <w:r w:rsidRPr="00190059">
        <w:t>The Trust’s total revenue increased from $1.4</w:t>
      </w:r>
      <w:r w:rsidR="005D307D" w:rsidRPr="002C6B7F">
        <w:t> </w:t>
      </w:r>
      <w:r w:rsidRPr="00190059">
        <w:t>million in 2011 to $4.6</w:t>
      </w:r>
      <w:r w:rsidR="005D307D" w:rsidRPr="002C6B7F">
        <w:t> </w:t>
      </w:r>
      <w:r w:rsidRPr="00190059">
        <w:t xml:space="preserve">million in 2012, due </w:t>
      </w:r>
      <w:r w:rsidR="00E61CCB">
        <w:t xml:space="preserve">largely </w:t>
      </w:r>
      <w:r w:rsidRPr="00190059">
        <w:t xml:space="preserve">to </w:t>
      </w:r>
      <w:r w:rsidR="00E61CCB">
        <w:t xml:space="preserve">a donation of </w:t>
      </w:r>
      <w:r w:rsidRPr="00190059">
        <w:t>$3.</w:t>
      </w:r>
      <w:r w:rsidR="00E61CCB">
        <w:t>1</w:t>
      </w:r>
      <w:r w:rsidR="005D307D" w:rsidRPr="002C6B7F">
        <w:t> </w:t>
      </w:r>
      <w:r w:rsidRPr="00190059">
        <w:t>million received during the year from INPEX for the establishment of the North Australian Centre for Oil and Gas</w:t>
      </w:r>
      <w:r w:rsidR="00E61CCB">
        <w:t xml:space="preserve"> (NACOG).</w:t>
      </w:r>
      <w:r w:rsidR="009868FF">
        <w:t xml:space="preserve"> </w:t>
      </w:r>
      <w:r w:rsidRPr="00190059">
        <w:t xml:space="preserve"> Trust distrib</w:t>
      </w:r>
      <w:r w:rsidR="0083079C">
        <w:t>utions also increased from $1.</w:t>
      </w:r>
      <w:r w:rsidR="0087017B">
        <w:t>1</w:t>
      </w:r>
      <w:r w:rsidR="005D307D" w:rsidRPr="002C6B7F">
        <w:t> </w:t>
      </w:r>
      <w:r w:rsidRPr="00190059">
        <w:t>million in 2011 to $2.</w:t>
      </w:r>
      <w:r w:rsidR="0083079C">
        <w:t>4</w:t>
      </w:r>
      <w:r w:rsidR="005D307D" w:rsidRPr="002C6B7F">
        <w:t> </w:t>
      </w:r>
      <w:r w:rsidRPr="00190059">
        <w:t>million in 2012</w:t>
      </w:r>
      <w:r w:rsidR="005D307D">
        <w:t>, including $1.1</w:t>
      </w:r>
      <w:r w:rsidR="005D307D" w:rsidRPr="002C6B7F">
        <w:t> </w:t>
      </w:r>
      <w:r w:rsidR="00E61CCB">
        <w:t>million of the donation to establish the NACOG,</w:t>
      </w:r>
      <w:r w:rsidRPr="00190059">
        <w:t xml:space="preserve"> </w:t>
      </w:r>
      <w:r w:rsidR="00E61CCB">
        <w:t xml:space="preserve">with the net result being a </w:t>
      </w:r>
      <w:r w:rsidR="005D307D">
        <w:t>surplus for the year of $2.1</w:t>
      </w:r>
      <w:r w:rsidR="005D307D" w:rsidRPr="002C6B7F">
        <w:t> </w:t>
      </w:r>
      <w:r w:rsidRPr="00190059">
        <w:t xml:space="preserve">million.  </w:t>
      </w:r>
    </w:p>
    <w:p w:rsidR="00A24915" w:rsidRPr="00732782" w:rsidRDefault="00A24915" w:rsidP="0083183F">
      <w:pPr>
        <w:pStyle w:val="AGRHeading1"/>
      </w:pPr>
      <w:r w:rsidRPr="00732782">
        <w:t>Charles Darwin University Foundation</w:t>
      </w:r>
      <w:r w:rsidR="00C13E34" w:rsidRPr="00732782">
        <w:t xml:space="preserve"> cont…</w:t>
      </w:r>
    </w:p>
    <w:p w:rsidR="005D71CD" w:rsidRPr="00732782" w:rsidRDefault="005602EC" w:rsidP="009868FF">
      <w:pPr>
        <w:pStyle w:val="AGRHeading3"/>
      </w:pPr>
      <w:r>
        <w:t>Financial Position at year end</w:t>
      </w:r>
      <w:r w:rsidR="00EC0688" w:rsidRPr="00732782">
        <w:t xml:space="preserve"> – </w:t>
      </w:r>
      <w:r w:rsidR="00845BC4">
        <w:t>CDU Foundation</w:t>
      </w:r>
      <w:r w:rsidR="009868FF">
        <w:t xml:space="preserve"> – </w:t>
      </w:r>
      <w:r w:rsidR="00845BC4">
        <w:t xml:space="preserve">Trust </w:t>
      </w:r>
      <w:r w:rsidR="00EC0688" w:rsidRPr="00732782">
        <w:t>Only</w:t>
      </w:r>
    </w:p>
    <w:tbl>
      <w:tblPr>
        <w:tblW w:w="7371" w:type="dxa"/>
        <w:tblInd w:w="851" w:type="dxa"/>
        <w:tblLook w:val="01E0" w:firstRow="1" w:lastRow="1" w:firstColumn="1" w:lastColumn="1" w:noHBand="0" w:noVBand="0"/>
      </w:tblPr>
      <w:tblGrid>
        <w:gridCol w:w="4728"/>
        <w:gridCol w:w="1322"/>
        <w:gridCol w:w="1321"/>
      </w:tblGrid>
      <w:tr w:rsidR="005D71CD" w:rsidRPr="00732782" w:rsidTr="002C0576">
        <w:tc>
          <w:tcPr>
            <w:tcW w:w="4728" w:type="dxa"/>
            <w:tcBorders>
              <w:bottom w:val="single" w:sz="4" w:space="0" w:color="auto"/>
            </w:tcBorders>
          </w:tcPr>
          <w:p w:rsidR="005D71CD" w:rsidRPr="00732782" w:rsidRDefault="005D71CD" w:rsidP="002C0576">
            <w:pPr>
              <w:pStyle w:val="AGRTableText"/>
            </w:pPr>
          </w:p>
        </w:tc>
        <w:tc>
          <w:tcPr>
            <w:tcW w:w="1322" w:type="dxa"/>
            <w:tcBorders>
              <w:bottom w:val="single" w:sz="4" w:space="0" w:color="auto"/>
            </w:tcBorders>
          </w:tcPr>
          <w:p w:rsidR="005D71CD" w:rsidRPr="00732782" w:rsidRDefault="005D71CD" w:rsidP="00036669">
            <w:pPr>
              <w:pStyle w:val="AGRTableText"/>
              <w:tabs>
                <w:tab w:val="center" w:pos="570"/>
              </w:tabs>
            </w:pPr>
            <w:r w:rsidRPr="00732782">
              <w:tab/>
            </w:r>
            <w:r w:rsidR="00313635">
              <w:t>201</w:t>
            </w:r>
            <w:r w:rsidR="00036669">
              <w:t>2</w:t>
            </w:r>
          </w:p>
        </w:tc>
        <w:tc>
          <w:tcPr>
            <w:tcW w:w="1321" w:type="dxa"/>
            <w:tcBorders>
              <w:bottom w:val="single" w:sz="4" w:space="0" w:color="auto"/>
            </w:tcBorders>
          </w:tcPr>
          <w:p w:rsidR="005D71CD" w:rsidRPr="00732782" w:rsidRDefault="005602EC" w:rsidP="00036669">
            <w:pPr>
              <w:pStyle w:val="AGRTableText"/>
              <w:tabs>
                <w:tab w:val="center" w:pos="570"/>
              </w:tabs>
            </w:pPr>
            <w:r>
              <w:tab/>
            </w:r>
            <w:r w:rsidR="00982C76">
              <w:t>201</w:t>
            </w:r>
            <w:r w:rsidR="00036669">
              <w:t>1</w:t>
            </w:r>
          </w:p>
        </w:tc>
      </w:tr>
      <w:tr w:rsidR="005D71CD" w:rsidRPr="00732782" w:rsidTr="002C0576">
        <w:tc>
          <w:tcPr>
            <w:tcW w:w="4728" w:type="dxa"/>
            <w:tcBorders>
              <w:top w:val="single" w:sz="4" w:space="0" w:color="auto"/>
            </w:tcBorders>
          </w:tcPr>
          <w:p w:rsidR="005D71CD" w:rsidRPr="00732782" w:rsidRDefault="005D71CD" w:rsidP="002C0576">
            <w:pPr>
              <w:pStyle w:val="AGRTableText"/>
            </w:pPr>
          </w:p>
        </w:tc>
        <w:tc>
          <w:tcPr>
            <w:tcW w:w="1322" w:type="dxa"/>
            <w:tcBorders>
              <w:top w:val="single" w:sz="4" w:space="0" w:color="auto"/>
            </w:tcBorders>
          </w:tcPr>
          <w:p w:rsidR="005D71CD" w:rsidRPr="00732782" w:rsidRDefault="005D71CD" w:rsidP="002C0576">
            <w:pPr>
              <w:pStyle w:val="AGRTableText"/>
              <w:tabs>
                <w:tab w:val="center" w:pos="570"/>
              </w:tabs>
            </w:pPr>
            <w:r w:rsidRPr="00732782">
              <w:tab/>
              <w:t>$’000</w:t>
            </w:r>
          </w:p>
        </w:tc>
        <w:tc>
          <w:tcPr>
            <w:tcW w:w="1321" w:type="dxa"/>
            <w:tcBorders>
              <w:top w:val="single" w:sz="4" w:space="0" w:color="auto"/>
            </w:tcBorders>
          </w:tcPr>
          <w:p w:rsidR="005D71CD" w:rsidRPr="00732782" w:rsidRDefault="005D71CD" w:rsidP="002C0576">
            <w:pPr>
              <w:pStyle w:val="AGRTableText"/>
              <w:tabs>
                <w:tab w:val="center" w:pos="570"/>
              </w:tabs>
            </w:pPr>
            <w:r w:rsidRPr="00732782">
              <w:tab/>
              <w:t>$’000</w:t>
            </w:r>
          </w:p>
        </w:tc>
      </w:tr>
      <w:tr w:rsidR="00036669" w:rsidRPr="00732782" w:rsidTr="002C0576">
        <w:tc>
          <w:tcPr>
            <w:tcW w:w="4728" w:type="dxa"/>
          </w:tcPr>
          <w:p w:rsidR="00036669" w:rsidRPr="00732782" w:rsidRDefault="00036669" w:rsidP="009868FF">
            <w:pPr>
              <w:pStyle w:val="AGRTableText"/>
            </w:pPr>
            <w:r w:rsidRPr="00732782">
              <w:t xml:space="preserve">Current </w:t>
            </w:r>
            <w:r w:rsidR="009868FF">
              <w:t>a</w:t>
            </w:r>
            <w:r w:rsidRPr="00732782">
              <w:t>ssets</w:t>
            </w:r>
          </w:p>
        </w:tc>
        <w:tc>
          <w:tcPr>
            <w:tcW w:w="1322" w:type="dxa"/>
          </w:tcPr>
          <w:p w:rsidR="00036669" w:rsidRPr="00732782" w:rsidRDefault="00190059" w:rsidP="002C0576">
            <w:pPr>
              <w:pStyle w:val="AGRTableNumbers"/>
            </w:pPr>
            <w:r>
              <w:t>6,588</w:t>
            </w:r>
          </w:p>
        </w:tc>
        <w:tc>
          <w:tcPr>
            <w:tcW w:w="1321" w:type="dxa"/>
          </w:tcPr>
          <w:p w:rsidR="00036669" w:rsidRPr="00732782" w:rsidRDefault="00036669" w:rsidP="00B94157">
            <w:pPr>
              <w:pStyle w:val="AGRTableNumbers"/>
            </w:pPr>
            <w:r>
              <w:t>4,529</w:t>
            </w:r>
          </w:p>
        </w:tc>
      </w:tr>
      <w:tr w:rsidR="00036669" w:rsidRPr="00732782" w:rsidTr="002C0576">
        <w:tc>
          <w:tcPr>
            <w:tcW w:w="4728" w:type="dxa"/>
          </w:tcPr>
          <w:p w:rsidR="00036669" w:rsidRPr="00732782" w:rsidRDefault="009868FF" w:rsidP="009868FF">
            <w:pPr>
              <w:pStyle w:val="AGRTableText"/>
            </w:pPr>
            <w:r>
              <w:t>Less c</w:t>
            </w:r>
            <w:r w:rsidR="00036669" w:rsidRPr="00732782">
              <w:t xml:space="preserve">urrent </w:t>
            </w:r>
            <w:r>
              <w:t>l</w:t>
            </w:r>
            <w:r w:rsidR="00036669" w:rsidRPr="00732782">
              <w:t>iabilities</w:t>
            </w:r>
          </w:p>
        </w:tc>
        <w:tc>
          <w:tcPr>
            <w:tcW w:w="1322" w:type="dxa"/>
          </w:tcPr>
          <w:p w:rsidR="00036669" w:rsidRPr="00732782" w:rsidRDefault="00190059" w:rsidP="002C0576">
            <w:pPr>
              <w:pStyle w:val="AGRTableText"/>
              <w:tabs>
                <w:tab w:val="decimal" w:pos="811"/>
              </w:tabs>
            </w:pPr>
            <w:r>
              <w:t>-</w:t>
            </w:r>
          </w:p>
        </w:tc>
        <w:tc>
          <w:tcPr>
            <w:tcW w:w="1321" w:type="dxa"/>
          </w:tcPr>
          <w:p w:rsidR="00036669" w:rsidRPr="00732782" w:rsidRDefault="00036669" w:rsidP="00B94157">
            <w:pPr>
              <w:pStyle w:val="AGRTableText"/>
              <w:tabs>
                <w:tab w:val="decimal" w:pos="811"/>
              </w:tabs>
            </w:pPr>
            <w:r>
              <w:t>(17)</w:t>
            </w:r>
          </w:p>
        </w:tc>
      </w:tr>
      <w:tr w:rsidR="00036669" w:rsidRPr="00732782" w:rsidTr="002C0576">
        <w:tc>
          <w:tcPr>
            <w:tcW w:w="4728" w:type="dxa"/>
            <w:tcBorders>
              <w:bottom w:val="single" w:sz="4" w:space="0" w:color="auto"/>
            </w:tcBorders>
          </w:tcPr>
          <w:p w:rsidR="00036669" w:rsidRPr="00732782" w:rsidRDefault="00036669" w:rsidP="009868FF">
            <w:pPr>
              <w:pStyle w:val="AGRTableTextBold"/>
            </w:pPr>
            <w:r w:rsidRPr="00732782">
              <w:t xml:space="preserve">Working </w:t>
            </w:r>
            <w:r w:rsidR="009868FF">
              <w:t>c</w:t>
            </w:r>
            <w:r w:rsidRPr="00732782">
              <w:t>apital</w:t>
            </w:r>
          </w:p>
        </w:tc>
        <w:tc>
          <w:tcPr>
            <w:tcW w:w="1322" w:type="dxa"/>
            <w:tcBorders>
              <w:bottom w:val="single" w:sz="4" w:space="0" w:color="auto"/>
            </w:tcBorders>
          </w:tcPr>
          <w:p w:rsidR="00036669" w:rsidRPr="00732782" w:rsidRDefault="00190059" w:rsidP="002C0576">
            <w:pPr>
              <w:pStyle w:val="AGRTableNumbersBold"/>
            </w:pPr>
            <w:r>
              <w:t>6,588</w:t>
            </w:r>
          </w:p>
        </w:tc>
        <w:tc>
          <w:tcPr>
            <w:tcW w:w="1321" w:type="dxa"/>
            <w:tcBorders>
              <w:bottom w:val="single" w:sz="4" w:space="0" w:color="auto"/>
            </w:tcBorders>
          </w:tcPr>
          <w:p w:rsidR="00036669" w:rsidRPr="00732782" w:rsidRDefault="00036669" w:rsidP="00B94157">
            <w:pPr>
              <w:pStyle w:val="AGRTableNumbersBold"/>
            </w:pPr>
            <w:r>
              <w:t>4,512</w:t>
            </w:r>
          </w:p>
        </w:tc>
      </w:tr>
      <w:tr w:rsidR="00036669" w:rsidRPr="00732782" w:rsidTr="002C0576">
        <w:tc>
          <w:tcPr>
            <w:tcW w:w="4728" w:type="dxa"/>
            <w:tcBorders>
              <w:top w:val="single" w:sz="4" w:space="0" w:color="auto"/>
            </w:tcBorders>
          </w:tcPr>
          <w:p w:rsidR="00036669" w:rsidRPr="00732782" w:rsidRDefault="009868FF" w:rsidP="009868FF">
            <w:pPr>
              <w:pStyle w:val="AGRTableText"/>
            </w:pPr>
            <w:r>
              <w:t>Add non c</w:t>
            </w:r>
            <w:r w:rsidR="00036669" w:rsidRPr="00732782">
              <w:t xml:space="preserve">urrent </w:t>
            </w:r>
            <w:r>
              <w:t>a</w:t>
            </w:r>
            <w:r w:rsidR="00036669" w:rsidRPr="00732782">
              <w:t>ssets</w:t>
            </w:r>
          </w:p>
        </w:tc>
        <w:tc>
          <w:tcPr>
            <w:tcW w:w="1322" w:type="dxa"/>
            <w:tcBorders>
              <w:top w:val="single" w:sz="4" w:space="0" w:color="auto"/>
            </w:tcBorders>
          </w:tcPr>
          <w:p w:rsidR="00036669" w:rsidRPr="00732782" w:rsidRDefault="00190059" w:rsidP="002C0576">
            <w:pPr>
              <w:pStyle w:val="AGRTableText"/>
              <w:tabs>
                <w:tab w:val="decimal" w:pos="811"/>
              </w:tabs>
            </w:pPr>
            <w:r>
              <w:t>463</w:t>
            </w:r>
          </w:p>
        </w:tc>
        <w:tc>
          <w:tcPr>
            <w:tcW w:w="1321" w:type="dxa"/>
            <w:tcBorders>
              <w:top w:val="single" w:sz="4" w:space="0" w:color="auto"/>
            </w:tcBorders>
          </w:tcPr>
          <w:p w:rsidR="00036669" w:rsidRPr="00732782" w:rsidRDefault="00036669" w:rsidP="00B94157">
            <w:pPr>
              <w:pStyle w:val="AGRTableText"/>
              <w:tabs>
                <w:tab w:val="decimal" w:pos="811"/>
              </w:tabs>
            </w:pPr>
            <w:r>
              <w:t>411</w:t>
            </w:r>
          </w:p>
        </w:tc>
      </w:tr>
      <w:tr w:rsidR="00036669" w:rsidRPr="00732782" w:rsidTr="002C0576">
        <w:tc>
          <w:tcPr>
            <w:tcW w:w="4728" w:type="dxa"/>
            <w:tcBorders>
              <w:bottom w:val="single" w:sz="4" w:space="0" w:color="auto"/>
            </w:tcBorders>
          </w:tcPr>
          <w:p w:rsidR="00036669" w:rsidRPr="00732782" w:rsidRDefault="009868FF" w:rsidP="002C0576">
            <w:pPr>
              <w:pStyle w:val="AGRTableTextBold"/>
            </w:pPr>
            <w:r>
              <w:t>Net a</w:t>
            </w:r>
            <w:r w:rsidR="00036669" w:rsidRPr="00732782">
              <w:t>ssets</w:t>
            </w:r>
          </w:p>
        </w:tc>
        <w:tc>
          <w:tcPr>
            <w:tcW w:w="1322" w:type="dxa"/>
            <w:tcBorders>
              <w:bottom w:val="single" w:sz="4" w:space="0" w:color="auto"/>
            </w:tcBorders>
          </w:tcPr>
          <w:p w:rsidR="00036669" w:rsidRPr="00732782" w:rsidRDefault="00190059" w:rsidP="002C0576">
            <w:pPr>
              <w:pStyle w:val="AGRTableNumbersBold"/>
            </w:pPr>
            <w:r>
              <w:t>7,051</w:t>
            </w:r>
          </w:p>
        </w:tc>
        <w:tc>
          <w:tcPr>
            <w:tcW w:w="1321" w:type="dxa"/>
            <w:tcBorders>
              <w:bottom w:val="single" w:sz="4" w:space="0" w:color="auto"/>
            </w:tcBorders>
          </w:tcPr>
          <w:p w:rsidR="00036669" w:rsidRPr="00732782" w:rsidRDefault="00036669" w:rsidP="00B94157">
            <w:pPr>
              <w:pStyle w:val="AGRTableNumbersBold"/>
            </w:pPr>
            <w:r>
              <w:t>4,923</w:t>
            </w:r>
          </w:p>
        </w:tc>
      </w:tr>
      <w:tr w:rsidR="00036669" w:rsidRPr="00732782" w:rsidTr="002C0576">
        <w:tc>
          <w:tcPr>
            <w:tcW w:w="4728" w:type="dxa"/>
            <w:tcBorders>
              <w:top w:val="single" w:sz="4" w:space="0" w:color="auto"/>
            </w:tcBorders>
          </w:tcPr>
          <w:p w:rsidR="00036669" w:rsidRPr="00732782" w:rsidRDefault="00036669" w:rsidP="002C0576">
            <w:pPr>
              <w:pStyle w:val="AGRTableText"/>
            </w:pPr>
            <w:r w:rsidRPr="00732782">
              <w:t>Represented by:</w:t>
            </w:r>
          </w:p>
        </w:tc>
        <w:tc>
          <w:tcPr>
            <w:tcW w:w="1322" w:type="dxa"/>
            <w:tcBorders>
              <w:top w:val="single" w:sz="4" w:space="0" w:color="auto"/>
            </w:tcBorders>
          </w:tcPr>
          <w:p w:rsidR="00036669" w:rsidRPr="00732782" w:rsidRDefault="00036669" w:rsidP="002C0576">
            <w:pPr>
              <w:pStyle w:val="AGRTableNumbers"/>
            </w:pPr>
          </w:p>
        </w:tc>
        <w:tc>
          <w:tcPr>
            <w:tcW w:w="1321" w:type="dxa"/>
            <w:tcBorders>
              <w:top w:val="single" w:sz="4" w:space="0" w:color="auto"/>
            </w:tcBorders>
          </w:tcPr>
          <w:p w:rsidR="00036669" w:rsidRPr="00732782" w:rsidRDefault="00036669" w:rsidP="00B94157">
            <w:pPr>
              <w:pStyle w:val="AGRTableNumbers"/>
            </w:pPr>
          </w:p>
        </w:tc>
      </w:tr>
      <w:tr w:rsidR="00036669" w:rsidRPr="00732782" w:rsidTr="002C0576">
        <w:tc>
          <w:tcPr>
            <w:tcW w:w="4728" w:type="dxa"/>
          </w:tcPr>
          <w:p w:rsidR="00036669" w:rsidRPr="00732782" w:rsidRDefault="00036669" w:rsidP="009868FF">
            <w:pPr>
              <w:pStyle w:val="AGRTableText"/>
            </w:pPr>
            <w:r w:rsidRPr="00732782">
              <w:t xml:space="preserve">Investment </w:t>
            </w:r>
            <w:r w:rsidR="009868FF">
              <w:t>r</w:t>
            </w:r>
            <w:r w:rsidRPr="00732782">
              <w:t xml:space="preserve">evaluation </w:t>
            </w:r>
            <w:r w:rsidR="009868FF">
              <w:t>r</w:t>
            </w:r>
            <w:r w:rsidRPr="00732782">
              <w:t>eserve</w:t>
            </w:r>
          </w:p>
        </w:tc>
        <w:tc>
          <w:tcPr>
            <w:tcW w:w="1322" w:type="dxa"/>
          </w:tcPr>
          <w:p w:rsidR="00036669" w:rsidRPr="00732782" w:rsidRDefault="00190059" w:rsidP="002C0576">
            <w:pPr>
              <w:pStyle w:val="AGRTableNumbers"/>
            </w:pPr>
            <w:r>
              <w:t>109</w:t>
            </w:r>
          </w:p>
        </w:tc>
        <w:tc>
          <w:tcPr>
            <w:tcW w:w="1321" w:type="dxa"/>
          </w:tcPr>
          <w:p w:rsidR="00036669" w:rsidRPr="00732782" w:rsidRDefault="00036669" w:rsidP="00B94157">
            <w:pPr>
              <w:pStyle w:val="AGRTableNumbers"/>
            </w:pPr>
            <w:r>
              <w:t>66</w:t>
            </w:r>
          </w:p>
        </w:tc>
      </w:tr>
      <w:tr w:rsidR="00036669" w:rsidRPr="00732782" w:rsidTr="002C0576">
        <w:tc>
          <w:tcPr>
            <w:tcW w:w="4728" w:type="dxa"/>
          </w:tcPr>
          <w:p w:rsidR="00036669" w:rsidRPr="00732782" w:rsidRDefault="009868FF" w:rsidP="002C0576">
            <w:pPr>
              <w:pStyle w:val="AGRTableText"/>
            </w:pPr>
            <w:r>
              <w:t>Retained e</w:t>
            </w:r>
            <w:r w:rsidR="00036669" w:rsidRPr="00732782">
              <w:t>arnings</w:t>
            </w:r>
          </w:p>
        </w:tc>
        <w:tc>
          <w:tcPr>
            <w:tcW w:w="1322" w:type="dxa"/>
          </w:tcPr>
          <w:p w:rsidR="00036669" w:rsidRPr="00732782" w:rsidRDefault="00190059" w:rsidP="002C0576">
            <w:pPr>
              <w:pStyle w:val="AGRTableNumbers"/>
            </w:pPr>
            <w:r>
              <w:t>6,942</w:t>
            </w:r>
          </w:p>
        </w:tc>
        <w:tc>
          <w:tcPr>
            <w:tcW w:w="1321" w:type="dxa"/>
          </w:tcPr>
          <w:p w:rsidR="00036669" w:rsidRPr="00732782" w:rsidRDefault="00036669" w:rsidP="00B94157">
            <w:pPr>
              <w:pStyle w:val="AGRTableNumbers"/>
            </w:pPr>
            <w:r>
              <w:t>4,857</w:t>
            </w:r>
          </w:p>
        </w:tc>
      </w:tr>
      <w:tr w:rsidR="00036669" w:rsidRPr="00732782" w:rsidTr="002C0576">
        <w:tc>
          <w:tcPr>
            <w:tcW w:w="4728" w:type="dxa"/>
            <w:tcBorders>
              <w:bottom w:val="single" w:sz="4" w:space="0" w:color="auto"/>
            </w:tcBorders>
          </w:tcPr>
          <w:p w:rsidR="00036669" w:rsidRPr="00732782" w:rsidRDefault="009868FF" w:rsidP="009868FF">
            <w:pPr>
              <w:pStyle w:val="AGRTableTextBold"/>
            </w:pPr>
            <w:r>
              <w:t>Total T</w:t>
            </w:r>
            <w:r w:rsidR="001610DF">
              <w:t xml:space="preserve">rust </w:t>
            </w:r>
            <w:r>
              <w:t>f</w:t>
            </w:r>
            <w:r w:rsidR="001610DF">
              <w:t>unds</w:t>
            </w:r>
          </w:p>
        </w:tc>
        <w:tc>
          <w:tcPr>
            <w:tcW w:w="1322" w:type="dxa"/>
            <w:tcBorders>
              <w:bottom w:val="single" w:sz="4" w:space="0" w:color="auto"/>
            </w:tcBorders>
          </w:tcPr>
          <w:p w:rsidR="00036669" w:rsidRPr="00732782" w:rsidRDefault="001610DF" w:rsidP="002C0576">
            <w:pPr>
              <w:pStyle w:val="AGRTableNumbersBold"/>
            </w:pPr>
            <w:r>
              <w:t>7,051</w:t>
            </w:r>
          </w:p>
        </w:tc>
        <w:tc>
          <w:tcPr>
            <w:tcW w:w="1321" w:type="dxa"/>
            <w:tcBorders>
              <w:bottom w:val="single" w:sz="4" w:space="0" w:color="auto"/>
            </w:tcBorders>
          </w:tcPr>
          <w:p w:rsidR="00036669" w:rsidRPr="00732782" w:rsidRDefault="00036669" w:rsidP="00B94157">
            <w:pPr>
              <w:pStyle w:val="AGRTableNumbersBold"/>
            </w:pPr>
            <w:r>
              <w:t>4,923</w:t>
            </w:r>
          </w:p>
        </w:tc>
      </w:tr>
    </w:tbl>
    <w:p w:rsidR="005D71CD" w:rsidRDefault="005D71CD" w:rsidP="002F4F0B">
      <w:pPr>
        <w:pStyle w:val="AGRBodyText"/>
      </w:pPr>
    </w:p>
    <w:p w:rsidR="00B225D1" w:rsidRPr="00732782" w:rsidRDefault="00134C8F" w:rsidP="0083183F">
      <w:pPr>
        <w:pStyle w:val="AGRHeading1"/>
      </w:pPr>
      <w:bookmarkStart w:id="18" w:name="DCIS"/>
      <w:r>
        <w:t>Department of Corporate and Information Systems</w:t>
      </w:r>
      <w:bookmarkEnd w:id="18"/>
    </w:p>
    <w:p w:rsidR="00B225D1" w:rsidRDefault="00134C8F" w:rsidP="00B225D1">
      <w:pPr>
        <w:pStyle w:val="AGRHeading2"/>
      </w:pPr>
      <w:bookmarkStart w:id="19" w:name="electronic_funds_transfer_system"/>
      <w:r>
        <w:t>Electronic Funds Transfer System</w:t>
      </w:r>
      <w:bookmarkEnd w:id="19"/>
    </w:p>
    <w:p w:rsidR="00B225D1" w:rsidRPr="00732782" w:rsidRDefault="00B225D1" w:rsidP="00C708C3">
      <w:pPr>
        <w:pStyle w:val="AGRHeading3"/>
      </w:pPr>
      <w:r w:rsidRPr="00732782">
        <w:t>Background</w:t>
      </w:r>
    </w:p>
    <w:p w:rsidR="00873939" w:rsidRDefault="00697BCF" w:rsidP="002F4F0B">
      <w:pPr>
        <w:pStyle w:val="AGRBodyText"/>
      </w:pPr>
      <w:r>
        <w:t xml:space="preserve">The </w:t>
      </w:r>
      <w:r w:rsidR="004E79EB">
        <w:t>transfer</w:t>
      </w:r>
      <w:r>
        <w:t xml:space="preserve"> of </w:t>
      </w:r>
      <w:r w:rsidR="004E79EB">
        <w:t xml:space="preserve">the Northern Territory Government’s </w:t>
      </w:r>
      <w:r>
        <w:t xml:space="preserve">banking services from the Westpac Banking Corporation to the National Australia Bank </w:t>
      </w:r>
      <w:r w:rsidR="00873939">
        <w:t xml:space="preserve">in 2012 </w:t>
      </w:r>
      <w:r w:rsidR="004E79EB">
        <w:t>was accompanied by</w:t>
      </w:r>
      <w:r>
        <w:t xml:space="preserve"> a number of changes to the</w:t>
      </w:r>
      <w:r w:rsidR="004E79EB">
        <w:t xml:space="preserve"> </w:t>
      </w:r>
      <w:r>
        <w:t>Government</w:t>
      </w:r>
      <w:r w:rsidR="004E79EB">
        <w:t>’s</w:t>
      </w:r>
      <w:r>
        <w:t xml:space="preserve"> systems and processes</w:t>
      </w:r>
      <w:r w:rsidR="004E79EB">
        <w:t xml:space="preserve">, including changes to </w:t>
      </w:r>
      <w:r w:rsidR="004E79EB" w:rsidRPr="00A13AB6">
        <w:t>elec</w:t>
      </w:r>
      <w:r w:rsidRPr="00A13AB6">
        <w:t>tronic funds</w:t>
      </w:r>
      <w:r w:rsidR="00873939" w:rsidRPr="00A13AB6">
        <w:t xml:space="preserve"> </w:t>
      </w:r>
      <w:r w:rsidR="00697169" w:rsidRPr="00A13AB6">
        <w:t xml:space="preserve">transfer </w:t>
      </w:r>
      <w:r w:rsidR="00873939" w:rsidRPr="00A13AB6">
        <w:t>systems</w:t>
      </w:r>
      <w:r w:rsidR="00697169" w:rsidRPr="00A13AB6">
        <w:t xml:space="preserve"> </w:t>
      </w:r>
      <w:r w:rsidR="004E79EB" w:rsidRPr="00A13AB6">
        <w:t>that</w:t>
      </w:r>
      <w:r w:rsidR="004E79EB">
        <w:t xml:space="preserve"> are used</w:t>
      </w:r>
      <w:r w:rsidR="00873939">
        <w:t xml:space="preserve"> to process payments to creditors and employees</w:t>
      </w:r>
      <w:r>
        <w:t>.</w:t>
      </w:r>
    </w:p>
    <w:p w:rsidR="00697BCF" w:rsidRDefault="00697BCF" w:rsidP="002F4F0B">
      <w:pPr>
        <w:pStyle w:val="AGRBodyText"/>
      </w:pPr>
      <w:r>
        <w:t xml:space="preserve">This </w:t>
      </w:r>
      <w:r w:rsidR="00873939">
        <w:t>audit</w:t>
      </w:r>
      <w:r>
        <w:t xml:space="preserve"> focused on ensuring that appropriate controls had been designed and implemented to address key risks associated with electronic payments.</w:t>
      </w:r>
    </w:p>
    <w:p w:rsidR="00697BCF" w:rsidRDefault="00697BCF" w:rsidP="00697BCF">
      <w:pPr>
        <w:pStyle w:val="AGRHeading3"/>
      </w:pPr>
      <w:r>
        <w:t>Key Findings</w:t>
      </w:r>
    </w:p>
    <w:p w:rsidR="00873939" w:rsidRDefault="00873939" w:rsidP="002F4F0B">
      <w:pPr>
        <w:pStyle w:val="AGRBodyText"/>
      </w:pPr>
      <w:r>
        <w:t xml:space="preserve">The audit found that appropriate </w:t>
      </w:r>
      <w:r w:rsidR="00697BCF" w:rsidRPr="00697BCF">
        <w:t xml:space="preserve">security </w:t>
      </w:r>
      <w:r>
        <w:t>had</w:t>
      </w:r>
      <w:r w:rsidR="00697BCF" w:rsidRPr="00697BCF">
        <w:t xml:space="preserve"> been established within the system to restrict access to sensitive functions. </w:t>
      </w:r>
      <w:r w:rsidR="004B0301">
        <w:t xml:space="preserve"> </w:t>
      </w:r>
      <w:r>
        <w:t>It was also noted that the</w:t>
      </w:r>
      <w:r w:rsidR="00697BCF" w:rsidRPr="00697BCF">
        <w:t xml:space="preserve"> rules </w:t>
      </w:r>
      <w:r w:rsidR="00697169">
        <w:t xml:space="preserve">for </w:t>
      </w:r>
      <w:r>
        <w:t>system security had been</w:t>
      </w:r>
      <w:r w:rsidR="00697BCF" w:rsidRPr="00697BCF">
        <w:t xml:space="preserve"> configured to </w:t>
      </w:r>
      <w:r>
        <w:t>achieve</w:t>
      </w:r>
      <w:r w:rsidR="00697BCF" w:rsidRPr="00697BCF">
        <w:t xml:space="preserve"> segregation of duties </w:t>
      </w:r>
      <w:r>
        <w:t>in order to avoid circumstances where one person had control over successive stages of the approval and payment process.</w:t>
      </w:r>
    </w:p>
    <w:p w:rsidR="00F158C4" w:rsidRDefault="00F158C4" w:rsidP="002F4F0B">
      <w:pPr>
        <w:pStyle w:val="AGRBodyText"/>
      </w:pPr>
      <w:r>
        <w:t>The level of</w:t>
      </w:r>
      <w:r w:rsidRPr="00697BCF">
        <w:t xml:space="preserve"> approval require</w:t>
      </w:r>
      <w:r>
        <w:t>d</w:t>
      </w:r>
      <w:r w:rsidRPr="00697BCF">
        <w:t xml:space="preserve"> </w:t>
      </w:r>
      <w:r w:rsidR="00FF2661">
        <w:t>f</w:t>
      </w:r>
      <w:r w:rsidRPr="00697BCF">
        <w:t xml:space="preserve">or </w:t>
      </w:r>
      <w:r>
        <w:t xml:space="preserve">system changes and for the initiation of </w:t>
      </w:r>
      <w:r w:rsidRPr="00697BCF">
        <w:t xml:space="preserve">transactions </w:t>
      </w:r>
      <w:r>
        <w:t>was considered adequate</w:t>
      </w:r>
      <w:r w:rsidRPr="00697BCF">
        <w:t>.</w:t>
      </w:r>
      <w:r>
        <w:t xml:space="preserve">  </w:t>
      </w:r>
      <w:r w:rsidRPr="00697BCF">
        <w:t>User identification and authentication controls ha</w:t>
      </w:r>
      <w:r>
        <w:t>d</w:t>
      </w:r>
      <w:r w:rsidRPr="00697BCF">
        <w:t xml:space="preserve"> been implemented within the system</w:t>
      </w:r>
      <w:r>
        <w:t>, with those controls being considered to be satisfactory.</w:t>
      </w:r>
    </w:p>
    <w:p w:rsidR="004C616D" w:rsidRPr="00697BCF" w:rsidRDefault="004C616D" w:rsidP="002F4F0B">
      <w:pPr>
        <w:pStyle w:val="AGRBodyText"/>
      </w:pPr>
      <w:r w:rsidRPr="00697BCF">
        <w:t xml:space="preserve">It was noted that </w:t>
      </w:r>
      <w:r w:rsidR="00A34530">
        <w:t xml:space="preserve">the </w:t>
      </w:r>
      <w:r>
        <w:t xml:space="preserve">system had only limited reporting capability in respect of </w:t>
      </w:r>
      <w:r w:rsidRPr="00697BCF">
        <w:t xml:space="preserve">security event and audit log </w:t>
      </w:r>
      <w:r w:rsidRPr="00BF1680">
        <w:t>reporting</w:t>
      </w:r>
      <w:r w:rsidR="00A049AD">
        <w:t>.  This</w:t>
      </w:r>
      <w:r w:rsidRPr="00BF1680">
        <w:t xml:space="preserve"> limitation</w:t>
      </w:r>
      <w:r>
        <w:t xml:space="preserve"> had the potential to restrict</w:t>
      </w:r>
      <w:r w:rsidRPr="00697BCF">
        <w:t xml:space="preserve"> management’s ability to monitor performance of sensitive activities within the system.</w:t>
      </w:r>
    </w:p>
    <w:p w:rsidR="004C616D" w:rsidRPr="00697BCF" w:rsidRDefault="004C616D" w:rsidP="002F4F0B">
      <w:pPr>
        <w:pStyle w:val="AGRBodyText"/>
      </w:pPr>
      <w:r w:rsidRPr="00697BCF">
        <w:t>It was</w:t>
      </w:r>
      <w:r>
        <w:t xml:space="preserve"> also</w:t>
      </w:r>
      <w:r w:rsidRPr="00697BCF">
        <w:t xml:space="preserve"> noted that limited procedures and standards exist</w:t>
      </w:r>
      <w:r w:rsidR="00697169">
        <w:t>ed</w:t>
      </w:r>
      <w:r w:rsidRPr="00697BCF">
        <w:t xml:space="preserve"> to guide</w:t>
      </w:r>
      <w:r>
        <w:t xml:space="preserve"> those responsible for the</w:t>
      </w:r>
      <w:r w:rsidRPr="00697BCF">
        <w:t xml:space="preserve"> management of the system. </w:t>
      </w:r>
      <w:r>
        <w:t xml:space="preserve"> Those </w:t>
      </w:r>
      <w:r w:rsidRPr="00697BCF">
        <w:t xml:space="preserve">procedures are </w:t>
      </w:r>
      <w:r>
        <w:t xml:space="preserve">considered to be </w:t>
      </w:r>
      <w:r w:rsidRPr="00697BCF">
        <w:t xml:space="preserve">important </w:t>
      </w:r>
      <w:r>
        <w:t>in ensuring</w:t>
      </w:r>
      <w:r w:rsidRPr="00697BCF">
        <w:t xml:space="preserve"> that controls are consistently applied in the management of </w:t>
      </w:r>
      <w:r>
        <w:t xml:space="preserve">what is a </w:t>
      </w:r>
      <w:r w:rsidRPr="00697BCF">
        <w:t>sensitive system.</w:t>
      </w:r>
    </w:p>
    <w:p w:rsidR="004C616D" w:rsidRDefault="004C616D" w:rsidP="002F4F0B">
      <w:pPr>
        <w:pStyle w:val="AGRBodyText"/>
      </w:pPr>
      <w:r w:rsidRPr="00697BCF">
        <w:t xml:space="preserve">The </w:t>
      </w:r>
      <w:r>
        <w:t>b</w:t>
      </w:r>
      <w:r w:rsidRPr="00697BCF">
        <w:t xml:space="preserve">usiness </w:t>
      </w:r>
      <w:r>
        <w:t>c</w:t>
      </w:r>
      <w:r w:rsidRPr="00697BCF">
        <w:t xml:space="preserve">ontinuity </w:t>
      </w:r>
      <w:r>
        <w:t>p</w:t>
      </w:r>
      <w:r w:rsidRPr="00697BCF">
        <w:t xml:space="preserve">lan for </w:t>
      </w:r>
      <w:r w:rsidR="00030C09">
        <w:t>the Department of Corporate and Information Services (</w:t>
      </w:r>
      <w:r w:rsidRPr="00697BCF">
        <w:t>DCIS</w:t>
      </w:r>
      <w:r w:rsidR="00030C09">
        <w:t>)</w:t>
      </w:r>
      <w:r>
        <w:t xml:space="preserve"> was</w:t>
      </w:r>
      <w:r w:rsidRPr="00697BCF">
        <w:t xml:space="preserve"> </w:t>
      </w:r>
      <w:r>
        <w:t>under</w:t>
      </w:r>
      <w:r w:rsidRPr="00697BCF">
        <w:t xml:space="preserve"> development</w:t>
      </w:r>
      <w:r>
        <w:t xml:space="preserve"> at the time of the audit and it was recommended to the Department that “</w:t>
      </w:r>
      <w:r w:rsidR="0062545D">
        <w:t>work-</w:t>
      </w:r>
      <w:r w:rsidRPr="00697BCF">
        <w:t>around</w:t>
      </w:r>
      <w:r>
        <w:t>”</w:t>
      </w:r>
      <w:r w:rsidRPr="00697BCF">
        <w:t xml:space="preserve"> practices </w:t>
      </w:r>
      <w:r>
        <w:t>and</w:t>
      </w:r>
      <w:r w:rsidRPr="00697BCF">
        <w:t xml:space="preserve"> contingency plans for interruptions in banking services or payment systems</w:t>
      </w:r>
      <w:r>
        <w:t xml:space="preserve"> </w:t>
      </w:r>
      <w:r w:rsidR="00697169">
        <w:t>should</w:t>
      </w:r>
      <w:r>
        <w:t xml:space="preserve"> be considered as part of the plan</w:t>
      </w:r>
      <w:r w:rsidRPr="00697BCF">
        <w:t>.</w:t>
      </w:r>
    </w:p>
    <w:p w:rsidR="00EC6C4E" w:rsidRPr="00732782" w:rsidRDefault="00097D7D" w:rsidP="00EC6C4E">
      <w:pPr>
        <w:pStyle w:val="AGRHeading1"/>
      </w:pPr>
      <w:r>
        <w:t>D</w:t>
      </w:r>
      <w:r w:rsidR="00EC6C4E">
        <w:t>epartment of Corporate and Information Systems cont…</w:t>
      </w:r>
    </w:p>
    <w:p w:rsidR="00A34530" w:rsidRDefault="00A049AD" w:rsidP="002F4F0B">
      <w:pPr>
        <w:pStyle w:val="AGRBodyText"/>
      </w:pPr>
      <w:r>
        <w:t>Other r</w:t>
      </w:r>
      <w:r w:rsidR="00A34530">
        <w:t>ecommendations were made at the conclusion of the audit in respect of:</w:t>
      </w:r>
    </w:p>
    <w:p w:rsidR="004C616D" w:rsidRDefault="004C616D" w:rsidP="002F4F0B">
      <w:pPr>
        <w:pStyle w:val="AGRBulletText"/>
      </w:pPr>
      <w:r>
        <w:t xml:space="preserve">System interfaces with other key Government systems. </w:t>
      </w:r>
      <w:r w:rsidR="00A34530">
        <w:t xml:space="preserve"> </w:t>
      </w:r>
      <w:r>
        <w:t>These interfaces require ongoing maintenance, but it was noted that t</w:t>
      </w:r>
      <w:r w:rsidRPr="00697BCF">
        <w:t xml:space="preserve">here </w:t>
      </w:r>
      <w:r>
        <w:t>were only</w:t>
      </w:r>
      <w:r w:rsidRPr="00697BCF">
        <w:t xml:space="preserve"> limited documented procedures that outline</w:t>
      </w:r>
      <w:r>
        <w:t>d</w:t>
      </w:r>
      <w:r w:rsidRPr="00697BCF">
        <w:t xml:space="preserve"> roles and responsibilities for </w:t>
      </w:r>
      <w:r>
        <w:t>those charged with the monitoring and maintenance responsibility for the interfaces.</w:t>
      </w:r>
    </w:p>
    <w:p w:rsidR="004C616D" w:rsidRPr="00697BCF" w:rsidRDefault="004C616D" w:rsidP="002F4F0B">
      <w:pPr>
        <w:pStyle w:val="AGRBulletText"/>
      </w:pPr>
      <w:r>
        <w:t xml:space="preserve">The need to review the number of personnel with access to certain key functions, with that access limited to a centralised team. </w:t>
      </w:r>
    </w:p>
    <w:p w:rsidR="005754FF" w:rsidRDefault="005754FF" w:rsidP="002F4F0B">
      <w:pPr>
        <w:pStyle w:val="AGRBodyText"/>
      </w:pPr>
    </w:p>
    <w:p w:rsidR="00C02444" w:rsidRPr="00732782" w:rsidRDefault="00C02444" w:rsidP="00C02444">
      <w:pPr>
        <w:pStyle w:val="AGRHeading1"/>
      </w:pPr>
      <w:r>
        <w:t>Department of Corporate and Information Systems cont…</w:t>
      </w:r>
    </w:p>
    <w:p w:rsidR="005754FF" w:rsidRPr="00CB1996" w:rsidRDefault="005754FF" w:rsidP="005754FF">
      <w:pPr>
        <w:pStyle w:val="AGRHeadingComment"/>
        <w:rPr>
          <w:lang w:val="en-AU"/>
        </w:rPr>
      </w:pPr>
      <w:r>
        <w:rPr>
          <w:lang w:val="en-AU"/>
        </w:rPr>
        <w:t>The Department of Corporate and Information Services</w:t>
      </w:r>
      <w:r w:rsidRPr="00CB1996">
        <w:rPr>
          <w:lang w:val="en-AU"/>
        </w:rPr>
        <w:t xml:space="preserve"> has commented: </w:t>
      </w:r>
    </w:p>
    <w:p w:rsidR="005754FF" w:rsidRDefault="005754FF" w:rsidP="005754FF">
      <w:pPr>
        <w:pStyle w:val="StyleAGRBodyCommentItalic"/>
      </w:pPr>
      <w:r>
        <w:t xml:space="preserve">DCIS notes the audit determined that appropriate management controls are applied over </w:t>
      </w:r>
      <w:r w:rsidR="00BF1259">
        <w:t xml:space="preserve">the </w:t>
      </w:r>
      <w:r>
        <w:t>electronic funds transfer system including satisfactory security for segregation of duties, system change approvals and user identification and authentication controls.  The audit also identified opportunities to further strengthen the system with additional reporting and procedural documentation.</w:t>
      </w:r>
    </w:p>
    <w:p w:rsidR="005754FF" w:rsidRDefault="005754FF" w:rsidP="005754FF">
      <w:pPr>
        <w:pStyle w:val="StyleAGRBodyCommentItalic"/>
      </w:pPr>
      <w:r>
        <w:t>The EFT system provided under the contract is the same as that used by all corporate customers of the banking provider.  EFT transaction reports are available for agency monitoring.  In addition to standard systems data reports, a tailored reporting suite is being designed in consultation with the bank under the scheduled enhancement program.  Expansion of the reporting capability will be complete by November.</w:t>
      </w:r>
    </w:p>
    <w:p w:rsidR="005754FF" w:rsidRDefault="005754FF" w:rsidP="005754FF">
      <w:pPr>
        <w:pStyle w:val="StyleAGRBodyCommentItalic"/>
      </w:pPr>
      <w:r>
        <w:t>Business continuity plans have been enhanced to include contingency actions and system work around processes specific to Northern Territory Government banking requirements.  Plans have been developed in close collaboration with the bank through a detailed evaluation of the requirements of both organisations.</w:t>
      </w:r>
    </w:p>
    <w:p w:rsidR="005754FF" w:rsidRDefault="005754FF" w:rsidP="005754FF">
      <w:pPr>
        <w:pStyle w:val="StyleAGRBodyCommentItalic"/>
      </w:pPr>
      <w:r>
        <w:t>Previous banking procedures are being updated to align with the new system.  This task is well progressed and on track for completion this quarter.</w:t>
      </w:r>
    </w:p>
    <w:p w:rsidR="005754FF" w:rsidRDefault="005754FF" w:rsidP="005754FF">
      <w:pPr>
        <w:pStyle w:val="StyleAGRBodyCommentItalic"/>
      </w:pPr>
      <w:r>
        <w:t>Agency employees requiring system access are regularly reviewed and confirmed, with agencies to ensure appropriate access.  This has resulted in agencies requesting removal of some low security permissions since the audit.</w:t>
      </w:r>
    </w:p>
    <w:p w:rsidR="007B1B9B" w:rsidRPr="00717F48" w:rsidRDefault="007B1B9B" w:rsidP="007B1B9B">
      <w:pPr>
        <w:pStyle w:val="AGRHeading1"/>
      </w:pPr>
      <w:bookmarkStart w:id="20" w:name="health"/>
      <w:bookmarkStart w:id="21" w:name="_Toc185325703"/>
      <w:r>
        <w:t>Department of Health</w:t>
      </w:r>
      <w:bookmarkEnd w:id="20"/>
    </w:p>
    <w:p w:rsidR="007B1B9B" w:rsidRDefault="007B1B9B" w:rsidP="007B1B9B">
      <w:pPr>
        <w:pStyle w:val="AGRHeading2"/>
      </w:pPr>
      <w:bookmarkStart w:id="22" w:name="aero_medical_services"/>
      <w:bookmarkStart w:id="23" w:name="health_aero_med_audit_title"/>
      <w:r>
        <w:t>Aero Medical Services</w:t>
      </w:r>
      <w:bookmarkEnd w:id="22"/>
      <w:r>
        <w:t xml:space="preserve"> Contract</w:t>
      </w:r>
      <w:bookmarkEnd w:id="23"/>
    </w:p>
    <w:p w:rsidR="00F371DC" w:rsidRDefault="00F371DC" w:rsidP="00F371DC">
      <w:pPr>
        <w:pStyle w:val="AGRHeading3"/>
      </w:pPr>
      <w:r>
        <w:t>Introduction</w:t>
      </w:r>
    </w:p>
    <w:p w:rsidR="007B1B9B" w:rsidRDefault="007B1B9B" w:rsidP="002F4F0B">
      <w:pPr>
        <w:pStyle w:val="AGRBodyText"/>
      </w:pPr>
      <w:r>
        <w:t>Aero medical retrieval services are an integral component of the health care system in the Northern Territory, particularly given the geographical dispersion of a sizable part of the Territory’s population.  The pattern of development across the Territory has seen the centralisation of key medical facilities with an accompanying need to transfer patients to major population centres when circumstances dictate.  This, in turn, requires that an integrated service be available under which the provision of aircraft and their crews, including appropriately trained aero-medical teams be available to retrieve patients when the need arises.</w:t>
      </w:r>
    </w:p>
    <w:p w:rsidR="007B1B9B" w:rsidRPr="00220F5E" w:rsidRDefault="007B1B9B" w:rsidP="007B1B9B">
      <w:pPr>
        <w:pStyle w:val="AGRHeading3"/>
      </w:pPr>
      <w:r w:rsidRPr="00220F5E">
        <w:t xml:space="preserve">Audit </w:t>
      </w:r>
      <w:r>
        <w:t>S</w:t>
      </w:r>
      <w:r w:rsidRPr="00220F5E">
        <w:t xml:space="preserve">cope and </w:t>
      </w:r>
      <w:r>
        <w:t>Objective</w:t>
      </w:r>
    </w:p>
    <w:p w:rsidR="00756390" w:rsidRDefault="00756390" w:rsidP="00756390">
      <w:pPr>
        <w:pStyle w:val="AGRBodyText"/>
      </w:pPr>
      <w:r>
        <w:t xml:space="preserve">The objective of this audit was to determine whether the systems established by the Department of Health support the management of the contract between the </w:t>
      </w:r>
      <w:r w:rsidR="00E27737">
        <w:t>Northern Territory Government</w:t>
      </w:r>
      <w:r>
        <w:t xml:space="preserve"> and CareFlight for the provision of aero medical services and, in particular, enable CareFlight’s performance and contractual obligations to be monitored and managed.  This audit was undertaken during the period March to May 2013 and was focused on the Top End Medical Retrieval Service.</w:t>
      </w:r>
    </w:p>
    <w:p w:rsidR="00756390" w:rsidRDefault="00756390" w:rsidP="00756390">
      <w:pPr>
        <w:pStyle w:val="AGRBodyText"/>
      </w:pPr>
      <w:r>
        <w:t>As this audit was a performance management system audit, the objective was centred on the extent to which a system existed across the Department and the Top End Health Network that enabled all facets of the contract with CareFlight to be managed effectively.</w:t>
      </w:r>
    </w:p>
    <w:p w:rsidR="00756390" w:rsidRDefault="00756390" w:rsidP="002F4F0B">
      <w:pPr>
        <w:pStyle w:val="AGRBodyText"/>
      </w:pPr>
      <w:r>
        <w:t>Inputs to that system would include activity data drawn from CareFlight’s IT systems (as provided for in the contract) and invoices submitted by CareFlight.  Outputs from the system would include payments to CareFlight (made only after activity data had been reconciled with invoices), and activity reports to the Health Network (in their capacity as initiators of aeromedical retrievals and recipients of patients, and trainers of clinicians involved in retrieval activities) and to Departmental managers at various levels to enable overall activity and performance under the contact to be assessed over the contract’s life.  In this context the involvement of Health Networks is seen as an important part of the overall management of the contract if a disjointed management model is to be avoided.</w:t>
      </w:r>
    </w:p>
    <w:p w:rsidR="006570EA" w:rsidRPr="00717F48" w:rsidRDefault="006570EA" w:rsidP="006570EA">
      <w:pPr>
        <w:pStyle w:val="AGRHeading1"/>
      </w:pPr>
      <w:r>
        <w:t>Department of Health cont…</w:t>
      </w:r>
    </w:p>
    <w:p w:rsidR="007B1B9B" w:rsidRPr="00220F5E" w:rsidRDefault="007B1B9B" w:rsidP="007B1B9B">
      <w:pPr>
        <w:pStyle w:val="AGRHeading3"/>
      </w:pPr>
      <w:r w:rsidRPr="00220F5E">
        <w:t xml:space="preserve">Audit </w:t>
      </w:r>
      <w:r>
        <w:t>Opinion</w:t>
      </w:r>
    </w:p>
    <w:p w:rsidR="006570EA" w:rsidRDefault="006570EA" w:rsidP="006570EA">
      <w:pPr>
        <w:pStyle w:val="AGRBodyText"/>
      </w:pPr>
      <w:r>
        <w:t xml:space="preserve">Based upon the evidence gathered during the audit I have formed the opinion that the systems established by the Department, at the time of the audit, did not fully support the management of the contract between the </w:t>
      </w:r>
      <w:r w:rsidR="00490084">
        <w:t>Northern Territory Government</w:t>
      </w:r>
      <w:r>
        <w:t xml:space="preserve"> and CareFlight for the provision of aero medical services</w:t>
      </w:r>
      <w:r w:rsidRPr="00E20E91">
        <w:t xml:space="preserve"> </w:t>
      </w:r>
      <w:r>
        <w:t xml:space="preserve">and, in particular, did not enable CareFlight’s performance and contractual obligations to be monitored and managed at a level commensurate with that required of a contract of this magnitude. </w:t>
      </w:r>
    </w:p>
    <w:p w:rsidR="006570EA" w:rsidRDefault="006570EA" w:rsidP="006570EA">
      <w:pPr>
        <w:pStyle w:val="AGRBodyText"/>
      </w:pPr>
      <w:r>
        <w:t>Many of the findi</w:t>
      </w:r>
      <w:r w:rsidR="00ED4BF5">
        <w:t>ngs and recommendations from a</w:t>
      </w:r>
      <w:r>
        <w:t xml:space="preserve"> July 2005 Risk Management Services’ (RMS) </w:t>
      </w:r>
      <w:r w:rsidRPr="00525A99">
        <w:rPr>
          <w:i/>
        </w:rPr>
        <w:t>“Review of the Aeroretrieval Medical Service System”</w:t>
      </w:r>
      <w:r>
        <w:t xml:space="preserve"> are as applicable to the CareFlight contract as they were to the previous aero medical retrieval service model, under which Pearl Aviation was contracted to supply the aircraft.  This is somewhat disturbing given those recommendations were aimed at establishing control frameworks for managing that contract and processing associated payments and leads to questions about the Department’s ability to manage contracts, given the eight years since the RMS review.</w:t>
      </w:r>
    </w:p>
    <w:p w:rsidR="006570EA" w:rsidRDefault="006570EA" w:rsidP="006570EA">
      <w:pPr>
        <w:pStyle w:val="AGRBodyText"/>
      </w:pPr>
      <w:r>
        <w:t xml:space="preserve">The Department itself has acknowledged that there were deficiencies in its ability to monitor and manage CareFlight’s performance and contractual obligations as evidenced through specific, targeted steps it had taken in the second half of 2012, including engaging </w:t>
      </w:r>
      <w:r w:rsidR="00ED4BF5">
        <w:t>a consulting firm</w:t>
      </w:r>
      <w:r>
        <w:t xml:space="preserve"> to conduct a contract review</w:t>
      </w:r>
      <w:r w:rsidR="00ED4BF5">
        <w:t>,</w:t>
      </w:r>
      <w:r>
        <w:t xml:space="preserve"> and the recruitment of staff with contract management qualifications and experience.</w:t>
      </w:r>
    </w:p>
    <w:p w:rsidR="006570EA" w:rsidRDefault="006570EA" w:rsidP="006570EA">
      <w:pPr>
        <w:pStyle w:val="AGRBodyText"/>
      </w:pPr>
      <w:r>
        <w:t>I acknowledge that the Department was, at the time of the audit, implementing the recommendations that</w:t>
      </w:r>
      <w:r w:rsidR="00ED4BF5">
        <w:t xml:space="preserve"> were included in the report prepared by the consultants </w:t>
      </w:r>
      <w:r>
        <w:t xml:space="preserve">and the timing of my audit might be seen as unfortunate in that it took place before the Department’s staff had the opportunity to implement fully those recommendations. </w:t>
      </w:r>
    </w:p>
    <w:p w:rsidR="006570EA" w:rsidRDefault="006570EA" w:rsidP="006570EA">
      <w:pPr>
        <w:pStyle w:val="AGRBodyText"/>
      </w:pPr>
      <w:r>
        <w:t>Notwithstanding the findings that are set out in this</w:t>
      </w:r>
      <w:r w:rsidR="008F0450">
        <w:t xml:space="preserve"> report</w:t>
      </w:r>
      <w:r>
        <w:t xml:space="preserve"> I believe that the Department needs to continue with the work that it has commenced and that is intended to improve the systems for managing the contract, while recognising that realistic timeframes are necessary to put these improvements in place.</w:t>
      </w:r>
    </w:p>
    <w:p w:rsidR="006570EA" w:rsidRPr="00717F48" w:rsidRDefault="006570EA" w:rsidP="006570EA">
      <w:pPr>
        <w:pStyle w:val="AGRHeading1"/>
      </w:pPr>
      <w:r>
        <w:t>Department of Health cont…</w:t>
      </w:r>
    </w:p>
    <w:p w:rsidR="002F4F0B" w:rsidRDefault="002F4F0B" w:rsidP="002F4F0B">
      <w:pPr>
        <w:pStyle w:val="AGRHeading3"/>
      </w:pPr>
      <w:r>
        <w:t>Key Findings</w:t>
      </w:r>
    </w:p>
    <w:p w:rsidR="002F4F0B" w:rsidRPr="002511CD" w:rsidRDefault="002F4F0B" w:rsidP="002F4F0B">
      <w:pPr>
        <w:pStyle w:val="AGRHeading4"/>
      </w:pPr>
      <w:r w:rsidRPr="002511CD">
        <w:t>Contract management</w:t>
      </w:r>
    </w:p>
    <w:p w:rsidR="0094568E" w:rsidRDefault="0094568E" w:rsidP="0094568E">
      <w:pPr>
        <w:pStyle w:val="AGRBodyText"/>
      </w:pPr>
      <w:r>
        <w:t xml:space="preserve">This audit focused on the systems that the Department had in place to manage the contract between the Department and CareFlight for the provision of aero medical services.  It was clear during the audit visit that the Department was in the midst of improving and expanding those systems and establishing a clear contract management framework, encompassing all aspects of the contract management, including meeting agendas, evidence, data and reporting requirements, invoicing, and payments.  One issue noted during the audit was an apparent heavy reliance on CareFlight to keep and maintain data.  At the same time the data captured by CareFlight’s systems were not being adequately extracted by the Department to enable it to verify invoices and to generate management reports to meet the needs of both contract managers and clinicians.  </w:t>
      </w:r>
    </w:p>
    <w:p w:rsidR="002F4F0B" w:rsidRPr="002511CD" w:rsidRDefault="002F4F0B" w:rsidP="002F4F0B">
      <w:pPr>
        <w:pStyle w:val="AGRHeading4"/>
      </w:pPr>
      <w:r>
        <w:t>Failure to implement earlier recommendations</w:t>
      </w:r>
    </w:p>
    <w:p w:rsidR="00F02022" w:rsidRDefault="00F02022" w:rsidP="00F02022">
      <w:pPr>
        <w:pStyle w:val="AGRBodyText"/>
      </w:pPr>
      <w:r>
        <w:t xml:space="preserve">Whilst changes in staff within the Department have not helped with the ability to manage the contract, there are processes and systems that should have been in place and established to assist with the management of the contract with Pearl Aviation and the Interim Service contract with CareFlight that I would have expected to have been carried across to the Top End Medical Retrieval Service (TEMRS) contract.  Many of the findings and recommendations from the July 2005 Risk Management Services’ (RMS) </w:t>
      </w:r>
      <w:r w:rsidRPr="00525A99">
        <w:rPr>
          <w:i/>
        </w:rPr>
        <w:t>“Review of the Aeroretrieval Medical Service System”</w:t>
      </w:r>
      <w:r>
        <w:t xml:space="preserve"> are as applicable to the CareFlight contract as they were to the previous aero medical retrieval service model with Pearl Aviation being contracted for the supply of aircraft.</w:t>
      </w:r>
    </w:p>
    <w:p w:rsidR="001018F7" w:rsidRPr="00717F48" w:rsidRDefault="001018F7" w:rsidP="001018F7">
      <w:pPr>
        <w:pStyle w:val="AGRHeading1"/>
      </w:pPr>
      <w:r>
        <w:t>Department of Health cont…</w:t>
      </w:r>
    </w:p>
    <w:p w:rsidR="00184831" w:rsidRPr="002511CD" w:rsidRDefault="00184831" w:rsidP="00184831">
      <w:pPr>
        <w:pStyle w:val="AGRHeading4"/>
      </w:pPr>
      <w:r>
        <w:t>Lack of adequate data to support contractual payments</w:t>
      </w:r>
    </w:p>
    <w:p w:rsidR="00184831" w:rsidRDefault="00184831" w:rsidP="00184831">
      <w:pPr>
        <w:pStyle w:val="AGRBodyText"/>
      </w:pPr>
      <w:r>
        <w:t xml:space="preserve">During the course of the audit information was sought from the Department about </w:t>
      </w:r>
      <w:r w:rsidRPr="00F50C59">
        <w:t>the number of aero medical retrievals, per year</w:t>
      </w:r>
      <w:r>
        <w:t xml:space="preserve"> and by month; the</w:t>
      </w:r>
      <w:r w:rsidRPr="00F50C59">
        <w:t xml:space="preserve"> number of retrievals by location and </w:t>
      </w:r>
      <w:r>
        <w:t xml:space="preserve">the </w:t>
      </w:r>
      <w:r w:rsidRPr="00F50C59">
        <w:t>number of retrievals by flying hours per month.  The Department indicated that</w:t>
      </w:r>
      <w:r>
        <w:t xml:space="preserve"> while</w:t>
      </w:r>
      <w:r w:rsidRPr="00F50C59">
        <w:t xml:space="preserve"> it had most of this information, </w:t>
      </w:r>
      <w:r>
        <w:t xml:space="preserve">it was </w:t>
      </w:r>
      <w:r w:rsidRPr="00F50C59">
        <w:t xml:space="preserve">not readily available and would have to </w:t>
      </w:r>
      <w:r>
        <w:t>be compiled</w:t>
      </w:r>
      <w:r w:rsidRPr="00F50C59">
        <w:t xml:space="preserve">.  Further, I was advised that only data for 2012 was available.  The </w:t>
      </w:r>
      <w:r w:rsidRPr="00910515">
        <w:t xml:space="preserve">Department did not appear to be applying </w:t>
      </w:r>
      <w:r>
        <w:t>analytical</w:t>
      </w:r>
      <w:r w:rsidRPr="00910515">
        <w:t xml:space="preserve"> techniques to identify the average </w:t>
      </w:r>
      <w:r>
        <w:t>retrieval times and</w:t>
      </w:r>
      <w:r w:rsidRPr="00910515">
        <w:t xml:space="preserve"> the average cost per retrieval.  There is also a need</w:t>
      </w:r>
      <w:r>
        <w:t xml:space="preserve">, I believe, </w:t>
      </w:r>
      <w:r w:rsidRPr="00910515">
        <w:t xml:space="preserve">to </w:t>
      </w:r>
      <w:r>
        <w:t>identify the various</w:t>
      </w:r>
      <w:r w:rsidRPr="00910515">
        <w:t xml:space="preserve"> components/services </w:t>
      </w:r>
      <w:r>
        <w:t xml:space="preserve">that are provided by </w:t>
      </w:r>
      <w:r w:rsidRPr="00910515">
        <w:t xml:space="preserve">CareFlight and to manage those </w:t>
      </w:r>
      <w:r>
        <w:t xml:space="preserve">components </w:t>
      </w:r>
      <w:r w:rsidRPr="00910515">
        <w:t>individually</w:t>
      </w:r>
      <w:r>
        <w:t xml:space="preserve"> (</w:t>
      </w:r>
      <w:r w:rsidR="007061F3">
        <w:t>Top End Medical Retrieval Service (</w:t>
      </w:r>
      <w:r>
        <w:t>TEMRS</w:t>
      </w:r>
      <w:r w:rsidR="007061F3">
        <w:t>)</w:t>
      </w:r>
      <w:r>
        <w:t xml:space="preserve"> and CareFlight Medical Escort (CME)).  I note</w:t>
      </w:r>
      <w:r w:rsidR="0090770E">
        <w:t>d</w:t>
      </w:r>
      <w:r>
        <w:t xml:space="preserve"> that</w:t>
      </w:r>
      <w:r w:rsidRPr="00910515">
        <w:t xml:space="preserve"> the Department was </w:t>
      </w:r>
      <w:r>
        <w:t>implementing</w:t>
      </w:r>
      <w:r w:rsidRPr="00910515">
        <w:t xml:space="preserve"> </w:t>
      </w:r>
      <w:r>
        <w:t xml:space="preserve">a number of improvements in this area </w:t>
      </w:r>
      <w:r w:rsidRPr="00910515">
        <w:t>at the time of the audit.</w:t>
      </w:r>
    </w:p>
    <w:p w:rsidR="00FF6577" w:rsidRDefault="00FF6577" w:rsidP="00FF6577">
      <w:pPr>
        <w:pStyle w:val="AGRHeading3"/>
      </w:pPr>
      <w:r>
        <w:t>Recommendations</w:t>
      </w:r>
    </w:p>
    <w:p w:rsidR="00FF6577" w:rsidRDefault="00FF6577" w:rsidP="00FF6577">
      <w:pPr>
        <w:pStyle w:val="AGRBodyText"/>
      </w:pPr>
      <w:r>
        <w:t>That the Department:</w:t>
      </w:r>
    </w:p>
    <w:p w:rsidR="00FF6577" w:rsidRDefault="00FF6577" w:rsidP="00FF6577">
      <w:pPr>
        <w:pStyle w:val="AGRBulletText"/>
      </w:pPr>
      <w:r>
        <w:t>continue the work that it has begun to improve the systems for managing the contract and given sufficient realistic timeframes to put these improvements in place;</w:t>
      </w:r>
    </w:p>
    <w:p w:rsidR="00FF6577" w:rsidRDefault="00FF6577" w:rsidP="00FF6577">
      <w:pPr>
        <w:pStyle w:val="AGRBulletText"/>
      </w:pPr>
      <w:r>
        <w:t>strengthen its documentation management and recording systems to ensure that final versions of contracts, including all associated schedules and addendums are able to be located in both signed hard copy and electronic versions;</w:t>
      </w:r>
    </w:p>
    <w:p w:rsidR="00FF6577" w:rsidRDefault="00FF6577" w:rsidP="00FF6577">
      <w:pPr>
        <w:pStyle w:val="AGRBulletText"/>
      </w:pPr>
      <w:r>
        <w:t>report the progress against the consultant’s recommendations through to the Chief Executive Officer, not just to the Executive Director responsible for the Business Unit, notwithstanding that it was the Business Unit that initiated the review;</w:t>
      </w:r>
    </w:p>
    <w:p w:rsidR="00FF6577" w:rsidRDefault="00FF6577" w:rsidP="00FF6577">
      <w:pPr>
        <w:pStyle w:val="AGRBulletText"/>
      </w:pPr>
      <w:r>
        <w:t>conduct a review of all invoices paid to CareFlight since the commencement of the contract (1 September 2011 for rotary wing</w:t>
      </w:r>
      <w:r w:rsidR="00C92FAD">
        <w:t xml:space="preserve"> (RW)</w:t>
      </w:r>
      <w:r>
        <w:t xml:space="preserve"> services and 16 September 2011 for fixed wing</w:t>
      </w:r>
      <w:r w:rsidR="00C92FAD">
        <w:t xml:space="preserve"> (FW)</w:t>
      </w:r>
      <w:r>
        <w:t xml:space="preserve"> services) to ensure that the Department has been charged correctly in line with the contract specifications</w:t>
      </w:r>
      <w:r w:rsidR="00042BE8">
        <w:t>, with particular attention to verifying flying hours (noting that additional information is required from CareFlight to enable this to occur) as well as reviewing the rates used for excess flying hours charges</w:t>
      </w:r>
      <w:r>
        <w:t>;</w:t>
      </w:r>
    </w:p>
    <w:p w:rsidR="00042BE8" w:rsidRDefault="00042BE8" w:rsidP="00FF6577">
      <w:pPr>
        <w:pStyle w:val="AGRBulletText"/>
      </w:pPr>
      <w:r>
        <w:t xml:space="preserve">follow up on suspected overpayments made to CareFlight as a result of incorrect invoicing by CareFlight – amount that was being investigated at the time of the audit and was in the vicinity </w:t>
      </w:r>
      <w:r w:rsidRPr="001D5C89">
        <w:t>of $185</w:t>
      </w:r>
      <w:r>
        <w:t>,000;</w:t>
      </w:r>
    </w:p>
    <w:p w:rsidR="00E155AF" w:rsidRPr="00717F48" w:rsidRDefault="00E155AF" w:rsidP="00E155AF">
      <w:pPr>
        <w:pStyle w:val="AGRHeading1"/>
      </w:pPr>
      <w:r>
        <w:t>Department of Health cont…</w:t>
      </w:r>
    </w:p>
    <w:p w:rsidR="007D2C81" w:rsidRDefault="007D2C81" w:rsidP="007D2C81">
      <w:pPr>
        <w:pStyle w:val="AGRBulletText"/>
      </w:pPr>
      <w:r>
        <w:t>ensure that accrued and prepaid expenses are recognised appropriately in the Department’s financial statements in order to ensure that Australian Accounting Standards and Treasurer’s Directions are complied with;</w:t>
      </w:r>
    </w:p>
    <w:p w:rsidR="000431B4" w:rsidRDefault="000431B4" w:rsidP="000431B4">
      <w:pPr>
        <w:pStyle w:val="AGRBulletText"/>
      </w:pPr>
      <w:r>
        <w:t>investigate and formalise cost analysis techniques to provide useful relevant and reliable information about the service being provided to drive opportunities for better contract management and patient outcomes;</w:t>
      </w:r>
    </w:p>
    <w:p w:rsidR="00487A05" w:rsidRDefault="00487A05" w:rsidP="00487A05">
      <w:pPr>
        <w:pStyle w:val="AGRBulletText"/>
      </w:pPr>
      <w:r>
        <w:t>revisit and reconsider the broader information requirements of the Department,</w:t>
      </w:r>
      <w:r w:rsidR="000431B4">
        <w:t xml:space="preserve"> including the Hospital Network</w:t>
      </w:r>
      <w:r>
        <w:t xml:space="preserve"> and Remote Health divisions; and</w:t>
      </w:r>
    </w:p>
    <w:p w:rsidR="00487A05" w:rsidRDefault="00487A05" w:rsidP="00487A05">
      <w:pPr>
        <w:pStyle w:val="AGRBulletText"/>
      </w:pPr>
      <w:r>
        <w:t>formalise the data reporting and recording requirements for all potential users, including Department Administration for reporting to the Minister and Treasury, Remote Health and Emergency Departments for training medical staff,</w:t>
      </w:r>
      <w:r w:rsidR="000431B4">
        <w:t xml:space="preserve"> to allow better management, </w:t>
      </w:r>
      <w:r>
        <w:t>cost analysis of the service</w:t>
      </w:r>
      <w:r w:rsidR="000431B4">
        <w:t xml:space="preserve"> and patient outcomes</w:t>
      </w:r>
      <w:r>
        <w:t>.</w:t>
      </w:r>
    </w:p>
    <w:p w:rsidR="00FF6577" w:rsidRPr="008F65BC" w:rsidRDefault="00FF6577" w:rsidP="00FF6577">
      <w:pPr>
        <w:pStyle w:val="AGRHeading3"/>
      </w:pPr>
      <w:r w:rsidRPr="008F65BC">
        <w:t>Key Dates</w:t>
      </w:r>
    </w:p>
    <w:p w:rsidR="00FF6577" w:rsidRDefault="00FF6577" w:rsidP="00FF6577">
      <w:pPr>
        <w:pStyle w:val="AGRBodyText"/>
      </w:pPr>
      <w:r>
        <w:t xml:space="preserve">As already indicated, the Department previously operated an aero medical retrieval service model known as the </w:t>
      </w:r>
      <w:r w:rsidRPr="00B456ED">
        <w:t>Northern Territory Aero Medical Service (NTAMS)</w:t>
      </w:r>
      <w:r>
        <w:t>.  Under this arrangement the Department supplied medical staff and logistics, while a contractor provided the fixed wing aircraft.</w:t>
      </w:r>
    </w:p>
    <w:p w:rsidR="00FF6577" w:rsidRPr="005C2283" w:rsidRDefault="00FF6577" w:rsidP="00FF6577">
      <w:pPr>
        <w:pStyle w:val="AGRBodyText"/>
      </w:pPr>
      <w:r w:rsidRPr="005C2283">
        <w:t>In the Top End this provider was Pearl Aviation.  The decision in December 2008 to re-tender the aero-medical contract for the Top End led to the termination of the contract with Pearl Aviation.</w:t>
      </w:r>
    </w:p>
    <w:p w:rsidR="00FF6577" w:rsidRDefault="00FF6577" w:rsidP="00FF6577">
      <w:pPr>
        <w:pStyle w:val="AGRBodyText"/>
      </w:pPr>
      <w:r>
        <w:t>As part of the tendering process for a new service provider, the Department took the opportunity to revise the aero medical retrieval services model and incorporate recommendations from the:</w:t>
      </w:r>
    </w:p>
    <w:p w:rsidR="00FF6577" w:rsidRDefault="00FF6577" w:rsidP="00FF6577">
      <w:pPr>
        <w:pStyle w:val="AGRBulletText"/>
      </w:pPr>
      <w:r>
        <w:t xml:space="preserve">2003 Bansemer </w:t>
      </w:r>
      <w:r w:rsidRPr="00D6153E">
        <w:rPr>
          <w:i/>
        </w:rPr>
        <w:t>“Review of the Northern Territory Department of Health and Community Services”</w:t>
      </w:r>
      <w:r w:rsidRPr="00C946B3">
        <w:t>;</w:t>
      </w:r>
    </w:p>
    <w:p w:rsidR="00FF6577" w:rsidRDefault="00FF6577" w:rsidP="00FF6577">
      <w:pPr>
        <w:pStyle w:val="AGRBulletText"/>
      </w:pPr>
      <w:r>
        <w:t>June 2005 report by Associate Professor Russell Gruen for the development of the Royal Darwin Hospital – National Centre for Critical Care and Trauma Response;</w:t>
      </w:r>
    </w:p>
    <w:p w:rsidR="00FF6577" w:rsidRDefault="00FF6577" w:rsidP="00FF6577">
      <w:pPr>
        <w:pStyle w:val="AGRBulletText"/>
      </w:pPr>
      <w:r>
        <w:t xml:space="preserve">August 2006 </w:t>
      </w:r>
      <w:r w:rsidRPr="00D6153E">
        <w:rPr>
          <w:i/>
        </w:rPr>
        <w:t>“Review of the Northern Territory’s Aeromedical Retrieval Services”</w:t>
      </w:r>
      <w:r>
        <w:t xml:space="preserve"> by J. Cornish and Associates;</w:t>
      </w:r>
    </w:p>
    <w:p w:rsidR="007A6C5D" w:rsidRPr="00717F48" w:rsidRDefault="007A6C5D" w:rsidP="007A6C5D">
      <w:pPr>
        <w:pStyle w:val="AGRHeading1"/>
      </w:pPr>
      <w:r>
        <w:t>Department of Health cont…</w:t>
      </w:r>
    </w:p>
    <w:p w:rsidR="007D2C81" w:rsidRDefault="007D2C81" w:rsidP="007D2C81">
      <w:pPr>
        <w:pStyle w:val="AGRBulletText"/>
      </w:pPr>
      <w:r>
        <w:t xml:space="preserve">November 2008 </w:t>
      </w:r>
      <w:r w:rsidRPr="00D6153E">
        <w:rPr>
          <w:i/>
        </w:rPr>
        <w:t>“Aeromedical Services Model and Aircraft Fleet Assessment for the Northern Territory’s Aerial Medical Service (NTAMS)”</w:t>
      </w:r>
      <w:r w:rsidRPr="00C946B3">
        <w:t xml:space="preserve"> </w:t>
      </w:r>
      <w:r w:rsidRPr="0028612F">
        <w:t>by J. Cornish and Associates</w:t>
      </w:r>
      <w:r>
        <w:t>;</w:t>
      </w:r>
    </w:p>
    <w:p w:rsidR="007D2C81" w:rsidRDefault="007D2C81" w:rsidP="007D2C81">
      <w:pPr>
        <w:pStyle w:val="AGRBulletText"/>
      </w:pPr>
      <w:r>
        <w:t>and Departmental staff with appropriate experience.</w:t>
      </w:r>
    </w:p>
    <w:p w:rsidR="006A447F" w:rsidRDefault="006A447F" w:rsidP="006A447F">
      <w:pPr>
        <w:pStyle w:val="AGRBodyText"/>
      </w:pPr>
      <w:r>
        <w:t>The new model was called the Top End Medical Retrieval Service (TEMRS) and was based upon the successful contractor providing an integrated service based on fixed wing and rotary wing aircraft, logistics and medical staff for the Top End.</w:t>
      </w:r>
    </w:p>
    <w:p w:rsidR="006A447F" w:rsidRDefault="006A447F" w:rsidP="006A447F">
      <w:pPr>
        <w:pStyle w:val="AGRBodyText"/>
      </w:pPr>
      <w:r w:rsidRPr="00FC5B69">
        <w:t xml:space="preserve">While the contract with Pearl Aviation had been due to expire </w:t>
      </w:r>
      <w:r w:rsidRPr="00E342FE">
        <w:t>o</w:t>
      </w:r>
      <w:r w:rsidRPr="00A35416">
        <w:t>n 9 July 2014,</w:t>
      </w:r>
      <w:r>
        <w:t xml:space="preserve"> initial negotiations between the Department and Pearl</w:t>
      </w:r>
      <w:r w:rsidR="00BB2190">
        <w:t xml:space="preserve"> Aviation</w:t>
      </w:r>
      <w:r>
        <w:t xml:space="preserve"> were directed towards an expiry date of 31 December 2010.  However</w:t>
      </w:r>
      <w:r w:rsidR="00DA32E3">
        <w:t>,</w:t>
      </w:r>
      <w:r>
        <w:t xml:space="preserve"> as aircraft maintenance work was required if the aircraft were to continue the service, it was agreed that the contract would terminate on </w:t>
      </w:r>
      <w:r w:rsidRPr="00B456ED">
        <w:t>30 June 2010.</w:t>
      </w:r>
      <w:r>
        <w:t xml:space="preserve">  Pearl Aviation was provided with a compensation payment </w:t>
      </w:r>
      <w:r w:rsidR="00BB2190">
        <w:t xml:space="preserve">of $3.5 million, exclusive of GST </w:t>
      </w:r>
      <w:r>
        <w:t>for early termination.</w:t>
      </w:r>
    </w:p>
    <w:p w:rsidR="006A447F" w:rsidRDefault="006A447F" w:rsidP="006A447F">
      <w:pPr>
        <w:pStyle w:val="AGRBodyText"/>
      </w:pPr>
      <w:r>
        <w:t>Tenders for the new integrated TEMRS were advertised on 22 December 2009 and closed on 14 April 2010.</w:t>
      </w:r>
    </w:p>
    <w:p w:rsidR="00FF6577" w:rsidRDefault="00FF6577" w:rsidP="00FF6577">
      <w:pPr>
        <w:pStyle w:val="AGRBodyText"/>
      </w:pPr>
      <w:r>
        <w:t>As the contract with Pearl Aviation was scheduled to cease on 30 June 2010 and given the need to evaluate appropriately the tender responses received on 14 April 2010, while also providing sufficient time for the successful tenderer to establish the required service, an Interim Service provider was required.</w:t>
      </w:r>
    </w:p>
    <w:p w:rsidR="00FF6577" w:rsidRDefault="00FF6577" w:rsidP="00FF6577">
      <w:pPr>
        <w:pStyle w:val="AGRBodyText"/>
      </w:pPr>
      <w:r>
        <w:t xml:space="preserve">CareFlight was chosen to provide the Interim Service which commenced on 1 July 2010 and expired on 15 September 2011 following the granting of several extensions.  </w:t>
      </w:r>
    </w:p>
    <w:p w:rsidR="00FF6577" w:rsidRDefault="00FF6577" w:rsidP="00FF6577">
      <w:pPr>
        <w:pStyle w:val="AGRBodyText"/>
      </w:pPr>
      <w:r>
        <w:t>The Tender Assessment Panel undertook the tender evaluation for the TEMRS during the life of the Interim Service.  The assessment was a complex process, took considerable time and involved legal, aviation and Treasury expertise as well as drawing on Departmental resources including administration, contract and medical staff.  In February 2011 the Panel provided its recommendation to the Department’s Chief Executive (CE).</w:t>
      </w:r>
    </w:p>
    <w:p w:rsidR="00FF6577" w:rsidRDefault="00FF6577" w:rsidP="00FF6577">
      <w:pPr>
        <w:pStyle w:val="AGRBodyText"/>
      </w:pPr>
      <w:r>
        <w:t>Following the CE’s review, the service model was further refined and another round of discussions held with tenderers to clarify the service model requirements and to ascertain whether they could be achieved.</w:t>
      </w:r>
    </w:p>
    <w:p w:rsidR="007D2C81" w:rsidRPr="00717F48" w:rsidRDefault="007D2C81" w:rsidP="007D2C81">
      <w:pPr>
        <w:pStyle w:val="AGRHeading1"/>
      </w:pPr>
      <w:r>
        <w:t>Department of Health cont…</w:t>
      </w:r>
    </w:p>
    <w:p w:rsidR="006A447F" w:rsidRDefault="006A447F" w:rsidP="006A447F">
      <w:pPr>
        <w:pStyle w:val="AGRBodyText"/>
      </w:pPr>
      <w:r>
        <w:t xml:space="preserve">A decision was eventually reached, some 14 months </w:t>
      </w:r>
      <w:r w:rsidR="00FF71B7">
        <w:t>after Tenders closed, and on 16 </w:t>
      </w:r>
      <w:r>
        <w:t xml:space="preserve">June 2011 </w:t>
      </w:r>
      <w:proofErr w:type="spellStart"/>
      <w:r>
        <w:t>CareFlight</w:t>
      </w:r>
      <w:proofErr w:type="spellEnd"/>
      <w:r>
        <w:t xml:space="preserve"> was awarded the TEMRS contract for both the fixed wing and rotary wing components of the service.  The contract</w:t>
      </w:r>
      <w:r w:rsidR="00FF71B7">
        <w:t xml:space="preserve"> is for 10 years, expiring on 31 </w:t>
      </w:r>
      <w:r>
        <w:t>December 2022.</w:t>
      </w:r>
    </w:p>
    <w:p w:rsidR="006A447F" w:rsidRDefault="006A447F" w:rsidP="006A447F">
      <w:pPr>
        <w:pStyle w:val="AGRBodyText"/>
      </w:pPr>
      <w:r>
        <w:t>The contract commenced on 1 January 2013, with both the fixed and rotary wing services required to be transitioned from the transitional service arrangements to the new contract arrangements by 31 December 2012.  Figure 1 below shows the key dates.</w:t>
      </w:r>
    </w:p>
    <w:p w:rsidR="001018F7" w:rsidRPr="00717F48" w:rsidRDefault="001018F7" w:rsidP="001018F7">
      <w:pPr>
        <w:pStyle w:val="AGRHeading1"/>
      </w:pPr>
      <w:r>
        <w:t>Department of Health cont…</w:t>
      </w:r>
    </w:p>
    <w:p w:rsidR="007B1B9B" w:rsidRDefault="000546B6" w:rsidP="002F4F0B">
      <w:pPr>
        <w:pStyle w:val="AGRBodyText"/>
        <w:jc w:val="center"/>
        <w:rPr>
          <w:b/>
        </w:rPr>
      </w:pPr>
      <w:r w:rsidRPr="000546B6">
        <w:rPr>
          <w:noProof/>
          <w:lang w:val="en-AU" w:eastAsia="en-AU"/>
        </w:rPr>
        <w:drawing>
          <wp:anchor distT="0" distB="0" distL="114300" distR="114300" simplePos="0" relativeHeight="251679744" behindDoc="0" locked="0" layoutInCell="1" allowOverlap="1" wp14:anchorId="45567B1D" wp14:editId="21BDD3AA">
            <wp:simplePos x="0" y="0"/>
            <wp:positionH relativeFrom="page">
              <wp:posOffset>1447800</wp:posOffset>
            </wp:positionH>
            <wp:positionV relativeFrom="page">
              <wp:posOffset>3133090</wp:posOffset>
            </wp:positionV>
            <wp:extent cx="5255544" cy="5572125"/>
            <wp:effectExtent l="0" t="0" r="2540" b="0"/>
            <wp:wrapNone/>
            <wp:docPr id="56" name="Picture 56" descr="Key dates in contract" title="Key dates in 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255544" cy="5572125"/>
                    </a:xfrm>
                    <a:prstGeom prst="rect">
                      <a:avLst/>
                    </a:prstGeom>
                  </pic:spPr>
                </pic:pic>
              </a:graphicData>
            </a:graphic>
            <wp14:sizeRelH relativeFrom="page">
              <wp14:pctWidth>0</wp14:pctWidth>
            </wp14:sizeRelH>
            <wp14:sizeRelV relativeFrom="page">
              <wp14:pctHeight>0</wp14:pctHeight>
            </wp14:sizeRelV>
          </wp:anchor>
        </w:drawing>
      </w:r>
      <w:r w:rsidR="002F4F0B" w:rsidRPr="002F4F0B">
        <w:rPr>
          <w:b/>
        </w:rPr>
        <w:t>Figure 1</w:t>
      </w:r>
      <w:r w:rsidR="00D060F9">
        <w:rPr>
          <w:b/>
        </w:rPr>
        <w:br/>
      </w:r>
      <w:r w:rsidR="002F4F0B" w:rsidRPr="002F4F0B">
        <w:rPr>
          <w:b/>
        </w:rPr>
        <w:t>Key dates</w:t>
      </w:r>
    </w:p>
    <w:p w:rsidR="006A447F" w:rsidRDefault="006A447F" w:rsidP="002F4F0B">
      <w:pPr>
        <w:pStyle w:val="AGRBodyText"/>
        <w:jc w:val="center"/>
        <w:rPr>
          <w:b/>
        </w:rPr>
      </w:pPr>
    </w:p>
    <w:p w:rsidR="006A447F" w:rsidRDefault="006A447F" w:rsidP="002F4F0B">
      <w:pPr>
        <w:pStyle w:val="AGRBodyText"/>
        <w:jc w:val="center"/>
        <w:rPr>
          <w:b/>
        </w:rPr>
      </w:pPr>
    </w:p>
    <w:p w:rsidR="006A447F" w:rsidRDefault="006A447F" w:rsidP="002F4F0B">
      <w:pPr>
        <w:pStyle w:val="AGRBodyText"/>
        <w:jc w:val="center"/>
        <w:rPr>
          <w:b/>
        </w:rPr>
      </w:pPr>
    </w:p>
    <w:p w:rsidR="006A447F" w:rsidRDefault="006A447F" w:rsidP="002F4F0B">
      <w:pPr>
        <w:pStyle w:val="AGRBodyText"/>
        <w:jc w:val="center"/>
        <w:rPr>
          <w:b/>
        </w:rPr>
      </w:pPr>
    </w:p>
    <w:p w:rsidR="006A447F" w:rsidRDefault="006A447F" w:rsidP="002F4F0B">
      <w:pPr>
        <w:pStyle w:val="AGRBodyText"/>
        <w:jc w:val="center"/>
        <w:rPr>
          <w:b/>
        </w:rPr>
      </w:pPr>
    </w:p>
    <w:p w:rsidR="006A447F" w:rsidRDefault="006A447F" w:rsidP="002F4F0B">
      <w:pPr>
        <w:pStyle w:val="AGRBodyText"/>
        <w:jc w:val="center"/>
        <w:rPr>
          <w:b/>
        </w:rPr>
      </w:pPr>
    </w:p>
    <w:p w:rsidR="006A447F" w:rsidRDefault="006A447F" w:rsidP="002F4F0B">
      <w:pPr>
        <w:pStyle w:val="AGRBodyText"/>
        <w:jc w:val="center"/>
        <w:rPr>
          <w:b/>
        </w:rPr>
      </w:pPr>
    </w:p>
    <w:p w:rsidR="006A447F" w:rsidRDefault="006A447F" w:rsidP="002F4F0B">
      <w:pPr>
        <w:pStyle w:val="AGRBodyText"/>
        <w:jc w:val="center"/>
        <w:rPr>
          <w:b/>
        </w:rPr>
      </w:pPr>
    </w:p>
    <w:p w:rsidR="006A447F" w:rsidRDefault="006A447F" w:rsidP="002F4F0B">
      <w:pPr>
        <w:pStyle w:val="AGRBodyText"/>
        <w:jc w:val="center"/>
        <w:rPr>
          <w:b/>
        </w:rPr>
      </w:pPr>
    </w:p>
    <w:p w:rsidR="006A447F" w:rsidRDefault="006A447F" w:rsidP="002F4F0B">
      <w:pPr>
        <w:pStyle w:val="AGRBodyText"/>
        <w:jc w:val="center"/>
        <w:rPr>
          <w:b/>
        </w:rPr>
      </w:pPr>
    </w:p>
    <w:p w:rsidR="006A447F" w:rsidRDefault="006A447F" w:rsidP="002F4F0B">
      <w:pPr>
        <w:pStyle w:val="AGRBodyText"/>
        <w:jc w:val="center"/>
      </w:pPr>
    </w:p>
    <w:p w:rsidR="002F4F0B" w:rsidRDefault="002F4F0B" w:rsidP="002F4F0B">
      <w:pPr>
        <w:pStyle w:val="AGRBodyText"/>
      </w:pPr>
    </w:p>
    <w:p w:rsidR="007B1B9B" w:rsidRDefault="007B1B9B" w:rsidP="007B1B9B"/>
    <w:p w:rsidR="007B1B9B" w:rsidRDefault="007B1B9B" w:rsidP="007B1B9B"/>
    <w:p w:rsidR="007B1B9B" w:rsidRDefault="007B1B9B" w:rsidP="007B1B9B"/>
    <w:p w:rsidR="007B1B9B" w:rsidRDefault="007B1B9B" w:rsidP="007B1B9B"/>
    <w:p w:rsidR="007B1B9B" w:rsidRDefault="007B1B9B" w:rsidP="007B1B9B"/>
    <w:p w:rsidR="007B1B9B" w:rsidRDefault="007B1B9B" w:rsidP="007B1B9B"/>
    <w:p w:rsidR="007B1B9B" w:rsidRDefault="007B1B9B" w:rsidP="007B1B9B"/>
    <w:p w:rsidR="007B1B9B" w:rsidRDefault="007B1B9B" w:rsidP="007B1B9B"/>
    <w:p w:rsidR="006A447F" w:rsidRDefault="006A447F" w:rsidP="006A447F">
      <w:pPr>
        <w:pStyle w:val="AGRBodyText"/>
      </w:pPr>
    </w:p>
    <w:p w:rsidR="006A447F" w:rsidRDefault="006A447F" w:rsidP="006A447F">
      <w:pPr>
        <w:pStyle w:val="AGRBodyText"/>
      </w:pPr>
      <w:r>
        <w:t>The TEMRS contract is complex as it is required to deal with both aviation and medical matters and accompanying that contract are a number of subordinate contracts including finance, leasing and other agreements.</w:t>
      </w:r>
    </w:p>
    <w:p w:rsidR="001018F7" w:rsidRPr="00717F48" w:rsidRDefault="001018F7" w:rsidP="001018F7">
      <w:pPr>
        <w:pStyle w:val="AGRHeading1"/>
      </w:pPr>
      <w:r>
        <w:t>Department of Health cont…</w:t>
      </w:r>
    </w:p>
    <w:p w:rsidR="007B1B9B" w:rsidRPr="008F65BC" w:rsidRDefault="007B1B9B" w:rsidP="007B1B9B">
      <w:pPr>
        <w:pStyle w:val="AGRHeading3"/>
      </w:pPr>
      <w:r w:rsidRPr="008F65BC">
        <w:t>Significant expense</w:t>
      </w:r>
    </w:p>
    <w:p w:rsidR="007B1B9B" w:rsidRDefault="007B2F8C" w:rsidP="000D3E41">
      <w:pPr>
        <w:pStyle w:val="AGRBodyText"/>
      </w:pPr>
      <w:r>
        <w:t>The TEMRS is a significant contract with an annual budgeted cost of $26.7 million, GST exclusive.</w:t>
      </w:r>
      <w:r>
        <w:rPr>
          <w:rStyle w:val="FootnoteReference"/>
        </w:rPr>
        <w:footnoteReference w:id="1"/>
      </w:r>
      <w:r>
        <w:t xml:space="preserve">  It is a challenging </w:t>
      </w:r>
      <w:r w:rsidR="00882440">
        <w:t xml:space="preserve">contract </w:t>
      </w:r>
      <w:r>
        <w:t xml:space="preserve">to manage in terms its complexity and largely due to events requiring aero-medical retrieval being difficult to forecast with reliability. </w:t>
      </w:r>
    </w:p>
    <w:p w:rsidR="007B1B9B" w:rsidRDefault="007B1B9B" w:rsidP="000D3E41">
      <w:pPr>
        <w:pStyle w:val="AGRBodyText"/>
      </w:pPr>
      <w:r>
        <w:t xml:space="preserve">Aero medical retrieval is initiated by medical staff within the Department/Hospital Network and outside of the contract management staff/administration control.  This separation of roles can give rise to divergent views with one group focused on minimising risk to people while the other may be concerned about the costs of doing so.  The collection of adequate and appropriate data and proper data analysis, with accompanying training of medical staff may assist in </w:t>
      </w:r>
      <w:r w:rsidR="00882440">
        <w:t>providing</w:t>
      </w:r>
      <w:r>
        <w:t xml:space="preserve"> a useful basis for preventing the emergence of conflicts in this area.</w:t>
      </w:r>
    </w:p>
    <w:p w:rsidR="007B1B9B" w:rsidRPr="000D3E41" w:rsidRDefault="00770D78" w:rsidP="000D3E41">
      <w:pPr>
        <w:pStyle w:val="AGRBodyText"/>
      </w:pPr>
      <w:r>
        <w:t>For 2012-</w:t>
      </w:r>
      <w:r w:rsidR="007B1B9B" w:rsidRPr="000D3E41">
        <w:t xml:space="preserve">13, payments to CareFlight to 31 March 2013 amounted to $23 million.  Given that the Department was in the midst of establishing and transferring expenditure to separately identify the TEMRS from the low acuity services provided, the splits recorded below should be </w:t>
      </w:r>
      <w:r w:rsidR="00F12B2F">
        <w:t>viewed</w:t>
      </w:r>
      <w:r w:rsidR="007B1B9B" w:rsidRPr="000D3E41">
        <w:t xml:space="preserve"> with some caution.  I did not audit the transactions or the recording of expenditure as part of this audit.</w:t>
      </w:r>
    </w:p>
    <w:p w:rsidR="00D060F9" w:rsidRDefault="005F0F2D" w:rsidP="005F0F2D">
      <w:pPr>
        <w:pStyle w:val="AGRBodyText"/>
        <w:jc w:val="center"/>
        <w:rPr>
          <w:b/>
        </w:rPr>
      </w:pPr>
      <w:r>
        <w:rPr>
          <w:b/>
        </w:rPr>
        <w:t>Table 1</w:t>
      </w:r>
      <w:r w:rsidR="00D060F9">
        <w:rPr>
          <w:b/>
        </w:rPr>
        <w:br/>
      </w:r>
      <w:r w:rsidR="007B1B9B" w:rsidRPr="005F0F2D">
        <w:rPr>
          <w:b/>
        </w:rPr>
        <w:t>Payments to CareFlight 1 July 2012 to 31 March 2013</w:t>
      </w:r>
      <w:r w:rsidR="00D060F9">
        <w:rPr>
          <w:b/>
        </w:rPr>
        <w:br/>
      </w:r>
    </w:p>
    <w:tbl>
      <w:tblPr>
        <w:tblW w:w="8080" w:type="dxa"/>
        <w:tblInd w:w="959" w:type="dxa"/>
        <w:tblLayout w:type="fixed"/>
        <w:tblLook w:val="04A0" w:firstRow="1" w:lastRow="0" w:firstColumn="1" w:lastColumn="0" w:noHBand="0" w:noVBand="1"/>
      </w:tblPr>
      <w:tblGrid>
        <w:gridCol w:w="1984"/>
        <w:gridCol w:w="1276"/>
        <w:gridCol w:w="1418"/>
        <w:gridCol w:w="1212"/>
        <w:gridCol w:w="914"/>
        <w:gridCol w:w="1276"/>
      </w:tblGrid>
      <w:tr w:rsidR="007B1B9B" w:rsidRPr="006671F5" w:rsidTr="00770D78">
        <w:trPr>
          <w:trHeight w:val="778"/>
        </w:trPr>
        <w:tc>
          <w:tcPr>
            <w:tcW w:w="1984" w:type="dxa"/>
            <w:tcBorders>
              <w:top w:val="nil"/>
              <w:left w:val="nil"/>
              <w:bottom w:val="single" w:sz="4" w:space="0" w:color="auto"/>
              <w:right w:val="nil"/>
            </w:tcBorders>
            <w:shd w:val="clear" w:color="auto" w:fill="auto"/>
            <w:hideMark/>
          </w:tcPr>
          <w:p w:rsidR="007B1B9B" w:rsidRPr="006671F5" w:rsidRDefault="007B1B9B" w:rsidP="006F0B22">
            <w:pPr>
              <w:spacing w:after="0" w:line="240" w:lineRule="auto"/>
              <w:ind w:left="34"/>
              <w:rPr>
                <w:rFonts w:cs="Arial"/>
                <w:b/>
                <w:bCs/>
                <w:color w:val="000000"/>
                <w:sz w:val="16"/>
                <w:szCs w:val="16"/>
              </w:rPr>
            </w:pPr>
            <w:r w:rsidRPr="006671F5">
              <w:rPr>
                <w:rFonts w:cs="Arial"/>
                <w:b/>
                <w:bCs/>
                <w:color w:val="000000"/>
                <w:sz w:val="16"/>
                <w:szCs w:val="16"/>
              </w:rPr>
              <w:t>Cost Centre</w:t>
            </w:r>
          </w:p>
        </w:tc>
        <w:tc>
          <w:tcPr>
            <w:tcW w:w="1276" w:type="dxa"/>
            <w:tcBorders>
              <w:top w:val="nil"/>
              <w:left w:val="nil"/>
              <w:bottom w:val="single" w:sz="4" w:space="0" w:color="auto"/>
              <w:right w:val="nil"/>
            </w:tcBorders>
            <w:shd w:val="clear" w:color="auto" w:fill="auto"/>
            <w:hideMark/>
          </w:tcPr>
          <w:p w:rsidR="007B1B9B" w:rsidRPr="006671F5" w:rsidRDefault="007B1B9B" w:rsidP="006F0B22">
            <w:pPr>
              <w:spacing w:after="0" w:line="240" w:lineRule="auto"/>
              <w:ind w:left="0"/>
              <w:jc w:val="center"/>
              <w:rPr>
                <w:rFonts w:cs="Arial"/>
                <w:b/>
                <w:bCs/>
                <w:color w:val="000000"/>
                <w:sz w:val="16"/>
                <w:szCs w:val="16"/>
              </w:rPr>
            </w:pPr>
            <w:r w:rsidRPr="006671F5">
              <w:rPr>
                <w:rFonts w:cs="Arial"/>
                <w:b/>
                <w:bCs/>
                <w:color w:val="000000"/>
                <w:sz w:val="16"/>
                <w:szCs w:val="16"/>
              </w:rPr>
              <w:t>Budget YTD March</w:t>
            </w:r>
          </w:p>
        </w:tc>
        <w:tc>
          <w:tcPr>
            <w:tcW w:w="1418" w:type="dxa"/>
            <w:tcBorders>
              <w:top w:val="nil"/>
              <w:left w:val="nil"/>
              <w:bottom w:val="single" w:sz="4" w:space="0" w:color="auto"/>
              <w:right w:val="nil"/>
            </w:tcBorders>
            <w:shd w:val="clear" w:color="auto" w:fill="auto"/>
            <w:hideMark/>
          </w:tcPr>
          <w:p w:rsidR="007B1B9B" w:rsidRPr="006671F5" w:rsidRDefault="007B1B9B" w:rsidP="006F0B22">
            <w:pPr>
              <w:spacing w:after="0" w:line="240" w:lineRule="auto"/>
              <w:ind w:left="69"/>
              <w:jc w:val="center"/>
              <w:rPr>
                <w:rFonts w:cs="Arial"/>
                <w:b/>
                <w:bCs/>
                <w:color w:val="000000"/>
                <w:sz w:val="16"/>
                <w:szCs w:val="16"/>
              </w:rPr>
            </w:pPr>
            <w:r w:rsidRPr="006671F5">
              <w:rPr>
                <w:rFonts w:cs="Arial"/>
                <w:b/>
                <w:bCs/>
                <w:color w:val="000000"/>
                <w:sz w:val="16"/>
                <w:szCs w:val="16"/>
              </w:rPr>
              <w:t>Expend YTD March</w:t>
            </w:r>
          </w:p>
        </w:tc>
        <w:tc>
          <w:tcPr>
            <w:tcW w:w="1212" w:type="dxa"/>
            <w:tcBorders>
              <w:top w:val="nil"/>
              <w:left w:val="nil"/>
              <w:bottom w:val="single" w:sz="4" w:space="0" w:color="auto"/>
              <w:right w:val="nil"/>
            </w:tcBorders>
            <w:shd w:val="clear" w:color="auto" w:fill="auto"/>
            <w:hideMark/>
          </w:tcPr>
          <w:p w:rsidR="007B1B9B" w:rsidRPr="006671F5" w:rsidRDefault="007B1B9B" w:rsidP="006F0B22">
            <w:pPr>
              <w:spacing w:after="0" w:line="240" w:lineRule="auto"/>
              <w:ind w:left="0"/>
              <w:jc w:val="center"/>
              <w:rPr>
                <w:rFonts w:cs="Arial"/>
                <w:b/>
                <w:bCs/>
                <w:color w:val="000000"/>
                <w:sz w:val="16"/>
                <w:szCs w:val="16"/>
              </w:rPr>
            </w:pPr>
            <w:r w:rsidRPr="006671F5">
              <w:rPr>
                <w:rFonts w:cs="Arial"/>
                <w:b/>
                <w:bCs/>
                <w:color w:val="000000"/>
                <w:sz w:val="16"/>
                <w:szCs w:val="16"/>
              </w:rPr>
              <w:t>$ Variance YTD March</w:t>
            </w:r>
          </w:p>
        </w:tc>
        <w:tc>
          <w:tcPr>
            <w:tcW w:w="914" w:type="dxa"/>
            <w:tcBorders>
              <w:top w:val="nil"/>
              <w:left w:val="nil"/>
              <w:bottom w:val="single" w:sz="4" w:space="0" w:color="auto"/>
              <w:right w:val="nil"/>
            </w:tcBorders>
            <w:shd w:val="clear" w:color="auto" w:fill="auto"/>
            <w:hideMark/>
          </w:tcPr>
          <w:p w:rsidR="007B1B9B" w:rsidRPr="006671F5" w:rsidRDefault="007B1B9B" w:rsidP="006F0B22">
            <w:pPr>
              <w:spacing w:after="0" w:line="240" w:lineRule="auto"/>
              <w:ind w:left="0"/>
              <w:jc w:val="center"/>
              <w:rPr>
                <w:rFonts w:cs="Arial"/>
                <w:b/>
                <w:bCs/>
                <w:color w:val="000000"/>
                <w:sz w:val="16"/>
                <w:szCs w:val="16"/>
              </w:rPr>
            </w:pPr>
            <w:r w:rsidRPr="006671F5">
              <w:rPr>
                <w:rFonts w:cs="Arial"/>
                <w:b/>
                <w:bCs/>
                <w:color w:val="000000"/>
                <w:sz w:val="16"/>
                <w:szCs w:val="16"/>
              </w:rPr>
              <w:t>% Variance YTD March</w:t>
            </w:r>
          </w:p>
        </w:tc>
        <w:tc>
          <w:tcPr>
            <w:tcW w:w="1276" w:type="dxa"/>
            <w:tcBorders>
              <w:top w:val="nil"/>
              <w:left w:val="nil"/>
              <w:bottom w:val="single" w:sz="4" w:space="0" w:color="auto"/>
              <w:right w:val="nil"/>
            </w:tcBorders>
            <w:shd w:val="clear" w:color="auto" w:fill="auto"/>
            <w:hideMark/>
          </w:tcPr>
          <w:p w:rsidR="007B1B9B" w:rsidRPr="006671F5" w:rsidRDefault="007B1B9B" w:rsidP="006F0B22">
            <w:pPr>
              <w:spacing w:after="0" w:line="240" w:lineRule="auto"/>
              <w:ind w:left="0"/>
              <w:jc w:val="center"/>
              <w:rPr>
                <w:rFonts w:cs="Arial"/>
                <w:b/>
                <w:bCs/>
                <w:color w:val="000000"/>
                <w:sz w:val="16"/>
                <w:szCs w:val="16"/>
              </w:rPr>
            </w:pPr>
            <w:r w:rsidRPr="006671F5">
              <w:rPr>
                <w:rFonts w:cs="Arial"/>
                <w:b/>
                <w:bCs/>
                <w:color w:val="000000"/>
                <w:sz w:val="16"/>
                <w:szCs w:val="16"/>
              </w:rPr>
              <w:t>Full Year Budget</w:t>
            </w:r>
          </w:p>
        </w:tc>
      </w:tr>
      <w:tr w:rsidR="007B1B9B" w:rsidRPr="006671F5" w:rsidTr="00770D78">
        <w:trPr>
          <w:trHeight w:val="300"/>
        </w:trPr>
        <w:tc>
          <w:tcPr>
            <w:tcW w:w="1984" w:type="dxa"/>
            <w:tcBorders>
              <w:top w:val="single" w:sz="4" w:space="0" w:color="auto"/>
              <w:left w:val="nil"/>
              <w:bottom w:val="nil"/>
              <w:right w:val="nil"/>
            </w:tcBorders>
            <w:shd w:val="clear" w:color="auto" w:fill="auto"/>
            <w:noWrap/>
            <w:vAlign w:val="bottom"/>
            <w:hideMark/>
          </w:tcPr>
          <w:p w:rsidR="007B1B9B" w:rsidRPr="006671F5" w:rsidRDefault="007B1B9B" w:rsidP="006F0B22">
            <w:pPr>
              <w:spacing w:after="0" w:line="240" w:lineRule="auto"/>
              <w:ind w:left="34"/>
              <w:rPr>
                <w:rFonts w:cs="Arial"/>
                <w:color w:val="000000"/>
                <w:sz w:val="16"/>
                <w:szCs w:val="16"/>
              </w:rPr>
            </w:pPr>
            <w:r w:rsidRPr="006671F5">
              <w:rPr>
                <w:rFonts w:cs="Arial"/>
                <w:color w:val="000000"/>
                <w:sz w:val="16"/>
                <w:szCs w:val="16"/>
              </w:rPr>
              <w:t>721499 Careflight</w:t>
            </w:r>
          </w:p>
        </w:tc>
        <w:tc>
          <w:tcPr>
            <w:tcW w:w="1276" w:type="dxa"/>
            <w:tcBorders>
              <w:top w:val="single" w:sz="4" w:space="0" w:color="auto"/>
              <w:left w:val="nil"/>
              <w:bottom w:val="nil"/>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r w:rsidRPr="006671F5">
              <w:rPr>
                <w:rFonts w:cs="Arial"/>
                <w:color w:val="000000"/>
                <w:sz w:val="16"/>
                <w:szCs w:val="16"/>
              </w:rPr>
              <w:t xml:space="preserve">23,299,411.00 </w:t>
            </w:r>
          </w:p>
        </w:tc>
        <w:tc>
          <w:tcPr>
            <w:tcW w:w="1418" w:type="dxa"/>
            <w:tcBorders>
              <w:top w:val="single" w:sz="4" w:space="0" w:color="auto"/>
              <w:left w:val="nil"/>
              <w:bottom w:val="nil"/>
              <w:right w:val="nil"/>
            </w:tcBorders>
            <w:shd w:val="clear" w:color="auto" w:fill="auto"/>
            <w:noWrap/>
            <w:vAlign w:val="bottom"/>
            <w:hideMark/>
          </w:tcPr>
          <w:p w:rsidR="007B1B9B" w:rsidRPr="006671F5" w:rsidRDefault="007B1B9B" w:rsidP="006F0B22">
            <w:pPr>
              <w:spacing w:after="0" w:line="240" w:lineRule="auto"/>
              <w:ind w:left="69"/>
              <w:jc w:val="right"/>
              <w:rPr>
                <w:rFonts w:cs="Arial"/>
                <w:color w:val="000000"/>
                <w:sz w:val="16"/>
                <w:szCs w:val="16"/>
              </w:rPr>
            </w:pPr>
            <w:r w:rsidRPr="006671F5">
              <w:rPr>
                <w:rFonts w:cs="Arial"/>
                <w:color w:val="000000"/>
                <w:sz w:val="16"/>
                <w:szCs w:val="16"/>
              </w:rPr>
              <w:t xml:space="preserve">20,075,889.79 </w:t>
            </w:r>
          </w:p>
        </w:tc>
        <w:tc>
          <w:tcPr>
            <w:tcW w:w="1212" w:type="dxa"/>
            <w:tcBorders>
              <w:top w:val="single" w:sz="4" w:space="0" w:color="auto"/>
              <w:left w:val="nil"/>
              <w:bottom w:val="nil"/>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r w:rsidRPr="006671F5">
              <w:rPr>
                <w:rFonts w:cs="Arial"/>
                <w:color w:val="000000"/>
                <w:sz w:val="16"/>
                <w:szCs w:val="16"/>
              </w:rPr>
              <w:t xml:space="preserve">3,223,521.21 </w:t>
            </w:r>
          </w:p>
        </w:tc>
        <w:tc>
          <w:tcPr>
            <w:tcW w:w="914" w:type="dxa"/>
            <w:tcBorders>
              <w:top w:val="single" w:sz="4" w:space="0" w:color="auto"/>
              <w:left w:val="nil"/>
              <w:bottom w:val="nil"/>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r w:rsidRPr="006671F5">
              <w:rPr>
                <w:rFonts w:cs="Arial"/>
                <w:color w:val="000000"/>
                <w:sz w:val="16"/>
                <w:szCs w:val="16"/>
              </w:rPr>
              <w:t xml:space="preserve">13.84 </w:t>
            </w:r>
          </w:p>
        </w:tc>
        <w:tc>
          <w:tcPr>
            <w:tcW w:w="1276" w:type="dxa"/>
            <w:tcBorders>
              <w:top w:val="single" w:sz="4" w:space="0" w:color="auto"/>
              <w:left w:val="nil"/>
              <w:bottom w:val="nil"/>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r w:rsidRPr="006671F5">
              <w:rPr>
                <w:rFonts w:cs="Arial"/>
                <w:color w:val="000000"/>
                <w:sz w:val="16"/>
                <w:szCs w:val="16"/>
              </w:rPr>
              <w:t xml:space="preserve">30,613,826.00 </w:t>
            </w:r>
          </w:p>
        </w:tc>
      </w:tr>
      <w:tr w:rsidR="007B1B9B" w:rsidRPr="006671F5" w:rsidTr="00770D78">
        <w:trPr>
          <w:trHeight w:val="300"/>
        </w:trPr>
        <w:tc>
          <w:tcPr>
            <w:tcW w:w="1984" w:type="dxa"/>
            <w:tcBorders>
              <w:top w:val="nil"/>
              <w:left w:val="nil"/>
              <w:bottom w:val="nil"/>
              <w:right w:val="nil"/>
            </w:tcBorders>
            <w:shd w:val="clear" w:color="auto" w:fill="auto"/>
            <w:noWrap/>
            <w:vAlign w:val="bottom"/>
            <w:hideMark/>
          </w:tcPr>
          <w:p w:rsidR="007B1B9B" w:rsidRPr="006671F5" w:rsidRDefault="007B1B9B" w:rsidP="006F0B22">
            <w:pPr>
              <w:spacing w:after="0" w:line="240" w:lineRule="auto"/>
              <w:ind w:left="34"/>
              <w:rPr>
                <w:rFonts w:cs="Arial"/>
                <w:color w:val="000000"/>
                <w:sz w:val="16"/>
                <w:szCs w:val="16"/>
              </w:rPr>
            </w:pPr>
            <w:r w:rsidRPr="006671F5">
              <w:rPr>
                <w:rFonts w:cs="Arial"/>
                <w:color w:val="000000"/>
                <w:sz w:val="16"/>
                <w:szCs w:val="16"/>
              </w:rPr>
              <w:t>724175 Careflight CME Plane</w:t>
            </w:r>
          </w:p>
        </w:tc>
        <w:tc>
          <w:tcPr>
            <w:tcW w:w="1276" w:type="dxa"/>
            <w:tcBorders>
              <w:top w:val="nil"/>
              <w:left w:val="nil"/>
              <w:bottom w:val="nil"/>
              <w:right w:val="nil"/>
            </w:tcBorders>
            <w:shd w:val="clear" w:color="auto" w:fill="auto"/>
            <w:noWrap/>
            <w:vAlign w:val="bottom"/>
            <w:hideMark/>
          </w:tcPr>
          <w:p w:rsidR="007B1B9B" w:rsidRPr="006671F5" w:rsidRDefault="007B1B9B" w:rsidP="006F0B22">
            <w:pPr>
              <w:spacing w:after="0" w:line="240" w:lineRule="auto"/>
              <w:ind w:left="-131" w:firstLine="131"/>
              <w:jc w:val="right"/>
              <w:rPr>
                <w:rFonts w:cs="Arial"/>
                <w:color w:val="000000"/>
                <w:sz w:val="16"/>
                <w:szCs w:val="16"/>
              </w:rPr>
            </w:pPr>
          </w:p>
        </w:tc>
        <w:tc>
          <w:tcPr>
            <w:tcW w:w="1418" w:type="dxa"/>
            <w:tcBorders>
              <w:top w:val="nil"/>
              <w:left w:val="nil"/>
              <w:bottom w:val="nil"/>
              <w:right w:val="nil"/>
            </w:tcBorders>
            <w:shd w:val="clear" w:color="auto" w:fill="auto"/>
            <w:noWrap/>
            <w:vAlign w:val="bottom"/>
            <w:hideMark/>
          </w:tcPr>
          <w:p w:rsidR="007B1B9B" w:rsidRPr="006671F5" w:rsidRDefault="007B1B9B" w:rsidP="006F0B22">
            <w:pPr>
              <w:spacing w:after="0" w:line="240" w:lineRule="auto"/>
              <w:ind w:left="69"/>
              <w:jc w:val="right"/>
              <w:rPr>
                <w:rFonts w:cs="Arial"/>
                <w:color w:val="000000"/>
                <w:sz w:val="16"/>
                <w:szCs w:val="16"/>
              </w:rPr>
            </w:pPr>
            <w:r w:rsidRPr="006671F5">
              <w:rPr>
                <w:rFonts w:cs="Arial"/>
                <w:color w:val="000000"/>
                <w:sz w:val="16"/>
                <w:szCs w:val="16"/>
              </w:rPr>
              <w:t xml:space="preserve">2,904,479.36 </w:t>
            </w:r>
          </w:p>
        </w:tc>
        <w:tc>
          <w:tcPr>
            <w:tcW w:w="1212" w:type="dxa"/>
            <w:tcBorders>
              <w:top w:val="nil"/>
              <w:left w:val="nil"/>
              <w:bottom w:val="nil"/>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r w:rsidRPr="006671F5">
              <w:rPr>
                <w:rFonts w:cs="Arial"/>
                <w:color w:val="000000"/>
                <w:sz w:val="16"/>
                <w:szCs w:val="16"/>
              </w:rPr>
              <w:t xml:space="preserve">- 2,904,479.36 </w:t>
            </w:r>
          </w:p>
        </w:tc>
        <w:tc>
          <w:tcPr>
            <w:tcW w:w="914" w:type="dxa"/>
            <w:tcBorders>
              <w:top w:val="nil"/>
              <w:left w:val="nil"/>
              <w:bottom w:val="nil"/>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p>
        </w:tc>
        <w:tc>
          <w:tcPr>
            <w:tcW w:w="1276" w:type="dxa"/>
            <w:tcBorders>
              <w:top w:val="nil"/>
              <w:left w:val="nil"/>
              <w:bottom w:val="nil"/>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p>
        </w:tc>
      </w:tr>
      <w:tr w:rsidR="007B1B9B" w:rsidRPr="006671F5" w:rsidTr="00770D78">
        <w:trPr>
          <w:trHeight w:val="300"/>
        </w:trPr>
        <w:tc>
          <w:tcPr>
            <w:tcW w:w="1984" w:type="dxa"/>
            <w:tcBorders>
              <w:top w:val="nil"/>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34"/>
              <w:rPr>
                <w:rFonts w:cs="Arial"/>
                <w:color w:val="000000"/>
                <w:sz w:val="16"/>
                <w:szCs w:val="16"/>
              </w:rPr>
            </w:pPr>
            <w:r w:rsidRPr="006671F5">
              <w:rPr>
                <w:rFonts w:cs="Arial"/>
                <w:color w:val="000000"/>
                <w:sz w:val="16"/>
                <w:szCs w:val="16"/>
              </w:rPr>
              <w:t>724180 TEMRS HANGERS</w:t>
            </w:r>
          </w:p>
        </w:tc>
        <w:tc>
          <w:tcPr>
            <w:tcW w:w="1276" w:type="dxa"/>
            <w:tcBorders>
              <w:top w:val="nil"/>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p>
        </w:tc>
        <w:tc>
          <w:tcPr>
            <w:tcW w:w="1418" w:type="dxa"/>
            <w:tcBorders>
              <w:top w:val="nil"/>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69"/>
              <w:jc w:val="right"/>
              <w:rPr>
                <w:rFonts w:cs="Arial"/>
                <w:color w:val="000000"/>
                <w:sz w:val="16"/>
                <w:szCs w:val="16"/>
              </w:rPr>
            </w:pPr>
            <w:r w:rsidRPr="006671F5">
              <w:rPr>
                <w:rFonts w:cs="Arial"/>
                <w:color w:val="000000"/>
                <w:sz w:val="16"/>
                <w:szCs w:val="16"/>
              </w:rPr>
              <w:t xml:space="preserve">-   </w:t>
            </w:r>
          </w:p>
        </w:tc>
        <w:tc>
          <w:tcPr>
            <w:tcW w:w="1212" w:type="dxa"/>
            <w:tcBorders>
              <w:top w:val="nil"/>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r w:rsidRPr="006671F5">
              <w:rPr>
                <w:rFonts w:cs="Arial"/>
                <w:color w:val="000000"/>
                <w:sz w:val="16"/>
                <w:szCs w:val="16"/>
              </w:rPr>
              <w:t xml:space="preserve">         -   </w:t>
            </w:r>
          </w:p>
        </w:tc>
        <w:tc>
          <w:tcPr>
            <w:tcW w:w="914" w:type="dxa"/>
            <w:tcBorders>
              <w:top w:val="nil"/>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0"/>
              <w:jc w:val="right"/>
              <w:rPr>
                <w:rFonts w:cs="Arial"/>
                <w:color w:val="000000"/>
                <w:sz w:val="16"/>
                <w:szCs w:val="16"/>
              </w:rPr>
            </w:pPr>
          </w:p>
        </w:tc>
      </w:tr>
      <w:tr w:rsidR="007B1B9B" w:rsidRPr="006671F5" w:rsidTr="00770D78">
        <w:trPr>
          <w:trHeight w:val="315"/>
        </w:trPr>
        <w:tc>
          <w:tcPr>
            <w:tcW w:w="1984" w:type="dxa"/>
            <w:tcBorders>
              <w:top w:val="single" w:sz="4" w:space="0" w:color="auto"/>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34"/>
              <w:rPr>
                <w:rFonts w:cs="Arial"/>
                <w:b/>
                <w:bCs/>
                <w:color w:val="000000"/>
                <w:sz w:val="16"/>
                <w:szCs w:val="16"/>
              </w:rPr>
            </w:pPr>
            <w:r w:rsidRPr="006671F5">
              <w:rPr>
                <w:rFonts w:cs="Arial"/>
                <w:b/>
                <w:bCs/>
                <w:color w:val="000000"/>
                <w:sz w:val="16"/>
                <w:szCs w:val="16"/>
              </w:rPr>
              <w:t>Total</w:t>
            </w:r>
          </w:p>
        </w:tc>
        <w:tc>
          <w:tcPr>
            <w:tcW w:w="1276" w:type="dxa"/>
            <w:tcBorders>
              <w:top w:val="single" w:sz="4" w:space="0" w:color="auto"/>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0"/>
              <w:jc w:val="right"/>
              <w:rPr>
                <w:rFonts w:cs="Arial"/>
                <w:b/>
                <w:bCs/>
                <w:color w:val="000000"/>
                <w:sz w:val="16"/>
                <w:szCs w:val="16"/>
              </w:rPr>
            </w:pPr>
            <w:r w:rsidRPr="006671F5">
              <w:rPr>
                <w:rFonts w:cs="Arial"/>
                <w:b/>
                <w:bCs/>
                <w:color w:val="000000"/>
                <w:sz w:val="16"/>
                <w:szCs w:val="16"/>
              </w:rPr>
              <w:t xml:space="preserve">23,299,411.00 </w:t>
            </w:r>
          </w:p>
        </w:tc>
        <w:tc>
          <w:tcPr>
            <w:tcW w:w="1418" w:type="dxa"/>
            <w:tcBorders>
              <w:top w:val="single" w:sz="4" w:space="0" w:color="auto"/>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69"/>
              <w:jc w:val="right"/>
              <w:rPr>
                <w:rFonts w:cs="Arial"/>
                <w:b/>
                <w:bCs/>
                <w:color w:val="000000"/>
                <w:sz w:val="16"/>
                <w:szCs w:val="16"/>
              </w:rPr>
            </w:pPr>
            <w:r w:rsidRPr="006671F5">
              <w:rPr>
                <w:rFonts w:cs="Arial"/>
                <w:b/>
                <w:bCs/>
                <w:color w:val="000000"/>
                <w:sz w:val="16"/>
                <w:szCs w:val="16"/>
              </w:rPr>
              <w:t xml:space="preserve">22,980,369.15 </w:t>
            </w:r>
          </w:p>
        </w:tc>
        <w:tc>
          <w:tcPr>
            <w:tcW w:w="1212" w:type="dxa"/>
            <w:tcBorders>
              <w:top w:val="single" w:sz="4" w:space="0" w:color="auto"/>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0"/>
              <w:jc w:val="right"/>
              <w:rPr>
                <w:rFonts w:cs="Arial"/>
                <w:b/>
                <w:bCs/>
                <w:color w:val="000000"/>
                <w:sz w:val="16"/>
                <w:szCs w:val="16"/>
              </w:rPr>
            </w:pPr>
            <w:r w:rsidRPr="006671F5">
              <w:rPr>
                <w:rFonts w:cs="Arial"/>
                <w:b/>
                <w:bCs/>
                <w:color w:val="000000"/>
                <w:sz w:val="16"/>
                <w:szCs w:val="16"/>
              </w:rPr>
              <w:t xml:space="preserve">319,041.85 </w:t>
            </w:r>
          </w:p>
        </w:tc>
        <w:tc>
          <w:tcPr>
            <w:tcW w:w="914" w:type="dxa"/>
            <w:tcBorders>
              <w:top w:val="single" w:sz="4" w:space="0" w:color="auto"/>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0"/>
              <w:jc w:val="right"/>
              <w:rPr>
                <w:rFonts w:cs="Arial"/>
                <w:b/>
                <w:bCs/>
                <w:color w:val="000000"/>
                <w:sz w:val="16"/>
                <w:szCs w:val="16"/>
              </w:rPr>
            </w:pPr>
            <w:r w:rsidRPr="006671F5">
              <w:rPr>
                <w:rFonts w:cs="Arial"/>
                <w:b/>
                <w:bCs/>
                <w:color w:val="000000"/>
                <w:sz w:val="16"/>
                <w:szCs w:val="16"/>
              </w:rPr>
              <w:t xml:space="preserve">1.37 </w:t>
            </w:r>
          </w:p>
        </w:tc>
        <w:tc>
          <w:tcPr>
            <w:tcW w:w="1276" w:type="dxa"/>
            <w:tcBorders>
              <w:top w:val="single" w:sz="4" w:space="0" w:color="auto"/>
              <w:left w:val="nil"/>
              <w:bottom w:val="single" w:sz="4" w:space="0" w:color="auto"/>
              <w:right w:val="nil"/>
            </w:tcBorders>
            <w:shd w:val="clear" w:color="auto" w:fill="auto"/>
            <w:noWrap/>
            <w:vAlign w:val="bottom"/>
            <w:hideMark/>
          </w:tcPr>
          <w:p w:rsidR="007B1B9B" w:rsidRPr="006671F5" w:rsidRDefault="007B1B9B" w:rsidP="006F0B22">
            <w:pPr>
              <w:spacing w:after="0" w:line="240" w:lineRule="auto"/>
              <w:ind w:left="0"/>
              <w:jc w:val="right"/>
              <w:rPr>
                <w:rFonts w:cs="Arial"/>
                <w:b/>
                <w:bCs/>
                <w:color w:val="000000"/>
                <w:sz w:val="16"/>
                <w:szCs w:val="16"/>
              </w:rPr>
            </w:pPr>
            <w:r w:rsidRPr="006671F5">
              <w:rPr>
                <w:rFonts w:cs="Arial"/>
                <w:b/>
                <w:bCs/>
                <w:color w:val="000000"/>
                <w:sz w:val="16"/>
                <w:szCs w:val="16"/>
              </w:rPr>
              <w:t xml:space="preserve">30,613,826.00 </w:t>
            </w:r>
          </w:p>
        </w:tc>
      </w:tr>
    </w:tbl>
    <w:p w:rsidR="007B1B9B" w:rsidRPr="00724783" w:rsidRDefault="007B1B9B" w:rsidP="007B1B9B">
      <w:pPr>
        <w:rPr>
          <w:sz w:val="16"/>
          <w:szCs w:val="16"/>
        </w:rPr>
      </w:pPr>
      <w:r w:rsidRPr="00724783">
        <w:rPr>
          <w:sz w:val="16"/>
          <w:szCs w:val="16"/>
        </w:rPr>
        <w:t>Source: Department of Health, March 2013 Cost Centre Managers Report</w:t>
      </w:r>
    </w:p>
    <w:p w:rsidR="001018F7" w:rsidRPr="00717F48" w:rsidRDefault="001018F7" w:rsidP="001018F7">
      <w:pPr>
        <w:pStyle w:val="AGRHeading1"/>
      </w:pPr>
      <w:r>
        <w:t>Department of Health cont…</w:t>
      </w:r>
    </w:p>
    <w:p w:rsidR="007B1B9B" w:rsidRPr="008F65BC" w:rsidRDefault="007B1B9B" w:rsidP="007B1B9B">
      <w:pPr>
        <w:pStyle w:val="AGRHeading3"/>
      </w:pPr>
      <w:r w:rsidRPr="008F65BC">
        <w:t>Flying hours</w:t>
      </w:r>
    </w:p>
    <w:p w:rsidR="007B1B9B" w:rsidRDefault="007B1B9B" w:rsidP="00B4664D">
      <w:pPr>
        <w:pStyle w:val="AGRBodyText"/>
      </w:pPr>
      <w:r>
        <w:t>The fixed wing service is contracted for 3,500 hours per year.  In 2012 the service flew 4,134.4 hours, an excess of 643.4 hours.  In that same period, the rotary wing service, which is contracted for 180 hours per year, flew 151.1 hours, a shortfall of 28.9 hours, which the Department was required to pay for but did not utilise.</w:t>
      </w:r>
    </w:p>
    <w:p w:rsidR="007B1B9B" w:rsidRDefault="007B1B9B" w:rsidP="00B4664D">
      <w:pPr>
        <w:pStyle w:val="AGRBodyText"/>
      </w:pPr>
      <w:r>
        <w:t>Fixed wing and rotary wing hours are shown in the graphs below (Figures 2 and 3) for the period January 2012 to March 2013.  The thick black line in each graph represents the average monthly contracted hours for each service to give a ‘target’ for each month to assist with analysing trends.</w:t>
      </w:r>
    </w:p>
    <w:p w:rsidR="007B1B9B" w:rsidRPr="00B4664D" w:rsidRDefault="00B4664D" w:rsidP="00B4664D">
      <w:pPr>
        <w:pStyle w:val="AGRBodyText"/>
        <w:jc w:val="center"/>
        <w:rPr>
          <w:b/>
        </w:rPr>
      </w:pPr>
      <w:r w:rsidRPr="00B4664D">
        <w:rPr>
          <w:b/>
        </w:rPr>
        <w:t>Figure 2</w:t>
      </w:r>
      <w:r w:rsidR="00D060F9">
        <w:rPr>
          <w:b/>
        </w:rPr>
        <w:br/>
      </w:r>
      <w:r w:rsidR="007B1B9B" w:rsidRPr="00B4664D">
        <w:rPr>
          <w:b/>
        </w:rPr>
        <w:t>Fixed Wing Flying Hours</w:t>
      </w:r>
    </w:p>
    <w:p w:rsidR="007B1B9B" w:rsidRDefault="006138AF" w:rsidP="007B1B9B">
      <w:r>
        <w:rPr>
          <w:noProof/>
          <w:lang w:eastAsia="en-AU"/>
        </w:rPr>
        <w:drawing>
          <wp:anchor distT="0" distB="0" distL="114300" distR="114300" simplePos="0" relativeHeight="251682816" behindDoc="0" locked="0" layoutInCell="1" allowOverlap="1" wp14:anchorId="0A6DE938" wp14:editId="3598AF42">
            <wp:simplePos x="0" y="0"/>
            <wp:positionH relativeFrom="page">
              <wp:posOffset>1819275</wp:posOffset>
            </wp:positionH>
            <wp:positionV relativeFrom="page">
              <wp:posOffset>5143500</wp:posOffset>
            </wp:positionV>
            <wp:extent cx="4267200" cy="2700338"/>
            <wp:effectExtent l="0" t="0" r="19050" b="24130"/>
            <wp:wrapNone/>
            <wp:docPr id="25" name="Chart 25" descr="fixed wing hours Jan 12 to March 13" title="Fixed wing hours"/>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7B1B9B" w:rsidRDefault="007B1B9B" w:rsidP="007B1B9B"/>
    <w:p w:rsidR="007B1B9B" w:rsidRDefault="007B1B9B" w:rsidP="007B1B9B"/>
    <w:p w:rsidR="007B1B9B" w:rsidRDefault="007B1B9B" w:rsidP="007B1B9B"/>
    <w:p w:rsidR="007B1B9B" w:rsidRDefault="007B1B9B" w:rsidP="007B1B9B"/>
    <w:p w:rsidR="007B1B9B" w:rsidRDefault="007B1B9B" w:rsidP="007B1B9B"/>
    <w:p w:rsidR="007B1B9B" w:rsidRDefault="007B1B9B" w:rsidP="007B1B9B"/>
    <w:p w:rsidR="007B1B9B" w:rsidRDefault="007B1B9B" w:rsidP="007B1B9B"/>
    <w:p w:rsidR="007B1B9B" w:rsidRDefault="007B1B9B" w:rsidP="007B1B9B"/>
    <w:p w:rsidR="007B1B9B" w:rsidRDefault="007B1B9B" w:rsidP="007B1B9B"/>
    <w:p w:rsidR="006138AF" w:rsidRDefault="006138AF" w:rsidP="007B1B9B"/>
    <w:p w:rsidR="007B1B9B" w:rsidRPr="00724783" w:rsidRDefault="007B1B9B" w:rsidP="007B1B9B">
      <w:pPr>
        <w:rPr>
          <w:sz w:val="16"/>
          <w:szCs w:val="16"/>
        </w:rPr>
      </w:pPr>
      <w:r w:rsidRPr="00724783">
        <w:rPr>
          <w:sz w:val="16"/>
          <w:szCs w:val="16"/>
        </w:rPr>
        <w:t>Source: Department of Health</w:t>
      </w:r>
    </w:p>
    <w:p w:rsidR="007B1B9B" w:rsidRDefault="007B1B9B" w:rsidP="005868CC">
      <w:pPr>
        <w:pStyle w:val="AGRBodyText"/>
      </w:pPr>
    </w:p>
    <w:p w:rsidR="001018F7" w:rsidRPr="00717F48" w:rsidRDefault="001018F7" w:rsidP="001018F7">
      <w:pPr>
        <w:pStyle w:val="AGRHeading1"/>
      </w:pPr>
      <w:r>
        <w:t>Department of Health cont…</w:t>
      </w:r>
    </w:p>
    <w:p w:rsidR="00CF12E2" w:rsidRDefault="00B4664D" w:rsidP="00B4664D">
      <w:pPr>
        <w:pStyle w:val="AGRBodyText"/>
        <w:jc w:val="center"/>
        <w:rPr>
          <w:b/>
        </w:rPr>
      </w:pPr>
      <w:r>
        <w:rPr>
          <w:b/>
        </w:rPr>
        <w:t>Figure 3</w:t>
      </w:r>
      <w:r w:rsidR="00D060F9">
        <w:rPr>
          <w:b/>
        </w:rPr>
        <w:br/>
      </w:r>
      <w:r w:rsidR="007B1B9B" w:rsidRPr="00B4664D">
        <w:rPr>
          <w:b/>
        </w:rPr>
        <w:t>Rotary Wing Flying Hours</w:t>
      </w:r>
      <w:r w:rsidR="00CF12E2">
        <w:rPr>
          <w:b/>
        </w:rPr>
        <w:br/>
      </w:r>
      <w:r w:rsidR="00CF12E2">
        <w:rPr>
          <w:noProof/>
          <w:lang w:val="en-AU" w:eastAsia="en-AU"/>
        </w:rPr>
        <w:drawing>
          <wp:anchor distT="0" distB="0" distL="114300" distR="114300" simplePos="0" relativeHeight="251683840" behindDoc="0" locked="0" layoutInCell="1" allowOverlap="1" wp14:anchorId="3D884D5F" wp14:editId="310CF98C">
            <wp:simplePos x="0" y="0"/>
            <wp:positionH relativeFrom="page">
              <wp:posOffset>2000250</wp:posOffset>
            </wp:positionH>
            <wp:positionV relativeFrom="page">
              <wp:posOffset>3276600</wp:posOffset>
            </wp:positionV>
            <wp:extent cx="4267200" cy="2700020"/>
            <wp:effectExtent l="0" t="0" r="19050" b="24130"/>
            <wp:wrapNone/>
            <wp:docPr id="26" name="Chart 26" descr="Rotary Wing Hours" title="Rotary Wing Hours"/>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CF12E2" w:rsidRDefault="00CF12E2" w:rsidP="00B4664D">
      <w:pPr>
        <w:pStyle w:val="AGRBodyText"/>
        <w:jc w:val="center"/>
        <w:rPr>
          <w:b/>
        </w:rPr>
      </w:pPr>
    </w:p>
    <w:p w:rsidR="00CF12E2" w:rsidRDefault="00CF12E2" w:rsidP="00B4664D">
      <w:pPr>
        <w:pStyle w:val="AGRBodyText"/>
        <w:jc w:val="center"/>
        <w:rPr>
          <w:b/>
        </w:rPr>
      </w:pPr>
    </w:p>
    <w:p w:rsidR="00CF12E2" w:rsidRDefault="00CF12E2" w:rsidP="00B4664D">
      <w:pPr>
        <w:pStyle w:val="AGRBodyText"/>
        <w:jc w:val="center"/>
        <w:rPr>
          <w:b/>
        </w:rPr>
      </w:pPr>
    </w:p>
    <w:p w:rsidR="00CF12E2" w:rsidRDefault="00CF12E2" w:rsidP="00B4664D">
      <w:pPr>
        <w:pStyle w:val="AGRBodyText"/>
        <w:jc w:val="center"/>
        <w:rPr>
          <w:b/>
        </w:rPr>
      </w:pPr>
    </w:p>
    <w:p w:rsidR="00CF12E2" w:rsidRDefault="00CF12E2" w:rsidP="00B4664D">
      <w:pPr>
        <w:pStyle w:val="AGRBodyText"/>
        <w:jc w:val="center"/>
        <w:rPr>
          <w:b/>
        </w:rPr>
      </w:pPr>
    </w:p>
    <w:p w:rsidR="00CF12E2" w:rsidRDefault="00CF12E2" w:rsidP="00B4664D">
      <w:pPr>
        <w:pStyle w:val="AGRBodyText"/>
        <w:jc w:val="center"/>
        <w:rPr>
          <w:b/>
        </w:rPr>
      </w:pPr>
    </w:p>
    <w:p w:rsidR="00CF12E2" w:rsidRDefault="00CF12E2" w:rsidP="00B4664D">
      <w:pPr>
        <w:pStyle w:val="AGRBodyText"/>
        <w:jc w:val="center"/>
        <w:rPr>
          <w:b/>
        </w:rPr>
      </w:pPr>
    </w:p>
    <w:p w:rsidR="00CF12E2" w:rsidRDefault="00CF12E2" w:rsidP="00B4664D">
      <w:pPr>
        <w:pStyle w:val="AGRBodyText"/>
        <w:jc w:val="center"/>
        <w:rPr>
          <w:b/>
        </w:rPr>
      </w:pPr>
    </w:p>
    <w:p w:rsidR="00CF12E2" w:rsidRDefault="00CF12E2" w:rsidP="00B4664D">
      <w:pPr>
        <w:pStyle w:val="AGRBodyText"/>
        <w:jc w:val="center"/>
        <w:rPr>
          <w:b/>
        </w:rPr>
      </w:pPr>
    </w:p>
    <w:p w:rsidR="00CF12E2" w:rsidRPr="00B4664D" w:rsidRDefault="00CF12E2" w:rsidP="00B4664D">
      <w:pPr>
        <w:pStyle w:val="AGRBodyText"/>
        <w:jc w:val="center"/>
        <w:rPr>
          <w:b/>
        </w:rPr>
      </w:pPr>
    </w:p>
    <w:p w:rsidR="007B1B9B" w:rsidRPr="00724783" w:rsidRDefault="007B1B9B" w:rsidP="007B1B9B">
      <w:pPr>
        <w:rPr>
          <w:sz w:val="16"/>
          <w:szCs w:val="16"/>
        </w:rPr>
      </w:pPr>
      <w:r w:rsidRPr="00724783">
        <w:rPr>
          <w:sz w:val="16"/>
          <w:szCs w:val="16"/>
        </w:rPr>
        <w:t>Source: Department of Health</w:t>
      </w:r>
    </w:p>
    <w:p w:rsidR="005868CC" w:rsidRDefault="005868CC" w:rsidP="005868CC">
      <w:pPr>
        <w:pStyle w:val="AGRBodyText"/>
      </w:pPr>
    </w:p>
    <w:p w:rsidR="007B1B9B" w:rsidRDefault="005868CC" w:rsidP="005868CC">
      <w:pPr>
        <w:pStyle w:val="AGRBodyText"/>
      </w:pPr>
      <w:r>
        <w:t>The graphs above reflect hours flown in respect of contracted services, but not shown in the graphs are hours flown for transfers o</w:t>
      </w:r>
      <w:r w:rsidR="00116CC4">
        <w:t>f low acuity patients which lie</w:t>
      </w:r>
      <w:r>
        <w:t xml:space="preserve"> outside the TEMRS contract.</w:t>
      </w:r>
    </w:p>
    <w:p w:rsidR="001018F7" w:rsidRPr="00717F48" w:rsidRDefault="001018F7" w:rsidP="001018F7">
      <w:pPr>
        <w:pStyle w:val="AGRHeading1"/>
      </w:pPr>
      <w:r>
        <w:t>Department of Health cont…</w:t>
      </w:r>
    </w:p>
    <w:p w:rsidR="007B1B9B" w:rsidRPr="008F65BC" w:rsidRDefault="007B1B9B" w:rsidP="007B1B9B">
      <w:pPr>
        <w:pStyle w:val="AGRHeading3"/>
      </w:pPr>
      <w:r w:rsidRPr="008F65BC">
        <w:t>Retrieval statistics</w:t>
      </w:r>
    </w:p>
    <w:p w:rsidR="007B1B9B" w:rsidRDefault="007B1B9B" w:rsidP="00B4664D">
      <w:pPr>
        <w:pStyle w:val="AGRBodyText"/>
      </w:pPr>
      <w:r>
        <w:t>As data about aero-medical retrievals was not readily available and could not be provided without significant compilation work, the Department was unable to provide me with the number of aero medical retrievals undertaken</w:t>
      </w:r>
      <w:r w:rsidR="00635FDF">
        <w:t xml:space="preserve"> by location at the time of the audit visit</w:t>
      </w:r>
      <w:r>
        <w:t>.  Documentation provided by CareFlight to a consultant</w:t>
      </w:r>
      <w:r>
        <w:rPr>
          <w:rStyle w:val="FootnoteReference"/>
        </w:rPr>
        <w:footnoteReference w:id="2"/>
      </w:r>
      <w:r w:rsidR="00196505">
        <w:t>,</w:t>
      </w:r>
      <w:r>
        <w:t xml:space="preserve"> as part of the review referred to previously</w:t>
      </w:r>
      <w:r w:rsidR="00196505">
        <w:t>,</w:t>
      </w:r>
      <w:r>
        <w:t xml:space="preserve"> identified 2,029 patient retrievals under the TEMRS contract in the period February 2012 to November 2012.  That documentation also listed the top 10 referral sites, ranked by patient numbers for the period May 2011 to April 2012, with Katherine Hospital being the largest referral hospital, as shown below:</w:t>
      </w:r>
    </w:p>
    <w:p w:rsidR="00B4664D" w:rsidRPr="00B4664D" w:rsidRDefault="00B4664D" w:rsidP="00B4664D">
      <w:pPr>
        <w:pStyle w:val="AGRBodyText"/>
        <w:jc w:val="center"/>
        <w:rPr>
          <w:b/>
        </w:rPr>
      </w:pPr>
      <w:r>
        <w:rPr>
          <w:b/>
        </w:rPr>
        <w:t>Figure 4</w:t>
      </w:r>
      <w:r w:rsidR="00FF6577">
        <w:rPr>
          <w:b/>
        </w:rPr>
        <w:br/>
      </w:r>
      <w:r w:rsidR="007B1B9B" w:rsidRPr="00B4664D">
        <w:rPr>
          <w:b/>
        </w:rPr>
        <w:t>Retrieval sites</w:t>
      </w:r>
      <w:r w:rsidR="007B1B9B" w:rsidRPr="00FF6577">
        <w:rPr>
          <w:rStyle w:val="FootnoteReference"/>
        </w:rPr>
        <w:footnoteReference w:id="3"/>
      </w:r>
      <w:r w:rsidR="00FF6577">
        <w:rPr>
          <w:b/>
        </w:rPr>
        <w:br/>
      </w:r>
    </w:p>
    <w:tbl>
      <w:tblPr>
        <w:tblW w:w="0" w:type="auto"/>
        <w:jc w:val="center"/>
        <w:tblLook w:val="04A0" w:firstRow="1" w:lastRow="0" w:firstColumn="1" w:lastColumn="0" w:noHBand="0" w:noVBand="1"/>
      </w:tblPr>
      <w:tblGrid>
        <w:gridCol w:w="1305"/>
        <w:gridCol w:w="1551"/>
        <w:gridCol w:w="1806"/>
      </w:tblGrid>
      <w:tr w:rsidR="007B1B9B" w:rsidRPr="00845120" w:rsidTr="006F0B22">
        <w:trPr>
          <w:jc w:val="center"/>
        </w:trPr>
        <w:tc>
          <w:tcPr>
            <w:tcW w:w="0" w:type="auto"/>
            <w:tcBorders>
              <w:top w:val="single" w:sz="4" w:space="0" w:color="auto"/>
              <w:bottom w:val="single" w:sz="4" w:space="0" w:color="auto"/>
            </w:tcBorders>
            <w:shd w:val="clear" w:color="auto" w:fill="auto"/>
          </w:tcPr>
          <w:p w:rsidR="007B1B9B" w:rsidRPr="00845120" w:rsidRDefault="007B1B9B" w:rsidP="006F0B22">
            <w:pPr>
              <w:pStyle w:val="AGRTableText"/>
              <w:rPr>
                <w:b/>
              </w:rPr>
            </w:pPr>
            <w:r w:rsidRPr="00845120">
              <w:rPr>
                <w:b/>
              </w:rPr>
              <w:t>Ranking (#)</w:t>
            </w:r>
          </w:p>
        </w:tc>
        <w:tc>
          <w:tcPr>
            <w:tcW w:w="0" w:type="auto"/>
            <w:tcBorders>
              <w:top w:val="single" w:sz="4" w:space="0" w:color="auto"/>
              <w:bottom w:val="single" w:sz="4" w:space="0" w:color="auto"/>
            </w:tcBorders>
            <w:shd w:val="clear" w:color="auto" w:fill="auto"/>
          </w:tcPr>
          <w:p w:rsidR="007B1B9B" w:rsidRPr="00845120" w:rsidRDefault="007B1B9B" w:rsidP="006F0B22">
            <w:pPr>
              <w:pStyle w:val="AGRTableText"/>
              <w:rPr>
                <w:b/>
              </w:rPr>
            </w:pPr>
            <w:r w:rsidRPr="00845120">
              <w:rPr>
                <w:b/>
              </w:rPr>
              <w:t>Location</w:t>
            </w:r>
          </w:p>
        </w:tc>
        <w:tc>
          <w:tcPr>
            <w:tcW w:w="0" w:type="auto"/>
            <w:tcBorders>
              <w:top w:val="single" w:sz="4" w:space="0" w:color="auto"/>
              <w:bottom w:val="single" w:sz="4" w:space="0" w:color="auto"/>
            </w:tcBorders>
            <w:shd w:val="clear" w:color="auto" w:fill="auto"/>
          </w:tcPr>
          <w:p w:rsidR="007B1B9B" w:rsidRPr="00845120" w:rsidRDefault="007B1B9B" w:rsidP="006F0B22">
            <w:pPr>
              <w:pStyle w:val="AGRTableText"/>
              <w:rPr>
                <w:b/>
              </w:rPr>
            </w:pPr>
            <w:r w:rsidRPr="00845120">
              <w:rPr>
                <w:b/>
              </w:rPr>
              <w:t>Patient Numbers</w:t>
            </w:r>
          </w:p>
        </w:tc>
      </w:tr>
      <w:tr w:rsidR="007B1B9B" w:rsidRPr="00845120" w:rsidTr="006F0B22">
        <w:trPr>
          <w:jc w:val="center"/>
        </w:trPr>
        <w:tc>
          <w:tcPr>
            <w:tcW w:w="0" w:type="auto"/>
            <w:tcBorders>
              <w:top w:val="single" w:sz="4" w:space="0" w:color="auto"/>
            </w:tcBorders>
            <w:shd w:val="clear" w:color="auto" w:fill="auto"/>
          </w:tcPr>
          <w:p w:rsidR="007B1B9B" w:rsidRPr="00226DB6" w:rsidRDefault="007B1B9B" w:rsidP="006F0B22">
            <w:pPr>
              <w:pStyle w:val="AGRTableText"/>
            </w:pPr>
            <w:r w:rsidRPr="00226DB6">
              <w:t>1</w:t>
            </w:r>
          </w:p>
        </w:tc>
        <w:tc>
          <w:tcPr>
            <w:tcW w:w="0" w:type="auto"/>
            <w:tcBorders>
              <w:top w:val="single" w:sz="4" w:space="0" w:color="auto"/>
            </w:tcBorders>
            <w:shd w:val="clear" w:color="auto" w:fill="auto"/>
          </w:tcPr>
          <w:p w:rsidR="007B1B9B" w:rsidRPr="00226DB6" w:rsidRDefault="007B1B9B" w:rsidP="006F0B22">
            <w:pPr>
              <w:pStyle w:val="AGRTableText"/>
            </w:pPr>
            <w:r w:rsidRPr="00226DB6">
              <w:t>Katherine</w:t>
            </w:r>
          </w:p>
        </w:tc>
        <w:tc>
          <w:tcPr>
            <w:tcW w:w="0" w:type="auto"/>
            <w:tcBorders>
              <w:top w:val="single" w:sz="4" w:space="0" w:color="auto"/>
            </w:tcBorders>
            <w:shd w:val="clear" w:color="auto" w:fill="auto"/>
          </w:tcPr>
          <w:p w:rsidR="007B1B9B" w:rsidRPr="00226DB6" w:rsidRDefault="007B1B9B" w:rsidP="006F0B22">
            <w:pPr>
              <w:pStyle w:val="AGRTableText"/>
              <w:jc w:val="right"/>
            </w:pPr>
            <w:r w:rsidRPr="00226DB6">
              <w:t>533</w:t>
            </w:r>
          </w:p>
        </w:tc>
      </w:tr>
      <w:tr w:rsidR="007B1B9B" w:rsidRPr="00845120" w:rsidTr="006F0B22">
        <w:trPr>
          <w:jc w:val="center"/>
        </w:trPr>
        <w:tc>
          <w:tcPr>
            <w:tcW w:w="0" w:type="auto"/>
            <w:shd w:val="clear" w:color="auto" w:fill="auto"/>
          </w:tcPr>
          <w:p w:rsidR="007B1B9B" w:rsidRPr="00226DB6" w:rsidRDefault="007B1B9B" w:rsidP="006F0B22">
            <w:pPr>
              <w:pStyle w:val="AGRTableText"/>
            </w:pPr>
            <w:r w:rsidRPr="00226DB6">
              <w:t>2</w:t>
            </w:r>
          </w:p>
        </w:tc>
        <w:tc>
          <w:tcPr>
            <w:tcW w:w="0" w:type="auto"/>
            <w:shd w:val="clear" w:color="auto" w:fill="auto"/>
          </w:tcPr>
          <w:p w:rsidR="007B1B9B" w:rsidRPr="00226DB6" w:rsidRDefault="007B1B9B" w:rsidP="006F0B22">
            <w:pPr>
              <w:pStyle w:val="AGRTableText"/>
            </w:pPr>
            <w:r w:rsidRPr="00226DB6">
              <w:t>Gove</w:t>
            </w:r>
          </w:p>
        </w:tc>
        <w:tc>
          <w:tcPr>
            <w:tcW w:w="0" w:type="auto"/>
            <w:shd w:val="clear" w:color="auto" w:fill="auto"/>
          </w:tcPr>
          <w:p w:rsidR="007B1B9B" w:rsidRPr="00226DB6" w:rsidRDefault="007B1B9B" w:rsidP="006F0B22">
            <w:pPr>
              <w:pStyle w:val="AGRTableText"/>
              <w:jc w:val="right"/>
            </w:pPr>
            <w:r w:rsidRPr="00226DB6">
              <w:t>219</w:t>
            </w:r>
          </w:p>
        </w:tc>
      </w:tr>
      <w:tr w:rsidR="007B1B9B" w:rsidRPr="00845120" w:rsidTr="006F0B22">
        <w:trPr>
          <w:jc w:val="center"/>
        </w:trPr>
        <w:tc>
          <w:tcPr>
            <w:tcW w:w="0" w:type="auto"/>
            <w:shd w:val="clear" w:color="auto" w:fill="auto"/>
          </w:tcPr>
          <w:p w:rsidR="007B1B9B" w:rsidRPr="00226DB6" w:rsidRDefault="007B1B9B" w:rsidP="006F0B22">
            <w:pPr>
              <w:pStyle w:val="AGRTableText"/>
            </w:pPr>
            <w:r w:rsidRPr="00226DB6">
              <w:t>3</w:t>
            </w:r>
          </w:p>
        </w:tc>
        <w:tc>
          <w:tcPr>
            <w:tcW w:w="0" w:type="auto"/>
            <w:shd w:val="clear" w:color="auto" w:fill="auto"/>
          </w:tcPr>
          <w:p w:rsidR="007B1B9B" w:rsidRPr="00226DB6" w:rsidRDefault="007B1B9B" w:rsidP="006F0B22">
            <w:pPr>
              <w:pStyle w:val="AGRTableText"/>
            </w:pPr>
            <w:r w:rsidRPr="00226DB6">
              <w:t>Maningrida</w:t>
            </w:r>
          </w:p>
        </w:tc>
        <w:tc>
          <w:tcPr>
            <w:tcW w:w="0" w:type="auto"/>
            <w:shd w:val="clear" w:color="auto" w:fill="auto"/>
          </w:tcPr>
          <w:p w:rsidR="007B1B9B" w:rsidRPr="00226DB6" w:rsidRDefault="007B1B9B" w:rsidP="006F0B22">
            <w:pPr>
              <w:pStyle w:val="AGRTableText"/>
              <w:jc w:val="right"/>
            </w:pPr>
            <w:r w:rsidRPr="00226DB6">
              <w:t>213</w:t>
            </w:r>
          </w:p>
        </w:tc>
      </w:tr>
      <w:tr w:rsidR="007B1B9B" w:rsidRPr="00845120" w:rsidTr="006F0B22">
        <w:trPr>
          <w:jc w:val="center"/>
        </w:trPr>
        <w:tc>
          <w:tcPr>
            <w:tcW w:w="0" w:type="auto"/>
            <w:shd w:val="clear" w:color="auto" w:fill="auto"/>
          </w:tcPr>
          <w:p w:rsidR="007B1B9B" w:rsidRPr="00226DB6" w:rsidRDefault="007B1B9B" w:rsidP="006F0B22">
            <w:pPr>
              <w:pStyle w:val="AGRTableText"/>
            </w:pPr>
            <w:r w:rsidRPr="00226DB6">
              <w:t>4</w:t>
            </w:r>
          </w:p>
        </w:tc>
        <w:tc>
          <w:tcPr>
            <w:tcW w:w="0" w:type="auto"/>
            <w:shd w:val="clear" w:color="auto" w:fill="auto"/>
          </w:tcPr>
          <w:p w:rsidR="007B1B9B" w:rsidRPr="00226DB6" w:rsidRDefault="007B1B9B" w:rsidP="006F0B22">
            <w:pPr>
              <w:pStyle w:val="AGRTableText"/>
            </w:pPr>
            <w:r w:rsidRPr="00226DB6">
              <w:t>Wadeye</w:t>
            </w:r>
          </w:p>
        </w:tc>
        <w:tc>
          <w:tcPr>
            <w:tcW w:w="0" w:type="auto"/>
            <w:shd w:val="clear" w:color="auto" w:fill="auto"/>
          </w:tcPr>
          <w:p w:rsidR="007B1B9B" w:rsidRPr="00226DB6" w:rsidRDefault="007B1B9B" w:rsidP="006F0B22">
            <w:pPr>
              <w:pStyle w:val="AGRTableText"/>
              <w:jc w:val="right"/>
            </w:pPr>
            <w:r w:rsidRPr="00226DB6">
              <w:t>200</w:t>
            </w:r>
          </w:p>
        </w:tc>
      </w:tr>
      <w:tr w:rsidR="007B1B9B" w:rsidRPr="00845120" w:rsidTr="006F0B22">
        <w:trPr>
          <w:jc w:val="center"/>
        </w:trPr>
        <w:tc>
          <w:tcPr>
            <w:tcW w:w="0" w:type="auto"/>
            <w:shd w:val="clear" w:color="auto" w:fill="auto"/>
          </w:tcPr>
          <w:p w:rsidR="007B1B9B" w:rsidRPr="00226DB6" w:rsidRDefault="007B1B9B" w:rsidP="006F0B22">
            <w:pPr>
              <w:pStyle w:val="AGRTableText"/>
            </w:pPr>
            <w:r w:rsidRPr="00226DB6">
              <w:t>5</w:t>
            </w:r>
          </w:p>
        </w:tc>
        <w:tc>
          <w:tcPr>
            <w:tcW w:w="0" w:type="auto"/>
            <w:shd w:val="clear" w:color="auto" w:fill="auto"/>
          </w:tcPr>
          <w:p w:rsidR="007B1B9B" w:rsidRPr="00226DB6" w:rsidRDefault="007B1B9B" w:rsidP="006F0B22">
            <w:pPr>
              <w:pStyle w:val="AGRTableText"/>
            </w:pPr>
            <w:r w:rsidRPr="00226DB6">
              <w:t>Bathurst Island</w:t>
            </w:r>
          </w:p>
        </w:tc>
        <w:tc>
          <w:tcPr>
            <w:tcW w:w="0" w:type="auto"/>
            <w:shd w:val="clear" w:color="auto" w:fill="auto"/>
          </w:tcPr>
          <w:p w:rsidR="007B1B9B" w:rsidRPr="00226DB6" w:rsidRDefault="007B1B9B" w:rsidP="006F0B22">
            <w:pPr>
              <w:pStyle w:val="AGRTableText"/>
              <w:jc w:val="right"/>
            </w:pPr>
            <w:r w:rsidRPr="00226DB6">
              <w:t>184</w:t>
            </w:r>
          </w:p>
        </w:tc>
      </w:tr>
      <w:tr w:rsidR="007B1B9B" w:rsidRPr="00845120" w:rsidTr="006F0B22">
        <w:trPr>
          <w:jc w:val="center"/>
        </w:trPr>
        <w:tc>
          <w:tcPr>
            <w:tcW w:w="0" w:type="auto"/>
            <w:shd w:val="clear" w:color="auto" w:fill="auto"/>
          </w:tcPr>
          <w:p w:rsidR="007B1B9B" w:rsidRPr="00226DB6" w:rsidRDefault="007B1B9B" w:rsidP="006F0B22">
            <w:pPr>
              <w:pStyle w:val="AGRTableText"/>
            </w:pPr>
            <w:r w:rsidRPr="00226DB6">
              <w:t>6</w:t>
            </w:r>
          </w:p>
        </w:tc>
        <w:tc>
          <w:tcPr>
            <w:tcW w:w="0" w:type="auto"/>
            <w:shd w:val="clear" w:color="auto" w:fill="auto"/>
          </w:tcPr>
          <w:p w:rsidR="007B1B9B" w:rsidRPr="00226DB6" w:rsidRDefault="007B1B9B" w:rsidP="006F0B22">
            <w:pPr>
              <w:pStyle w:val="AGRTableText"/>
            </w:pPr>
            <w:r w:rsidRPr="00226DB6">
              <w:t>Borroloola</w:t>
            </w:r>
          </w:p>
        </w:tc>
        <w:tc>
          <w:tcPr>
            <w:tcW w:w="0" w:type="auto"/>
            <w:shd w:val="clear" w:color="auto" w:fill="auto"/>
          </w:tcPr>
          <w:p w:rsidR="007B1B9B" w:rsidRPr="00226DB6" w:rsidRDefault="007B1B9B" w:rsidP="006F0B22">
            <w:pPr>
              <w:pStyle w:val="AGRTableText"/>
              <w:jc w:val="right"/>
            </w:pPr>
            <w:r w:rsidRPr="00226DB6">
              <w:t>153</w:t>
            </w:r>
          </w:p>
        </w:tc>
      </w:tr>
      <w:tr w:rsidR="007B1B9B" w:rsidRPr="00845120" w:rsidTr="006F0B22">
        <w:trPr>
          <w:jc w:val="center"/>
        </w:trPr>
        <w:tc>
          <w:tcPr>
            <w:tcW w:w="0" w:type="auto"/>
            <w:shd w:val="clear" w:color="auto" w:fill="auto"/>
          </w:tcPr>
          <w:p w:rsidR="007B1B9B" w:rsidRPr="00226DB6" w:rsidRDefault="007B1B9B" w:rsidP="006F0B22">
            <w:pPr>
              <w:pStyle w:val="AGRTableText"/>
            </w:pPr>
            <w:r w:rsidRPr="00226DB6">
              <w:t>7</w:t>
            </w:r>
          </w:p>
        </w:tc>
        <w:tc>
          <w:tcPr>
            <w:tcW w:w="0" w:type="auto"/>
            <w:shd w:val="clear" w:color="auto" w:fill="auto"/>
          </w:tcPr>
          <w:p w:rsidR="007B1B9B" w:rsidRPr="00226DB6" w:rsidRDefault="007B1B9B" w:rsidP="006F0B22">
            <w:pPr>
              <w:pStyle w:val="AGRTableText"/>
            </w:pPr>
            <w:r w:rsidRPr="00226DB6">
              <w:t>Elcho Island</w:t>
            </w:r>
          </w:p>
        </w:tc>
        <w:tc>
          <w:tcPr>
            <w:tcW w:w="0" w:type="auto"/>
            <w:shd w:val="clear" w:color="auto" w:fill="auto"/>
          </w:tcPr>
          <w:p w:rsidR="007B1B9B" w:rsidRPr="00226DB6" w:rsidRDefault="007B1B9B" w:rsidP="006F0B22">
            <w:pPr>
              <w:pStyle w:val="AGRTableText"/>
              <w:jc w:val="right"/>
            </w:pPr>
            <w:r w:rsidRPr="00226DB6">
              <w:t>144</w:t>
            </w:r>
          </w:p>
        </w:tc>
      </w:tr>
      <w:tr w:rsidR="007B1B9B" w:rsidRPr="00845120" w:rsidTr="006F0B22">
        <w:trPr>
          <w:jc w:val="center"/>
        </w:trPr>
        <w:tc>
          <w:tcPr>
            <w:tcW w:w="0" w:type="auto"/>
            <w:shd w:val="clear" w:color="auto" w:fill="auto"/>
          </w:tcPr>
          <w:p w:rsidR="007B1B9B" w:rsidRPr="00226DB6" w:rsidRDefault="007B1B9B" w:rsidP="006F0B22">
            <w:pPr>
              <w:pStyle w:val="AGRTableText"/>
            </w:pPr>
            <w:r w:rsidRPr="00226DB6">
              <w:t>8</w:t>
            </w:r>
          </w:p>
        </w:tc>
        <w:tc>
          <w:tcPr>
            <w:tcW w:w="0" w:type="auto"/>
            <w:shd w:val="clear" w:color="auto" w:fill="auto"/>
          </w:tcPr>
          <w:p w:rsidR="007B1B9B" w:rsidRPr="00226DB6" w:rsidRDefault="007B1B9B" w:rsidP="006F0B22">
            <w:pPr>
              <w:pStyle w:val="AGRTableText"/>
            </w:pPr>
            <w:r w:rsidRPr="00226DB6">
              <w:t>Lajamanu</w:t>
            </w:r>
          </w:p>
        </w:tc>
        <w:tc>
          <w:tcPr>
            <w:tcW w:w="0" w:type="auto"/>
            <w:shd w:val="clear" w:color="auto" w:fill="auto"/>
          </w:tcPr>
          <w:p w:rsidR="007B1B9B" w:rsidRPr="00226DB6" w:rsidRDefault="007B1B9B" w:rsidP="006F0B22">
            <w:pPr>
              <w:pStyle w:val="AGRTableText"/>
              <w:jc w:val="right"/>
            </w:pPr>
            <w:r w:rsidRPr="00226DB6">
              <w:t>118</w:t>
            </w:r>
          </w:p>
        </w:tc>
      </w:tr>
      <w:tr w:rsidR="007B1B9B" w:rsidRPr="00845120" w:rsidTr="006F0B22">
        <w:trPr>
          <w:jc w:val="center"/>
        </w:trPr>
        <w:tc>
          <w:tcPr>
            <w:tcW w:w="0" w:type="auto"/>
            <w:shd w:val="clear" w:color="auto" w:fill="auto"/>
          </w:tcPr>
          <w:p w:rsidR="007B1B9B" w:rsidRPr="00226DB6" w:rsidRDefault="007B1B9B" w:rsidP="006F0B22">
            <w:pPr>
              <w:pStyle w:val="AGRTableText"/>
            </w:pPr>
            <w:r w:rsidRPr="00226DB6">
              <w:t>9</w:t>
            </w:r>
          </w:p>
        </w:tc>
        <w:tc>
          <w:tcPr>
            <w:tcW w:w="0" w:type="auto"/>
            <w:shd w:val="clear" w:color="auto" w:fill="auto"/>
          </w:tcPr>
          <w:p w:rsidR="007B1B9B" w:rsidRPr="00226DB6" w:rsidRDefault="007B1B9B" w:rsidP="006F0B22">
            <w:pPr>
              <w:pStyle w:val="AGRTableText"/>
            </w:pPr>
            <w:r w:rsidRPr="00226DB6">
              <w:t>Oenpelli</w:t>
            </w:r>
          </w:p>
        </w:tc>
        <w:tc>
          <w:tcPr>
            <w:tcW w:w="0" w:type="auto"/>
            <w:shd w:val="clear" w:color="auto" w:fill="auto"/>
          </w:tcPr>
          <w:p w:rsidR="007B1B9B" w:rsidRPr="00226DB6" w:rsidRDefault="007B1B9B" w:rsidP="006F0B22">
            <w:pPr>
              <w:pStyle w:val="AGRTableText"/>
              <w:jc w:val="right"/>
            </w:pPr>
            <w:r w:rsidRPr="00226DB6">
              <w:t>107</w:t>
            </w:r>
          </w:p>
        </w:tc>
      </w:tr>
      <w:tr w:rsidR="007B1B9B" w:rsidRPr="00845120" w:rsidTr="006F0B22">
        <w:trPr>
          <w:jc w:val="center"/>
        </w:trPr>
        <w:tc>
          <w:tcPr>
            <w:tcW w:w="0" w:type="auto"/>
            <w:tcBorders>
              <w:bottom w:val="single" w:sz="4" w:space="0" w:color="auto"/>
            </w:tcBorders>
            <w:shd w:val="clear" w:color="auto" w:fill="auto"/>
          </w:tcPr>
          <w:p w:rsidR="007B1B9B" w:rsidRPr="00226DB6" w:rsidRDefault="007B1B9B" w:rsidP="006F0B22">
            <w:pPr>
              <w:pStyle w:val="AGRTableText"/>
            </w:pPr>
            <w:r w:rsidRPr="00226DB6">
              <w:t>10</w:t>
            </w:r>
          </w:p>
        </w:tc>
        <w:tc>
          <w:tcPr>
            <w:tcW w:w="0" w:type="auto"/>
            <w:tcBorders>
              <w:bottom w:val="single" w:sz="4" w:space="0" w:color="auto"/>
            </w:tcBorders>
            <w:shd w:val="clear" w:color="auto" w:fill="auto"/>
          </w:tcPr>
          <w:p w:rsidR="007B1B9B" w:rsidRPr="00226DB6" w:rsidRDefault="007B1B9B" w:rsidP="006F0B22">
            <w:pPr>
              <w:pStyle w:val="AGRTableText"/>
            </w:pPr>
            <w:r w:rsidRPr="00226DB6">
              <w:t>Ngukurr</w:t>
            </w:r>
          </w:p>
        </w:tc>
        <w:tc>
          <w:tcPr>
            <w:tcW w:w="0" w:type="auto"/>
            <w:tcBorders>
              <w:bottom w:val="single" w:sz="4" w:space="0" w:color="auto"/>
            </w:tcBorders>
            <w:shd w:val="clear" w:color="auto" w:fill="auto"/>
          </w:tcPr>
          <w:p w:rsidR="007B1B9B" w:rsidRPr="00226DB6" w:rsidRDefault="007B1B9B" w:rsidP="006F0B22">
            <w:pPr>
              <w:pStyle w:val="AGRTableText"/>
              <w:jc w:val="right"/>
            </w:pPr>
            <w:r w:rsidRPr="00226DB6">
              <w:t>99</w:t>
            </w:r>
          </w:p>
        </w:tc>
      </w:tr>
      <w:tr w:rsidR="007B1B9B" w:rsidRPr="00845120" w:rsidTr="006F0B22">
        <w:trPr>
          <w:jc w:val="center"/>
        </w:trPr>
        <w:tc>
          <w:tcPr>
            <w:tcW w:w="0" w:type="auto"/>
            <w:tcBorders>
              <w:top w:val="single" w:sz="4" w:space="0" w:color="auto"/>
              <w:bottom w:val="single" w:sz="4" w:space="0" w:color="auto"/>
            </w:tcBorders>
            <w:shd w:val="clear" w:color="auto" w:fill="auto"/>
          </w:tcPr>
          <w:p w:rsidR="007B1B9B" w:rsidRPr="00845120" w:rsidRDefault="007B1B9B" w:rsidP="006F0B22">
            <w:pPr>
              <w:pStyle w:val="AGRTableText"/>
              <w:rPr>
                <w:b/>
              </w:rPr>
            </w:pPr>
          </w:p>
        </w:tc>
        <w:tc>
          <w:tcPr>
            <w:tcW w:w="0" w:type="auto"/>
            <w:tcBorders>
              <w:top w:val="single" w:sz="4" w:space="0" w:color="auto"/>
              <w:bottom w:val="single" w:sz="4" w:space="0" w:color="auto"/>
            </w:tcBorders>
            <w:shd w:val="clear" w:color="auto" w:fill="auto"/>
          </w:tcPr>
          <w:p w:rsidR="007B1B9B" w:rsidRPr="00845120" w:rsidRDefault="007B1B9B" w:rsidP="006F0B22">
            <w:pPr>
              <w:pStyle w:val="AGRTableText"/>
              <w:rPr>
                <w:b/>
              </w:rPr>
            </w:pPr>
            <w:r w:rsidRPr="00845120">
              <w:rPr>
                <w:b/>
              </w:rPr>
              <w:t>TOTAL</w:t>
            </w:r>
          </w:p>
        </w:tc>
        <w:tc>
          <w:tcPr>
            <w:tcW w:w="0" w:type="auto"/>
            <w:tcBorders>
              <w:top w:val="single" w:sz="4" w:space="0" w:color="auto"/>
              <w:bottom w:val="single" w:sz="4" w:space="0" w:color="auto"/>
            </w:tcBorders>
            <w:shd w:val="clear" w:color="auto" w:fill="auto"/>
          </w:tcPr>
          <w:p w:rsidR="007B1B9B" w:rsidRPr="00845120" w:rsidRDefault="007B1B9B" w:rsidP="006F0B22">
            <w:pPr>
              <w:pStyle w:val="AGRTableText"/>
              <w:jc w:val="right"/>
              <w:rPr>
                <w:b/>
              </w:rPr>
            </w:pPr>
            <w:r w:rsidRPr="00845120">
              <w:rPr>
                <w:b/>
              </w:rPr>
              <w:t>1 970</w:t>
            </w:r>
          </w:p>
        </w:tc>
      </w:tr>
    </w:tbl>
    <w:p w:rsidR="007B1B9B" w:rsidRDefault="007B1B9B" w:rsidP="007B1B9B"/>
    <w:p w:rsidR="001018F7" w:rsidRPr="00717F48" w:rsidRDefault="001018F7" w:rsidP="001018F7">
      <w:pPr>
        <w:pStyle w:val="AGRHeading1"/>
      </w:pPr>
      <w:r>
        <w:t>Department of Health cont…</w:t>
      </w:r>
    </w:p>
    <w:p w:rsidR="007B1B9B" w:rsidRPr="006F56FB" w:rsidRDefault="007B1B9B" w:rsidP="007B1B9B">
      <w:pPr>
        <w:pStyle w:val="AGRHeading3"/>
      </w:pPr>
      <w:r w:rsidRPr="006F56FB">
        <w:t>Pressures and interactions</w:t>
      </w:r>
    </w:p>
    <w:p w:rsidR="007B1B9B" w:rsidRDefault="007B1B9B" w:rsidP="00B4664D">
      <w:pPr>
        <w:pStyle w:val="AGRBodyText"/>
      </w:pPr>
      <w:r w:rsidRPr="006F56FB">
        <w:t xml:space="preserve">If the system for the provision of aero-medical services is viewed pictorially, as shown below in Figure 5, with </w:t>
      </w:r>
      <w:r>
        <w:t xml:space="preserve">some of </w:t>
      </w:r>
      <w:r w:rsidRPr="006F56FB">
        <w:t xml:space="preserve">the elements of the system shown as segments of a circle, the segments can be considered as inter-acting with each other in various ways.  Factors affecting one segment have consequences for the other segments.  </w:t>
      </w:r>
      <w:r>
        <w:t xml:space="preserve">The impact on each segment varies and is fluid depending on the circumstances of each patient.  </w:t>
      </w:r>
      <w:r w:rsidRPr="006F56FB">
        <w:t>From CareFlight, to emergency departments, to hospitals (the wards if a patient is admitted), to District Medical Officers/Rural Medical Practitioners (making the decision to retrieve an individual) all sitting within a system of contract management and administration (managing the terms and cost drivers).  The contract management staff need to remain vigilant in ensuring all parties within the Department</w:t>
      </w:r>
      <w:r>
        <w:t xml:space="preserve"> and </w:t>
      </w:r>
      <w:r w:rsidRPr="006F56FB">
        <w:t>Hospital Network are involved in reviews of the service, and</w:t>
      </w:r>
      <w:r>
        <w:t xml:space="preserve"> have access to</w:t>
      </w:r>
      <w:r w:rsidRPr="006F56FB">
        <w:t xml:space="preserve"> information and data</w:t>
      </w:r>
      <w:r>
        <w:t xml:space="preserve"> to make informed decisions to improve patient outcomes</w:t>
      </w:r>
      <w:r w:rsidRPr="006F56FB">
        <w:t>.</w:t>
      </w:r>
    </w:p>
    <w:p w:rsidR="007B1B9B" w:rsidRPr="00B4664D" w:rsidRDefault="00B4664D" w:rsidP="00B4664D">
      <w:pPr>
        <w:pStyle w:val="AGRBodyText"/>
        <w:jc w:val="center"/>
        <w:rPr>
          <w:b/>
        </w:rPr>
      </w:pPr>
      <w:r>
        <w:rPr>
          <w:b/>
        </w:rPr>
        <w:t>Figure 5</w:t>
      </w:r>
      <w:r w:rsidR="00FF6577">
        <w:rPr>
          <w:b/>
        </w:rPr>
        <w:br/>
      </w:r>
      <w:r w:rsidR="007B1B9B" w:rsidRPr="00B4664D">
        <w:rPr>
          <w:b/>
        </w:rPr>
        <w:t>Pressures and interactions</w:t>
      </w:r>
      <w:r w:rsidR="007B1B9B" w:rsidRPr="00B4664D">
        <w:rPr>
          <w:rStyle w:val="FootnoteReference"/>
          <w:b/>
        </w:rPr>
        <w:footnoteReference w:id="4"/>
      </w:r>
    </w:p>
    <w:p w:rsidR="007B1B9B" w:rsidRDefault="00D2203E" w:rsidP="007B1B9B">
      <w:r w:rsidRPr="00D2203E">
        <w:rPr>
          <w:noProof/>
          <w:lang w:eastAsia="en-AU"/>
        </w:rPr>
        <w:drawing>
          <wp:anchor distT="0" distB="0" distL="114300" distR="114300" simplePos="0" relativeHeight="251678720" behindDoc="0" locked="0" layoutInCell="1" allowOverlap="1" wp14:anchorId="59CE4700" wp14:editId="5986AE5B">
            <wp:simplePos x="0" y="0"/>
            <wp:positionH relativeFrom="page">
              <wp:posOffset>2590800</wp:posOffset>
            </wp:positionH>
            <wp:positionV relativeFrom="page">
              <wp:posOffset>5848350</wp:posOffset>
            </wp:positionV>
            <wp:extent cx="3358800" cy="3315600"/>
            <wp:effectExtent l="0" t="0" r="0" b="0"/>
            <wp:wrapNone/>
            <wp:docPr id="55" name="Picture 55" descr="Careflight&#10;District Medical Officers&#10;Hospital Emergency Departments&#10;Hospital Wards (if patient admitted)" title="Pie showing pressures and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3358800" cy="3315600"/>
                    </a:xfrm>
                    <a:prstGeom prst="rect">
                      <a:avLst/>
                    </a:prstGeom>
                  </pic:spPr>
                </pic:pic>
              </a:graphicData>
            </a:graphic>
            <wp14:sizeRelH relativeFrom="page">
              <wp14:pctWidth>0</wp14:pctWidth>
            </wp14:sizeRelH>
            <wp14:sizeRelV relativeFrom="page">
              <wp14:pctHeight>0</wp14:pctHeight>
            </wp14:sizeRelV>
          </wp:anchor>
        </w:drawing>
      </w:r>
    </w:p>
    <w:p w:rsidR="007B1B9B" w:rsidRDefault="007B1B9B" w:rsidP="007B1B9B"/>
    <w:p w:rsidR="008406BA" w:rsidRDefault="008406BA" w:rsidP="007B1B9B"/>
    <w:p w:rsidR="008406BA" w:rsidRDefault="008406BA" w:rsidP="007B1B9B"/>
    <w:p w:rsidR="008406BA" w:rsidRDefault="008406BA" w:rsidP="007B1B9B"/>
    <w:p w:rsidR="008406BA" w:rsidRDefault="008406BA" w:rsidP="007B1B9B"/>
    <w:p w:rsidR="008406BA" w:rsidRDefault="008406BA" w:rsidP="007B1B9B"/>
    <w:p w:rsidR="008406BA" w:rsidRDefault="008406BA" w:rsidP="007B1B9B"/>
    <w:p w:rsidR="008406BA" w:rsidRDefault="008406BA" w:rsidP="007B1B9B"/>
    <w:p w:rsidR="008406BA" w:rsidRDefault="008406BA" w:rsidP="007B1B9B"/>
    <w:p w:rsidR="008406BA" w:rsidRDefault="008406BA" w:rsidP="00D2203E">
      <w:pPr>
        <w:jc w:val="center"/>
      </w:pPr>
    </w:p>
    <w:p w:rsidR="008406BA" w:rsidRDefault="008406BA" w:rsidP="007B1B9B"/>
    <w:p w:rsidR="007B1B9B" w:rsidRDefault="007B1B9B" w:rsidP="007B1B9B"/>
    <w:p w:rsidR="001018F7" w:rsidRPr="00717F48" w:rsidRDefault="001018F7" w:rsidP="001018F7">
      <w:pPr>
        <w:pStyle w:val="AGRHeading1"/>
      </w:pPr>
      <w:r>
        <w:t>Department of Health cont…</w:t>
      </w:r>
    </w:p>
    <w:p w:rsidR="007B1B9B" w:rsidRPr="008F65BC" w:rsidRDefault="007B1B9B" w:rsidP="007B1B9B">
      <w:pPr>
        <w:pStyle w:val="AGRHeading3"/>
      </w:pPr>
      <w:r w:rsidRPr="008F65BC">
        <w:t>Low acuity services</w:t>
      </w:r>
    </w:p>
    <w:p w:rsidR="007B1B9B" w:rsidRDefault="007B1B9B" w:rsidP="00B4664D">
      <w:pPr>
        <w:pStyle w:val="AGRBodyText"/>
      </w:pPr>
      <w:r>
        <w:t xml:space="preserve">To further complicate the Department’s dealings with </w:t>
      </w:r>
      <w:proofErr w:type="spellStart"/>
      <w:r>
        <w:t>CareFlight</w:t>
      </w:r>
      <w:proofErr w:type="spellEnd"/>
      <w:r>
        <w:t xml:space="preserve">, </w:t>
      </w:r>
      <w:proofErr w:type="spellStart"/>
      <w:r>
        <w:t>CareFlight</w:t>
      </w:r>
      <w:proofErr w:type="spellEnd"/>
      <w:r>
        <w:t xml:space="preserve"> </w:t>
      </w:r>
      <w:r w:rsidR="00EB2BF3">
        <w:t>is</w:t>
      </w:r>
      <w:r>
        <w:t xml:space="preserve"> also providing low acuity, or CME services.  These flights had not been contracted at the time of the audit.  However, I understand that discussions were underway to have these service brought within the scope of a contract.</w:t>
      </w:r>
    </w:p>
    <w:p w:rsidR="007B1B9B" w:rsidRDefault="007B1B9B" w:rsidP="00B4664D">
      <w:pPr>
        <w:pStyle w:val="AGRBodyText"/>
      </w:pPr>
      <w:r>
        <w:t>The TEMRS contract is to transport patients with a Priority code of P1 to P3, but there are other patients who are assessed as P4 or P5, and referred to as low acuity, who may require transport for treatment where a normal mode (bus, charter plane, or vehicle) is not appropriate as the individuals concerned may require medical supervision, often by a nurse.  There appeared to be some uncertainty about what services the Department has contracted for and what sits within the TEMRS and what lies outside the scope of the contract.  Contracting for the low acuity service aims to clarify that.</w:t>
      </w:r>
    </w:p>
    <w:p w:rsidR="007B1B9B" w:rsidRDefault="007B1B9B" w:rsidP="00B4664D">
      <w:pPr>
        <w:pStyle w:val="AGRBodyText"/>
      </w:pPr>
      <w:r>
        <w:t xml:space="preserve">The low acuity service was outside the scope of this audit, but documentation provided by CareFlight to a consultant as part of the review referred to previously identified 899 </w:t>
      </w:r>
      <w:r w:rsidR="00594A27">
        <w:t xml:space="preserve">low acuity </w:t>
      </w:r>
      <w:r>
        <w:t>patient transfers</w:t>
      </w:r>
      <w:r w:rsidR="00635FDF">
        <w:rPr>
          <w:rStyle w:val="FootnoteReference"/>
        </w:rPr>
        <w:footnoteReference w:id="5"/>
      </w:r>
      <w:r>
        <w:t xml:space="preserve"> in the period Fe</w:t>
      </w:r>
      <w:r w:rsidR="00594A27">
        <w:t>bruary 2012 to November 2012</w:t>
      </w:r>
      <w:r>
        <w:t>.</w:t>
      </w:r>
    </w:p>
    <w:p w:rsidR="009E6594" w:rsidRPr="00717F48" w:rsidRDefault="009E6594" w:rsidP="009E6594">
      <w:pPr>
        <w:pStyle w:val="AGRHeading1"/>
      </w:pPr>
      <w:r>
        <w:t>Department of Health cont…</w:t>
      </w:r>
    </w:p>
    <w:p w:rsidR="0066007D" w:rsidRPr="00CB1996" w:rsidRDefault="0066007D" w:rsidP="0066007D">
      <w:pPr>
        <w:pStyle w:val="AGRHeadingComment"/>
        <w:rPr>
          <w:lang w:val="en-AU"/>
        </w:rPr>
      </w:pPr>
      <w:r>
        <w:rPr>
          <w:lang w:val="en-AU"/>
        </w:rPr>
        <w:t>The Department of Health</w:t>
      </w:r>
      <w:r w:rsidRPr="00CB1996">
        <w:rPr>
          <w:lang w:val="en-AU"/>
        </w:rPr>
        <w:t xml:space="preserve"> has commented: </w:t>
      </w:r>
    </w:p>
    <w:p w:rsidR="0066007D" w:rsidRDefault="0066007D" w:rsidP="0066007D">
      <w:pPr>
        <w:pStyle w:val="StyleAGRBodyCommentItalic"/>
      </w:pPr>
      <w:r>
        <w:t>The Department agrees with the recommendations of the Auditor.  The Department is pleased to note that the audit report recognised the fact that the Department had, prior to the audit, identified issues associated with the Aero Medical Contract management and had taken significant steps commencing in November 2012 to address these issues.  As identified in the audit opinion, the Department has undertaken a contract review and recruited staff with contract management qualifications and experience.  The internal review, now supported by the audit findings and recommendations, has resulted in a dedicated focus on major contract management as part of the New Services Framework reform.  The actioning of both the internal review and audit recommendations will fully strengthen the Department’s approach to major contract management.  I am pleased to advise that there has been considerable ongoing remedial action since the audit was undertaken addressing the findings to the Aero Medical Services Contract audit including implementing reporting mechanisms to ensure strategic monitoring of the recommendation implementation at the highest level within the Executive Team.</w:t>
      </w:r>
    </w:p>
    <w:p w:rsidR="0066007D" w:rsidRDefault="0066007D" w:rsidP="0066007D">
      <w:pPr>
        <w:pStyle w:val="StyleAGRBodyCommentItalic"/>
      </w:pPr>
      <w:r>
        <w:t>Further, we have included the audit recommendations in our outstanding recommendation register which will be monitored by the Director of Risk and Audit and the Department’s Risk and Audit Committee.</w:t>
      </w:r>
    </w:p>
    <w:p w:rsidR="0066007D" w:rsidRDefault="0066007D" w:rsidP="00B4664D">
      <w:pPr>
        <w:pStyle w:val="AGRBodyText"/>
      </w:pPr>
    </w:p>
    <w:bookmarkEnd w:id="21"/>
    <w:p w:rsidR="00134C8F" w:rsidRPr="00732782" w:rsidRDefault="00134C8F" w:rsidP="00134C8F">
      <w:pPr>
        <w:pStyle w:val="AGRHeading1"/>
      </w:pPr>
      <w:r>
        <w:t>Department of Health</w:t>
      </w:r>
    </w:p>
    <w:p w:rsidR="00134C8F" w:rsidRDefault="00134C8F" w:rsidP="00134C8F">
      <w:pPr>
        <w:pStyle w:val="AGRHeading2"/>
      </w:pPr>
      <w:bookmarkStart w:id="24" w:name="health_primary_care_audit_title"/>
      <w:r>
        <w:t>Primary Care Information System</w:t>
      </w:r>
      <w:bookmarkEnd w:id="24"/>
    </w:p>
    <w:p w:rsidR="00134C8F" w:rsidRDefault="00134C8F" w:rsidP="00134C8F">
      <w:pPr>
        <w:pStyle w:val="AGRHeading3"/>
      </w:pPr>
      <w:r w:rsidRPr="00732782">
        <w:t>Background</w:t>
      </w:r>
    </w:p>
    <w:p w:rsidR="00641FA9" w:rsidRDefault="00641FA9" w:rsidP="002F4F0B">
      <w:pPr>
        <w:pStyle w:val="AGRBodyText"/>
      </w:pPr>
      <w:r>
        <w:t xml:space="preserve">The </w:t>
      </w:r>
      <w:r w:rsidR="001D445C">
        <w:t>Primary Care Information System (</w:t>
      </w:r>
      <w:r>
        <w:t>PCIS</w:t>
      </w:r>
      <w:r w:rsidR="001D445C">
        <w:t>)</w:t>
      </w:r>
      <w:r>
        <w:t xml:space="preserve"> is a health information system used by the Department of Health for providing a central electronic Client Health Record for patient activity. </w:t>
      </w:r>
      <w:r w:rsidR="004B0301">
        <w:t xml:space="preserve"> </w:t>
      </w:r>
      <w:r>
        <w:t>The system provides additional functionality including care plans, prescribe</w:t>
      </w:r>
      <w:r w:rsidR="001C4808">
        <w:t>d</w:t>
      </w:r>
      <w:r>
        <w:t xml:space="preserve"> medications, document storage and reporting.  </w:t>
      </w:r>
      <w:r w:rsidR="001C4808">
        <w:t>At the time of the audit, t</w:t>
      </w:r>
      <w:r>
        <w:t xml:space="preserve">he system </w:t>
      </w:r>
      <w:r w:rsidR="001C4808">
        <w:t>was</w:t>
      </w:r>
      <w:r>
        <w:t xml:space="preserve"> used by 1,597 </w:t>
      </w:r>
      <w:r w:rsidR="001C4808">
        <w:t>persons</w:t>
      </w:r>
      <w:r>
        <w:t xml:space="preserve"> including </w:t>
      </w:r>
      <w:r w:rsidR="001C4808">
        <w:t>physicians</w:t>
      </w:r>
      <w:r>
        <w:t xml:space="preserve">, </w:t>
      </w:r>
      <w:r w:rsidR="001C4808">
        <w:t xml:space="preserve">medical </w:t>
      </w:r>
      <w:r>
        <w:t xml:space="preserve">specialists, pharmacists, </w:t>
      </w:r>
      <w:r w:rsidR="003F1328">
        <w:t xml:space="preserve">and </w:t>
      </w:r>
      <w:r w:rsidR="001C72AB">
        <w:t>hospitals.</w:t>
      </w:r>
    </w:p>
    <w:p w:rsidR="001D445C" w:rsidRDefault="001D445C" w:rsidP="001D445C">
      <w:pPr>
        <w:pStyle w:val="AGRHeading3"/>
      </w:pPr>
      <w:r>
        <w:t>Audit Opinion</w:t>
      </w:r>
    </w:p>
    <w:p w:rsidR="001D445C" w:rsidRDefault="001D445C" w:rsidP="002F4F0B">
      <w:pPr>
        <w:pStyle w:val="AGRBodyText"/>
      </w:pPr>
      <w:r>
        <w:t xml:space="preserve">Based on </w:t>
      </w:r>
      <w:r w:rsidR="00697169">
        <w:t>evidence submitted to me and on observations made during the course of the audit,</w:t>
      </w:r>
      <w:r>
        <w:t xml:space="preserve"> I determined that appropriate computer controls </w:t>
      </w:r>
      <w:r w:rsidR="001C4808">
        <w:t>had</w:t>
      </w:r>
      <w:r>
        <w:t xml:space="preserve"> been designed and implemented for the PCIS computer environment</w:t>
      </w:r>
      <w:r w:rsidR="001C4808">
        <w:t xml:space="preserve">. </w:t>
      </w:r>
      <w:r>
        <w:t xml:space="preserve"> </w:t>
      </w:r>
      <w:r w:rsidR="001C4808">
        <w:t>H</w:t>
      </w:r>
      <w:r>
        <w:t>owever opportunities exist</w:t>
      </w:r>
      <w:r w:rsidR="001C4808">
        <w:t>ed</w:t>
      </w:r>
      <w:r>
        <w:t xml:space="preserve"> to strengthen information security controls and disaster recovery planning as </w:t>
      </w:r>
      <w:r w:rsidR="001C4808">
        <w:t>outlined</w:t>
      </w:r>
      <w:r>
        <w:t xml:space="preserve"> below.</w:t>
      </w:r>
    </w:p>
    <w:p w:rsidR="00641FA9" w:rsidRDefault="00641FA9" w:rsidP="00641FA9">
      <w:pPr>
        <w:pStyle w:val="AGRHeading3"/>
      </w:pPr>
      <w:r>
        <w:t>Key Findings</w:t>
      </w:r>
    </w:p>
    <w:p w:rsidR="00641FA9" w:rsidRDefault="00641FA9" w:rsidP="00641FA9">
      <w:pPr>
        <w:pStyle w:val="AGRHeading4"/>
      </w:pPr>
      <w:r>
        <w:t>Information Security</w:t>
      </w:r>
    </w:p>
    <w:p w:rsidR="00641FA9" w:rsidRDefault="00641FA9" w:rsidP="002F4F0B">
      <w:pPr>
        <w:pStyle w:val="AGRBodyText"/>
      </w:pPr>
      <w:r>
        <w:t xml:space="preserve">The PCIS application resides on a midrange server within the Department of Health computer environment. </w:t>
      </w:r>
      <w:r w:rsidR="00724427">
        <w:t xml:space="preserve"> </w:t>
      </w:r>
      <w:r>
        <w:t>Access to the PCIS is restricted to authorised users</w:t>
      </w:r>
      <w:r w:rsidR="001C4808">
        <w:t>, but</w:t>
      </w:r>
      <w:r>
        <w:t xml:space="preserve"> </w:t>
      </w:r>
      <w:r w:rsidR="001C4808">
        <w:t>I</w:t>
      </w:r>
      <w:r>
        <w:t xml:space="preserve"> </w:t>
      </w:r>
      <w:r w:rsidR="001C4808">
        <w:t>recommended that the Department</w:t>
      </w:r>
      <w:r>
        <w:t xml:space="preserve"> should consider strengthening end-user computing controls to ensure </w:t>
      </w:r>
      <w:r w:rsidR="001C4808">
        <w:t>adequate security is in place to ensure the privacy of</w:t>
      </w:r>
      <w:r>
        <w:t xml:space="preserve"> clinical data</w:t>
      </w:r>
      <w:r w:rsidR="001C4808">
        <w:t>.</w:t>
      </w:r>
      <w:r>
        <w:t xml:space="preserve"> </w:t>
      </w:r>
      <w:r w:rsidR="00724427">
        <w:t xml:space="preserve"> </w:t>
      </w:r>
      <w:r>
        <w:t>The</w:t>
      </w:r>
      <w:r w:rsidR="001C4808">
        <w:t xml:space="preserve"> recommendations included</w:t>
      </w:r>
      <w:r>
        <w:t xml:space="preserve"> disabling USB drives on end user computers, delayed or secured printing, disabling of screenshots on the end user computers, and encryption of physical media or media in transit.</w:t>
      </w:r>
    </w:p>
    <w:p w:rsidR="00641FA9" w:rsidRDefault="001C4808" w:rsidP="002F4F0B">
      <w:pPr>
        <w:pStyle w:val="AGRBodyText"/>
      </w:pPr>
      <w:r>
        <w:t>More broadly, o</w:t>
      </w:r>
      <w:r w:rsidR="00641FA9">
        <w:t xml:space="preserve">pportunities </w:t>
      </w:r>
      <w:r>
        <w:t>for the</w:t>
      </w:r>
      <w:r w:rsidR="00641FA9">
        <w:t xml:space="preserve"> strengthen</w:t>
      </w:r>
      <w:r>
        <w:t>ing of</w:t>
      </w:r>
      <w:r w:rsidR="00641FA9">
        <w:t xml:space="preserve"> network security architecture </w:t>
      </w:r>
      <w:r>
        <w:t xml:space="preserve">were noted </w:t>
      </w:r>
      <w:r w:rsidR="00641FA9">
        <w:t xml:space="preserve">in order to improve protection of sensitive systems, such as </w:t>
      </w:r>
      <w:r>
        <w:t xml:space="preserve">the </w:t>
      </w:r>
      <w:r w:rsidR="00641FA9">
        <w:t>PCIS.</w:t>
      </w:r>
    </w:p>
    <w:p w:rsidR="00A26052" w:rsidRDefault="00A26052" w:rsidP="00A26052">
      <w:pPr>
        <w:pStyle w:val="AGRHeading4"/>
      </w:pPr>
      <w:r>
        <w:t>Change Management</w:t>
      </w:r>
    </w:p>
    <w:p w:rsidR="00A26052" w:rsidRDefault="00A26052" w:rsidP="002F4F0B">
      <w:pPr>
        <w:pStyle w:val="AGRBodyText"/>
      </w:pPr>
      <w:r>
        <w:t xml:space="preserve">A documented change management policy had been established </w:t>
      </w:r>
      <w:r w:rsidR="00697169">
        <w:t xml:space="preserve">by the Department </w:t>
      </w:r>
      <w:r>
        <w:t>that applied to all changes within the PCIS environment.  System fixes and enhances to the PCIS application are developed by a third-party, Ascribe, before being tested internally in a separate environment and approved for release into production.  Based on this assessment I observed opportunities to further strengthen these processes particularly in relation to the approval of changes.</w:t>
      </w:r>
    </w:p>
    <w:p w:rsidR="006978EA" w:rsidRPr="00732782" w:rsidRDefault="006978EA" w:rsidP="006978EA">
      <w:pPr>
        <w:pStyle w:val="AGRHeading1"/>
      </w:pPr>
      <w:r>
        <w:t>Department of Health cont…</w:t>
      </w:r>
    </w:p>
    <w:p w:rsidR="00641FA9" w:rsidRDefault="00641FA9" w:rsidP="00641FA9">
      <w:pPr>
        <w:pStyle w:val="AGRHeading4"/>
      </w:pPr>
      <w:r>
        <w:t>Business Continuity and Disaster Recovery Plan</w:t>
      </w:r>
    </w:p>
    <w:p w:rsidR="00641FA9" w:rsidRDefault="00641FA9" w:rsidP="002F4F0B">
      <w:pPr>
        <w:pStyle w:val="AGRBodyText"/>
      </w:pPr>
      <w:r>
        <w:t>Business Continuity planning ha</w:t>
      </w:r>
      <w:r w:rsidR="00CA77E0">
        <w:t>d</w:t>
      </w:r>
      <w:r>
        <w:t xml:space="preserve"> not been formally undertaken for </w:t>
      </w:r>
      <w:r w:rsidR="003F1328">
        <w:t xml:space="preserve">the </w:t>
      </w:r>
      <w:r>
        <w:t xml:space="preserve">Department. </w:t>
      </w:r>
      <w:r w:rsidR="003F1328">
        <w:t xml:space="preserve"> </w:t>
      </w:r>
      <w:r>
        <w:t>Although manual “</w:t>
      </w:r>
      <w:r w:rsidR="0062545D">
        <w:t>work-</w:t>
      </w:r>
      <w:r>
        <w:t>around” procedures exist</w:t>
      </w:r>
      <w:r w:rsidR="00CA77E0">
        <w:t>ed</w:t>
      </w:r>
      <w:r w:rsidR="005954A5">
        <w:t xml:space="preserve"> for the sites</w:t>
      </w:r>
      <w:r>
        <w:t xml:space="preserve">/hospitals </w:t>
      </w:r>
      <w:r w:rsidR="00CA77E0">
        <w:t>although these procedures were not considered to be</w:t>
      </w:r>
      <w:r>
        <w:t xml:space="preserve"> comprehensive.</w:t>
      </w:r>
      <w:r w:rsidR="00724427">
        <w:t xml:space="preserve"> </w:t>
      </w:r>
      <w:r>
        <w:t xml:space="preserve"> In </w:t>
      </w:r>
      <w:r w:rsidR="00CA77E0">
        <w:t xml:space="preserve">addition, it was considered that </w:t>
      </w:r>
      <w:r>
        <w:t xml:space="preserve">further work </w:t>
      </w:r>
      <w:r w:rsidR="00CA77E0">
        <w:t>wa</w:t>
      </w:r>
      <w:r>
        <w:t xml:space="preserve">s required to </w:t>
      </w:r>
      <w:r w:rsidR="00CA77E0">
        <w:t>enable Departmental staff to gain a sound</w:t>
      </w:r>
      <w:r>
        <w:t xml:space="preserve"> understand</w:t>
      </w:r>
      <w:r w:rsidR="00CA77E0">
        <w:t>ing of the system and its role</w:t>
      </w:r>
      <w:r>
        <w:t xml:space="preserve"> and </w:t>
      </w:r>
      <w:r w:rsidR="00CA77E0">
        <w:t xml:space="preserve">to </w:t>
      </w:r>
      <w:r>
        <w:t>document the dependencies, risks and business continuity strategies relating to a significant systems outage</w:t>
      </w:r>
      <w:r w:rsidR="00786DFE">
        <w:t>.</w:t>
      </w:r>
    </w:p>
    <w:p w:rsidR="00134C8F" w:rsidRDefault="00CA77E0" w:rsidP="002F4F0B">
      <w:pPr>
        <w:pStyle w:val="AGRBodyText"/>
      </w:pPr>
      <w:r>
        <w:t>T</w:t>
      </w:r>
      <w:r w:rsidR="00641FA9">
        <w:t xml:space="preserve">here </w:t>
      </w:r>
      <w:r>
        <w:t>was</w:t>
      </w:r>
      <w:r w:rsidR="00641FA9">
        <w:t xml:space="preserve"> no </w:t>
      </w:r>
      <w:r>
        <w:t>documented d</w:t>
      </w:r>
      <w:r w:rsidR="00F07902">
        <w:t xml:space="preserve">isaster </w:t>
      </w:r>
      <w:r>
        <w:t>r</w:t>
      </w:r>
      <w:r w:rsidR="00F07902">
        <w:t>ecovery</w:t>
      </w:r>
      <w:r w:rsidR="00641FA9">
        <w:t xml:space="preserve"> plan </w:t>
      </w:r>
      <w:r>
        <w:t xml:space="preserve">at the time of the audit and the relevant branch </w:t>
      </w:r>
      <w:r w:rsidR="0061330D">
        <w:t xml:space="preserve">of the Department </w:t>
      </w:r>
      <w:r>
        <w:t>was</w:t>
      </w:r>
      <w:r w:rsidR="00641FA9">
        <w:t xml:space="preserve"> in </w:t>
      </w:r>
      <w:r>
        <w:t xml:space="preserve">the </w:t>
      </w:r>
      <w:r w:rsidR="00641FA9">
        <w:t>process</w:t>
      </w:r>
      <w:r w:rsidR="00786DFE">
        <w:t xml:space="preserve"> of developing business cases</w:t>
      </w:r>
      <w:r w:rsidR="0061330D">
        <w:t xml:space="preserve"> in support of the </w:t>
      </w:r>
      <w:r w:rsidR="00641FA9">
        <w:t>allocat</w:t>
      </w:r>
      <w:r w:rsidR="0061330D">
        <w:t>ion of</w:t>
      </w:r>
      <w:r w:rsidR="00641FA9">
        <w:t xml:space="preserve"> </w:t>
      </w:r>
      <w:r>
        <w:t xml:space="preserve">staff </w:t>
      </w:r>
      <w:r w:rsidR="00641FA9">
        <w:t xml:space="preserve">to develop a </w:t>
      </w:r>
      <w:r>
        <w:t>disaster recovery</w:t>
      </w:r>
      <w:r w:rsidR="00641FA9">
        <w:t xml:space="preserve"> strategy for </w:t>
      </w:r>
      <w:r w:rsidR="0061330D">
        <w:t>several critical information systems that are central to the delivery of primary health services.</w:t>
      </w:r>
    </w:p>
    <w:p w:rsidR="009E6290" w:rsidRDefault="009E6290" w:rsidP="002F4F0B">
      <w:pPr>
        <w:pStyle w:val="AGRBodyText"/>
      </w:pPr>
    </w:p>
    <w:p w:rsidR="009E6290" w:rsidRPr="00CB1996" w:rsidRDefault="009E6290" w:rsidP="009E6290">
      <w:pPr>
        <w:pStyle w:val="AGRHeadingComment"/>
        <w:rPr>
          <w:lang w:val="en-AU"/>
        </w:rPr>
      </w:pPr>
      <w:r>
        <w:rPr>
          <w:lang w:val="en-AU"/>
        </w:rPr>
        <w:t>The Department of Health</w:t>
      </w:r>
      <w:r w:rsidRPr="00CB1996">
        <w:rPr>
          <w:lang w:val="en-AU"/>
        </w:rPr>
        <w:t xml:space="preserve"> has commented: </w:t>
      </w:r>
    </w:p>
    <w:p w:rsidR="009E6290" w:rsidRDefault="009E6290" w:rsidP="009E6290">
      <w:pPr>
        <w:pStyle w:val="StyleAGRBodyCommentItalic"/>
      </w:pPr>
      <w:r>
        <w:t>The Department agrees with the recommendations of the Auditor.  The Department has engaged a program of work that involves a more substantial product upgrade that is aimed at addressing a number of underlying system shortcomings relating to the reusability of clinical data, system capabilities and configurability to support clinical workflow and changing business requirements.</w:t>
      </w:r>
    </w:p>
    <w:p w:rsidR="009E6290" w:rsidRPr="00134C8F" w:rsidRDefault="009E6290" w:rsidP="002F4F0B">
      <w:pPr>
        <w:pStyle w:val="AGRBodyText"/>
      </w:pPr>
    </w:p>
    <w:p w:rsidR="005D71CD" w:rsidRPr="00732782" w:rsidRDefault="00A24915" w:rsidP="0083183F">
      <w:pPr>
        <w:pStyle w:val="AGRHeading1"/>
      </w:pPr>
      <w:bookmarkStart w:id="25" w:name="menzies"/>
      <w:r w:rsidRPr="00732782">
        <w:t>Menzies School of Health Research</w:t>
      </w:r>
      <w:bookmarkEnd w:id="25"/>
    </w:p>
    <w:p w:rsidR="005D71CD" w:rsidRPr="00732782" w:rsidRDefault="00504E2B" w:rsidP="005D71CD">
      <w:pPr>
        <w:pStyle w:val="AGRHeading2"/>
      </w:pPr>
      <w:bookmarkStart w:id="26" w:name="menzies_audit_title"/>
      <w:r>
        <w:t>Audit findings and a</w:t>
      </w:r>
      <w:r w:rsidR="005D71CD" w:rsidRPr="00732782">
        <w:t xml:space="preserve">nalysis of the financial statements for the year ended </w:t>
      </w:r>
      <w:r w:rsidR="00C90BF2">
        <w:t xml:space="preserve">31 December </w:t>
      </w:r>
      <w:r w:rsidR="00313635">
        <w:t>201</w:t>
      </w:r>
      <w:r w:rsidR="00036669">
        <w:t>2</w:t>
      </w:r>
      <w:bookmarkEnd w:id="26"/>
    </w:p>
    <w:p w:rsidR="005D71CD" w:rsidRPr="00732782" w:rsidRDefault="005D71CD" w:rsidP="00C708C3">
      <w:pPr>
        <w:pStyle w:val="AGRHeading3"/>
      </w:pPr>
      <w:r w:rsidRPr="00732782">
        <w:t>Background</w:t>
      </w:r>
    </w:p>
    <w:p w:rsidR="003D7933" w:rsidRPr="00732782" w:rsidRDefault="003D7933" w:rsidP="002F4F0B">
      <w:pPr>
        <w:pStyle w:val="AGRBodyText"/>
      </w:pPr>
      <w:r w:rsidRPr="00732782">
        <w:t xml:space="preserve">The </w:t>
      </w:r>
      <w:r w:rsidR="006D494A" w:rsidRPr="006D494A">
        <w:t xml:space="preserve">Menzies School of Health Research </w:t>
      </w:r>
      <w:r w:rsidR="006D494A">
        <w:t>(the School)</w:t>
      </w:r>
      <w:r w:rsidRPr="00732782">
        <w:t xml:space="preserve"> </w:t>
      </w:r>
      <w:r w:rsidR="00DA7825">
        <w:t>i</w:t>
      </w:r>
      <w:r w:rsidR="00205581">
        <w:t xml:space="preserve">s </w:t>
      </w:r>
      <w:r w:rsidRPr="00732782">
        <w:t xml:space="preserve">established under the </w:t>
      </w:r>
      <w:r w:rsidRPr="00732782">
        <w:rPr>
          <w:i/>
        </w:rPr>
        <w:t>Menzies School of Health Research Act</w:t>
      </w:r>
      <w:r w:rsidRPr="00732782">
        <w:t xml:space="preserve"> in 1985 and operates as a medical research institute within the Northern Territory.  </w:t>
      </w:r>
      <w:r w:rsidR="006D494A">
        <w:t>The School</w:t>
      </w:r>
      <w:r w:rsidR="006D494A" w:rsidRPr="00732782">
        <w:t xml:space="preserve"> </w:t>
      </w:r>
      <w:r w:rsidRPr="00732782">
        <w:t xml:space="preserve">is </w:t>
      </w:r>
      <w:r w:rsidR="00205581">
        <w:t xml:space="preserve">deemed to be </w:t>
      </w:r>
      <w:r w:rsidRPr="00732782">
        <w:t xml:space="preserve">controlled by Charles Darwin University </w:t>
      </w:r>
      <w:r w:rsidR="00205581">
        <w:t xml:space="preserve">by virtue </w:t>
      </w:r>
      <w:r w:rsidR="00640E17">
        <w:t xml:space="preserve">of </w:t>
      </w:r>
      <w:r w:rsidR="00640E17" w:rsidRPr="00732782">
        <w:t>Section</w:t>
      </w:r>
      <w:r w:rsidRPr="00732782">
        <w:t xml:space="preserve"> 11(1) of the </w:t>
      </w:r>
      <w:r w:rsidR="00A93B97" w:rsidRPr="00A93B97">
        <w:t>Act</w:t>
      </w:r>
      <w:r w:rsidRPr="00732782">
        <w:t xml:space="preserve"> which specifies that </w:t>
      </w:r>
      <w:r w:rsidR="00205581">
        <w:t>the Vice</w:t>
      </w:r>
      <w:r w:rsidR="00F730E0">
        <w:t>-</w:t>
      </w:r>
      <w:r w:rsidR="00205581">
        <w:t xml:space="preserve">Chancellor and the Deputy </w:t>
      </w:r>
      <w:r w:rsidR="00F730E0">
        <w:t>Vice-Chancellor (Research) of the University</w:t>
      </w:r>
      <w:r w:rsidRPr="00732782">
        <w:t xml:space="preserve"> will be </w:t>
      </w:r>
      <w:r w:rsidR="00A93B97" w:rsidRPr="00A93B97">
        <w:rPr>
          <w:i/>
        </w:rPr>
        <w:t>ex officio</w:t>
      </w:r>
      <w:r w:rsidRPr="00732782">
        <w:t xml:space="preserve"> members of the School’s Board, and through Section 11(2)(d) which specifies that five of the ten persons appointed to the Board by the Administrator are appointed on the nomination of the University.</w:t>
      </w:r>
    </w:p>
    <w:p w:rsidR="00177BC6" w:rsidRPr="00732782" w:rsidRDefault="00177BC6" w:rsidP="00C708C3">
      <w:pPr>
        <w:pStyle w:val="AGRHeading3"/>
      </w:pPr>
      <w:r w:rsidRPr="00732782">
        <w:t>Audit Opinion</w:t>
      </w:r>
    </w:p>
    <w:p w:rsidR="00177BC6" w:rsidRPr="00732782" w:rsidRDefault="00177BC6" w:rsidP="002F4F0B">
      <w:pPr>
        <w:pStyle w:val="AGRBodyText"/>
      </w:pPr>
      <w:r w:rsidRPr="00732782">
        <w:t xml:space="preserve">The audit of the financial statements of Menzies School of Health Research for the year ended </w:t>
      </w:r>
      <w:r>
        <w:t>31</w:t>
      </w:r>
      <w:r w:rsidR="00A26052">
        <w:t> </w:t>
      </w:r>
      <w:r>
        <w:t xml:space="preserve">December </w:t>
      </w:r>
      <w:r w:rsidR="00313635">
        <w:t>201</w:t>
      </w:r>
      <w:r w:rsidR="00036669">
        <w:t>2</w:t>
      </w:r>
      <w:r w:rsidRPr="00732782">
        <w:t xml:space="preserve"> resulted in an unqualified independent audit opinion, which was issued on </w:t>
      </w:r>
      <w:r w:rsidR="00AA79DF">
        <w:t>14</w:t>
      </w:r>
      <w:r w:rsidR="00A26052">
        <w:t> </w:t>
      </w:r>
      <w:r w:rsidR="00B745F2">
        <w:t xml:space="preserve">May </w:t>
      </w:r>
      <w:r w:rsidR="00313635">
        <w:t>201</w:t>
      </w:r>
      <w:r w:rsidR="00036669">
        <w:t>3</w:t>
      </w:r>
      <w:r w:rsidRPr="00732782">
        <w:t>.</w:t>
      </w:r>
    </w:p>
    <w:p w:rsidR="005D71CD" w:rsidRPr="00732782" w:rsidRDefault="005D71CD" w:rsidP="00C708C3">
      <w:pPr>
        <w:pStyle w:val="AGRHeading3"/>
      </w:pPr>
      <w:r w:rsidRPr="00732782">
        <w:t xml:space="preserve">Key </w:t>
      </w:r>
      <w:r w:rsidR="00177BC6">
        <w:t>Findings</w:t>
      </w:r>
    </w:p>
    <w:p w:rsidR="001D2F0B" w:rsidRDefault="001D2F0B" w:rsidP="00C708C3">
      <w:pPr>
        <w:pStyle w:val="AGRHeading4"/>
      </w:pPr>
      <w:r w:rsidRPr="003B5514">
        <w:t>New Buildings</w:t>
      </w:r>
    </w:p>
    <w:p w:rsidR="001D2F0B" w:rsidRPr="00877389" w:rsidRDefault="006D494A" w:rsidP="002F4F0B">
      <w:pPr>
        <w:pStyle w:val="AGRBodyText"/>
      </w:pPr>
      <w:r w:rsidRPr="00877389">
        <w:t xml:space="preserve">The School </w:t>
      </w:r>
      <w:r w:rsidR="00325475" w:rsidRPr="00877389">
        <w:t>was granted funding</w:t>
      </w:r>
      <w:r w:rsidR="001D2F0B" w:rsidRPr="00877389">
        <w:t xml:space="preserve"> by the Commonwealth and Northern Territory Governments for the purpose of constructing research and training facilities at </w:t>
      </w:r>
      <w:r w:rsidR="00325475" w:rsidRPr="00877389">
        <w:t xml:space="preserve">the </w:t>
      </w:r>
      <w:r w:rsidR="001D2F0B" w:rsidRPr="00877389">
        <w:t>Charles Darwin University (CDU) and Royal Darwin Hospital (RDH) sites.  The total estimated costs of this project were $47.2</w:t>
      </w:r>
      <w:r w:rsidR="00A26052" w:rsidRPr="00877389">
        <w:t> </w:t>
      </w:r>
      <w:r w:rsidR="001D2F0B" w:rsidRPr="00877389">
        <w:t>million.</w:t>
      </w:r>
    </w:p>
    <w:p w:rsidR="003B5514" w:rsidRPr="00732782" w:rsidRDefault="003B5514" w:rsidP="002F4F0B">
      <w:pPr>
        <w:pStyle w:val="AGRBodyText"/>
      </w:pPr>
      <w:r>
        <w:t xml:space="preserve">Construction </w:t>
      </w:r>
      <w:r w:rsidR="0061330D">
        <w:t>was underway on the</w:t>
      </w:r>
      <w:r>
        <w:t xml:space="preserve"> new </w:t>
      </w:r>
      <w:r w:rsidR="0061330D">
        <w:t>b</w:t>
      </w:r>
      <w:r>
        <w:t xml:space="preserve">uildings at </w:t>
      </w:r>
      <w:r w:rsidR="00697169">
        <w:t>the time of th</w:t>
      </w:r>
      <w:r w:rsidR="0061330D">
        <w:t xml:space="preserve">e audit </w:t>
      </w:r>
      <w:r>
        <w:t xml:space="preserve">with costs </w:t>
      </w:r>
      <w:r w:rsidR="0061330D">
        <w:t>incurred to the end of</w:t>
      </w:r>
      <w:r>
        <w:t xml:space="preserve"> 2012 </w:t>
      </w:r>
      <w:r w:rsidR="0061330D">
        <w:t xml:space="preserve">amounting to </w:t>
      </w:r>
      <w:r>
        <w:t>$</w:t>
      </w:r>
      <w:r w:rsidR="0061330D">
        <w:t>7.1</w:t>
      </w:r>
      <w:r w:rsidR="00A26052">
        <w:t> </w:t>
      </w:r>
      <w:r>
        <w:t>m</w:t>
      </w:r>
      <w:r w:rsidR="0061330D">
        <w:t xml:space="preserve">illion. </w:t>
      </w:r>
      <w:r>
        <w:t xml:space="preserve"> </w:t>
      </w:r>
    </w:p>
    <w:p w:rsidR="00357F87" w:rsidRPr="00732782" w:rsidRDefault="00357F87" w:rsidP="00357F87">
      <w:pPr>
        <w:pStyle w:val="AGRHeading1"/>
      </w:pPr>
      <w:r w:rsidRPr="00732782">
        <w:t>Menzies School of Health Research cont…</w:t>
      </w:r>
    </w:p>
    <w:p w:rsidR="005D71CD" w:rsidRPr="00732782" w:rsidRDefault="005602EC" w:rsidP="00C708C3">
      <w:pPr>
        <w:pStyle w:val="AGRHeading3"/>
      </w:pPr>
      <w:r>
        <w:t>Financial Performance for the year</w:t>
      </w:r>
    </w:p>
    <w:tbl>
      <w:tblPr>
        <w:tblW w:w="7371" w:type="dxa"/>
        <w:tblInd w:w="851" w:type="dxa"/>
        <w:tblLook w:val="01E0" w:firstRow="1" w:lastRow="1" w:firstColumn="1" w:lastColumn="1" w:noHBand="0" w:noVBand="0"/>
      </w:tblPr>
      <w:tblGrid>
        <w:gridCol w:w="4728"/>
        <w:gridCol w:w="1322"/>
        <w:gridCol w:w="1321"/>
      </w:tblGrid>
      <w:tr w:rsidR="005D71CD" w:rsidRPr="00732782" w:rsidTr="002C0576">
        <w:tc>
          <w:tcPr>
            <w:tcW w:w="4728" w:type="dxa"/>
            <w:tcBorders>
              <w:bottom w:val="single" w:sz="4" w:space="0" w:color="auto"/>
            </w:tcBorders>
          </w:tcPr>
          <w:p w:rsidR="005D71CD" w:rsidRPr="00732782" w:rsidRDefault="005D71CD" w:rsidP="002C0576">
            <w:pPr>
              <w:pStyle w:val="AGRTableText"/>
            </w:pPr>
          </w:p>
        </w:tc>
        <w:tc>
          <w:tcPr>
            <w:tcW w:w="1322" w:type="dxa"/>
            <w:tcBorders>
              <w:bottom w:val="single" w:sz="4" w:space="0" w:color="auto"/>
            </w:tcBorders>
          </w:tcPr>
          <w:p w:rsidR="005D71CD" w:rsidRPr="00732782" w:rsidRDefault="00B745F2" w:rsidP="00036669">
            <w:pPr>
              <w:pStyle w:val="AGRTableText"/>
              <w:tabs>
                <w:tab w:val="center" w:pos="570"/>
              </w:tabs>
            </w:pPr>
            <w:r>
              <w:tab/>
            </w:r>
            <w:r w:rsidR="00313635">
              <w:t>201</w:t>
            </w:r>
            <w:r w:rsidR="00036669">
              <w:t>2</w:t>
            </w:r>
          </w:p>
        </w:tc>
        <w:tc>
          <w:tcPr>
            <w:tcW w:w="1321" w:type="dxa"/>
            <w:tcBorders>
              <w:bottom w:val="single" w:sz="4" w:space="0" w:color="auto"/>
            </w:tcBorders>
          </w:tcPr>
          <w:p w:rsidR="005D71CD" w:rsidRPr="00732782" w:rsidRDefault="00B745F2" w:rsidP="00036669">
            <w:pPr>
              <w:pStyle w:val="AGRTableText"/>
              <w:tabs>
                <w:tab w:val="center" w:pos="570"/>
              </w:tabs>
            </w:pPr>
            <w:r>
              <w:tab/>
            </w:r>
            <w:r w:rsidR="00982C76">
              <w:t>201</w:t>
            </w:r>
            <w:r w:rsidR="00036669">
              <w:t>1</w:t>
            </w:r>
          </w:p>
        </w:tc>
      </w:tr>
      <w:tr w:rsidR="005D71CD" w:rsidRPr="00732782" w:rsidTr="002C0576">
        <w:tc>
          <w:tcPr>
            <w:tcW w:w="4728" w:type="dxa"/>
            <w:tcBorders>
              <w:top w:val="single" w:sz="4" w:space="0" w:color="auto"/>
            </w:tcBorders>
          </w:tcPr>
          <w:p w:rsidR="005D71CD" w:rsidRPr="00732782" w:rsidRDefault="005D71CD" w:rsidP="002C0576">
            <w:pPr>
              <w:pStyle w:val="AGRTableText"/>
            </w:pPr>
          </w:p>
        </w:tc>
        <w:tc>
          <w:tcPr>
            <w:tcW w:w="1322" w:type="dxa"/>
            <w:tcBorders>
              <w:top w:val="single" w:sz="4" w:space="0" w:color="auto"/>
            </w:tcBorders>
          </w:tcPr>
          <w:p w:rsidR="005D71CD" w:rsidRPr="00732782" w:rsidRDefault="005D71CD" w:rsidP="002C0576">
            <w:pPr>
              <w:pStyle w:val="AGRTableText"/>
              <w:tabs>
                <w:tab w:val="center" w:pos="570"/>
              </w:tabs>
            </w:pPr>
            <w:r w:rsidRPr="00732782">
              <w:tab/>
              <w:t>$’000</w:t>
            </w:r>
          </w:p>
        </w:tc>
        <w:tc>
          <w:tcPr>
            <w:tcW w:w="1321" w:type="dxa"/>
            <w:tcBorders>
              <w:top w:val="single" w:sz="4" w:space="0" w:color="auto"/>
            </w:tcBorders>
          </w:tcPr>
          <w:p w:rsidR="005D71CD" w:rsidRPr="00732782" w:rsidRDefault="005D71CD" w:rsidP="002C0576">
            <w:pPr>
              <w:pStyle w:val="AGRTableText"/>
              <w:tabs>
                <w:tab w:val="center" w:pos="570"/>
              </w:tabs>
            </w:pPr>
            <w:r w:rsidRPr="00732782">
              <w:tab/>
              <w:t>$’000</w:t>
            </w:r>
          </w:p>
        </w:tc>
      </w:tr>
      <w:tr w:rsidR="00036669" w:rsidRPr="00732782" w:rsidTr="002C0576">
        <w:tc>
          <w:tcPr>
            <w:tcW w:w="4728" w:type="dxa"/>
            <w:tcBorders>
              <w:bottom w:val="single" w:sz="4" w:space="0" w:color="auto"/>
            </w:tcBorders>
          </w:tcPr>
          <w:p w:rsidR="00036669" w:rsidRPr="00732782" w:rsidRDefault="00036669" w:rsidP="002C0576">
            <w:pPr>
              <w:pStyle w:val="AGRTableTextBold"/>
            </w:pPr>
            <w:r w:rsidRPr="00732782">
              <w:t>Revenue from continuing operations</w:t>
            </w:r>
          </w:p>
        </w:tc>
        <w:tc>
          <w:tcPr>
            <w:tcW w:w="1322" w:type="dxa"/>
            <w:tcBorders>
              <w:bottom w:val="single" w:sz="4" w:space="0" w:color="auto"/>
            </w:tcBorders>
          </w:tcPr>
          <w:p w:rsidR="00036669" w:rsidRPr="00732782" w:rsidRDefault="00DC4B3F" w:rsidP="002C0576">
            <w:pPr>
              <w:pStyle w:val="AGRTableNumbersBold"/>
            </w:pPr>
            <w:r>
              <w:t>38,461</w:t>
            </w:r>
          </w:p>
        </w:tc>
        <w:tc>
          <w:tcPr>
            <w:tcW w:w="1321" w:type="dxa"/>
            <w:tcBorders>
              <w:bottom w:val="single" w:sz="4" w:space="0" w:color="auto"/>
            </w:tcBorders>
          </w:tcPr>
          <w:p w:rsidR="00036669" w:rsidRPr="00732782" w:rsidRDefault="00036669" w:rsidP="00B94157">
            <w:pPr>
              <w:pStyle w:val="AGRTableNumbersBold"/>
            </w:pPr>
            <w:r>
              <w:t>37,934</w:t>
            </w:r>
          </w:p>
        </w:tc>
      </w:tr>
      <w:tr w:rsidR="00036669" w:rsidRPr="00732782" w:rsidTr="002C0576">
        <w:tc>
          <w:tcPr>
            <w:tcW w:w="4728" w:type="dxa"/>
            <w:tcBorders>
              <w:top w:val="single" w:sz="4" w:space="0" w:color="auto"/>
            </w:tcBorders>
          </w:tcPr>
          <w:p w:rsidR="00036669" w:rsidRPr="00732782" w:rsidRDefault="00036669" w:rsidP="002C0576">
            <w:pPr>
              <w:pStyle w:val="AGRTableTextBold"/>
            </w:pPr>
            <w:r w:rsidRPr="00732782">
              <w:t>Less expenses from ordinary activities</w:t>
            </w:r>
          </w:p>
        </w:tc>
        <w:tc>
          <w:tcPr>
            <w:tcW w:w="1322" w:type="dxa"/>
            <w:tcBorders>
              <w:top w:val="single" w:sz="4" w:space="0" w:color="auto"/>
            </w:tcBorders>
          </w:tcPr>
          <w:p w:rsidR="00036669" w:rsidRPr="00732782" w:rsidRDefault="00036669" w:rsidP="002C0576">
            <w:pPr>
              <w:pStyle w:val="AGRTableText"/>
              <w:tabs>
                <w:tab w:val="decimal" w:pos="811"/>
              </w:tabs>
            </w:pPr>
          </w:p>
        </w:tc>
        <w:tc>
          <w:tcPr>
            <w:tcW w:w="1321" w:type="dxa"/>
            <w:tcBorders>
              <w:top w:val="single" w:sz="4" w:space="0" w:color="auto"/>
            </w:tcBorders>
          </w:tcPr>
          <w:p w:rsidR="00036669" w:rsidRPr="00732782" w:rsidRDefault="00036669" w:rsidP="00B94157">
            <w:pPr>
              <w:pStyle w:val="AGRTableText"/>
              <w:tabs>
                <w:tab w:val="decimal" w:pos="811"/>
              </w:tabs>
            </w:pPr>
          </w:p>
        </w:tc>
      </w:tr>
      <w:tr w:rsidR="00036669" w:rsidRPr="00732782" w:rsidTr="002C0576">
        <w:tc>
          <w:tcPr>
            <w:tcW w:w="4728" w:type="dxa"/>
          </w:tcPr>
          <w:p w:rsidR="00036669" w:rsidRPr="00732782" w:rsidRDefault="00036669" w:rsidP="005F491D">
            <w:pPr>
              <w:pStyle w:val="AGRTableText"/>
            </w:pPr>
            <w:r w:rsidRPr="00732782">
              <w:t xml:space="preserve">Employee </w:t>
            </w:r>
            <w:r w:rsidR="005F491D">
              <w:t>e</w:t>
            </w:r>
            <w:r w:rsidRPr="00732782">
              <w:t>xpenses</w:t>
            </w:r>
          </w:p>
        </w:tc>
        <w:tc>
          <w:tcPr>
            <w:tcW w:w="1322" w:type="dxa"/>
          </w:tcPr>
          <w:p w:rsidR="00036669" w:rsidRPr="00732782" w:rsidRDefault="00DC4B3F" w:rsidP="00982C76">
            <w:pPr>
              <w:pStyle w:val="AGRTableNumbers"/>
            </w:pPr>
            <w:r>
              <w:t>(24,692)</w:t>
            </w:r>
          </w:p>
        </w:tc>
        <w:tc>
          <w:tcPr>
            <w:tcW w:w="1321" w:type="dxa"/>
          </w:tcPr>
          <w:p w:rsidR="00036669" w:rsidRPr="00732782" w:rsidRDefault="00036669" w:rsidP="00B94157">
            <w:pPr>
              <w:pStyle w:val="AGRTableNumbers"/>
            </w:pPr>
            <w:r w:rsidRPr="00732782">
              <w:t>(</w:t>
            </w:r>
            <w:r>
              <w:t>22,383</w:t>
            </w:r>
            <w:r w:rsidRPr="00732782">
              <w:t>)</w:t>
            </w:r>
          </w:p>
        </w:tc>
      </w:tr>
      <w:tr w:rsidR="00036669" w:rsidRPr="00732782" w:rsidTr="002C0576">
        <w:tc>
          <w:tcPr>
            <w:tcW w:w="4728" w:type="dxa"/>
          </w:tcPr>
          <w:p w:rsidR="00036669" w:rsidRPr="00732782" w:rsidRDefault="00036669" w:rsidP="002C0576">
            <w:pPr>
              <w:pStyle w:val="AGRTableText"/>
            </w:pPr>
            <w:r w:rsidRPr="00732782">
              <w:t>Administration, operational and other expenses</w:t>
            </w:r>
          </w:p>
        </w:tc>
        <w:tc>
          <w:tcPr>
            <w:tcW w:w="1322" w:type="dxa"/>
          </w:tcPr>
          <w:p w:rsidR="00036669" w:rsidRPr="00732782" w:rsidRDefault="00DC4B3F" w:rsidP="00982C76">
            <w:pPr>
              <w:pStyle w:val="AGRTableText"/>
              <w:tabs>
                <w:tab w:val="decimal" w:pos="811"/>
              </w:tabs>
            </w:pPr>
            <w:r>
              <w:t>(13,996)</w:t>
            </w:r>
          </w:p>
        </w:tc>
        <w:tc>
          <w:tcPr>
            <w:tcW w:w="1321" w:type="dxa"/>
          </w:tcPr>
          <w:p w:rsidR="00036669" w:rsidRPr="00732782" w:rsidRDefault="00036669" w:rsidP="00B94157">
            <w:pPr>
              <w:pStyle w:val="AGRTableText"/>
              <w:tabs>
                <w:tab w:val="decimal" w:pos="811"/>
              </w:tabs>
            </w:pPr>
            <w:r>
              <w:t>(11,762</w:t>
            </w:r>
            <w:r w:rsidRPr="00732782">
              <w:t>)</w:t>
            </w:r>
          </w:p>
        </w:tc>
      </w:tr>
      <w:tr w:rsidR="00036669" w:rsidRPr="00732782" w:rsidTr="002C0576">
        <w:tc>
          <w:tcPr>
            <w:tcW w:w="4728" w:type="dxa"/>
            <w:tcBorders>
              <w:bottom w:val="single" w:sz="4" w:space="0" w:color="auto"/>
            </w:tcBorders>
          </w:tcPr>
          <w:p w:rsidR="00036669" w:rsidRPr="00732782" w:rsidRDefault="00036669" w:rsidP="002C0576">
            <w:pPr>
              <w:pStyle w:val="AGRTableTextBold"/>
            </w:pPr>
            <w:r w:rsidRPr="00732782">
              <w:t>Total expenses from ordinary activities</w:t>
            </w:r>
          </w:p>
        </w:tc>
        <w:tc>
          <w:tcPr>
            <w:tcW w:w="1322" w:type="dxa"/>
            <w:tcBorders>
              <w:bottom w:val="single" w:sz="4" w:space="0" w:color="auto"/>
            </w:tcBorders>
          </w:tcPr>
          <w:p w:rsidR="00036669" w:rsidRPr="00732782" w:rsidRDefault="00DC4B3F" w:rsidP="001F7495">
            <w:pPr>
              <w:pStyle w:val="AGRTableNumbersBold"/>
            </w:pPr>
            <w:r>
              <w:t>(38,688)</w:t>
            </w:r>
          </w:p>
        </w:tc>
        <w:tc>
          <w:tcPr>
            <w:tcW w:w="1321" w:type="dxa"/>
            <w:tcBorders>
              <w:bottom w:val="single" w:sz="4" w:space="0" w:color="auto"/>
            </w:tcBorders>
          </w:tcPr>
          <w:p w:rsidR="00036669" w:rsidRPr="00732782" w:rsidRDefault="00036669" w:rsidP="00B94157">
            <w:pPr>
              <w:pStyle w:val="AGRTableNumbersBold"/>
            </w:pPr>
            <w:r w:rsidRPr="00732782">
              <w:t>(</w:t>
            </w:r>
            <w:r>
              <w:t>34,145</w:t>
            </w:r>
            <w:r w:rsidRPr="00732782">
              <w:t>)</w:t>
            </w:r>
          </w:p>
        </w:tc>
      </w:tr>
      <w:tr w:rsidR="00036669" w:rsidRPr="00732782" w:rsidTr="002C0576">
        <w:tc>
          <w:tcPr>
            <w:tcW w:w="4728" w:type="dxa"/>
            <w:tcBorders>
              <w:bottom w:val="single" w:sz="4" w:space="0" w:color="auto"/>
            </w:tcBorders>
          </w:tcPr>
          <w:p w:rsidR="00036669" w:rsidRPr="00732782" w:rsidRDefault="00036669" w:rsidP="003D7933">
            <w:pPr>
              <w:pStyle w:val="AGRTableTextBold"/>
            </w:pPr>
            <w:r w:rsidRPr="00732782">
              <w:t>Net operating result for the year</w:t>
            </w:r>
          </w:p>
        </w:tc>
        <w:tc>
          <w:tcPr>
            <w:tcW w:w="1322" w:type="dxa"/>
            <w:tcBorders>
              <w:bottom w:val="single" w:sz="4" w:space="0" w:color="auto"/>
            </w:tcBorders>
          </w:tcPr>
          <w:p w:rsidR="00036669" w:rsidRPr="00732782" w:rsidRDefault="00DC4B3F" w:rsidP="00036669">
            <w:pPr>
              <w:pStyle w:val="AGRTableNumbersBold"/>
            </w:pPr>
            <w:r>
              <w:t>(227)</w:t>
            </w:r>
          </w:p>
        </w:tc>
        <w:tc>
          <w:tcPr>
            <w:tcW w:w="1321" w:type="dxa"/>
            <w:tcBorders>
              <w:bottom w:val="single" w:sz="4" w:space="0" w:color="auto"/>
            </w:tcBorders>
          </w:tcPr>
          <w:p w:rsidR="00036669" w:rsidRPr="00732782" w:rsidRDefault="00036669" w:rsidP="00B94157">
            <w:pPr>
              <w:pStyle w:val="AGRTableNumbersBold"/>
            </w:pPr>
            <w:r>
              <w:t>3,789</w:t>
            </w:r>
          </w:p>
        </w:tc>
      </w:tr>
    </w:tbl>
    <w:p w:rsidR="00152EB7" w:rsidRDefault="001A5800" w:rsidP="002F4F0B">
      <w:pPr>
        <w:pStyle w:val="AGRBodyText"/>
      </w:pPr>
      <w:r w:rsidRPr="00940F0E">
        <w:t xml:space="preserve">There </w:t>
      </w:r>
      <w:r>
        <w:t xml:space="preserve">was a </w:t>
      </w:r>
      <w:r w:rsidR="00152EB7">
        <w:t>modest</w:t>
      </w:r>
      <w:r>
        <w:t xml:space="preserve"> increase</w:t>
      </w:r>
      <w:r w:rsidRPr="00940F0E">
        <w:t xml:space="preserve"> </w:t>
      </w:r>
      <w:r w:rsidR="00152EB7">
        <w:t>of $0.5</w:t>
      </w:r>
      <w:r w:rsidR="00A26052">
        <w:t> </w:t>
      </w:r>
      <w:r w:rsidR="00152EB7">
        <w:t xml:space="preserve">million </w:t>
      </w:r>
      <w:r w:rsidRPr="00940F0E">
        <w:t xml:space="preserve">in </w:t>
      </w:r>
      <w:r>
        <w:t>the School’s</w:t>
      </w:r>
      <w:r w:rsidRPr="00940F0E">
        <w:t xml:space="preserve"> total revenue</w:t>
      </w:r>
      <w:r>
        <w:t>s</w:t>
      </w:r>
      <w:r w:rsidRPr="00940F0E">
        <w:t xml:space="preserve"> for </w:t>
      </w:r>
      <w:r w:rsidR="004E1CE4">
        <w:t>2012</w:t>
      </w:r>
      <w:r>
        <w:t xml:space="preserve">, with </w:t>
      </w:r>
      <w:r w:rsidR="00152EB7">
        <w:t xml:space="preserve">total revenue rising from </w:t>
      </w:r>
      <w:r>
        <w:t>$37.9</w:t>
      </w:r>
      <w:r w:rsidR="00A26052">
        <w:t> </w:t>
      </w:r>
      <w:r>
        <w:t>million in 2011 to $38.4</w:t>
      </w:r>
      <w:r w:rsidR="00A26052">
        <w:t> </w:t>
      </w:r>
      <w:r>
        <w:t>million in 2012</w:t>
      </w:r>
      <w:r w:rsidRPr="00940F0E">
        <w:t xml:space="preserve">. </w:t>
      </w:r>
      <w:r>
        <w:t xml:space="preserve"> </w:t>
      </w:r>
      <w:r w:rsidR="00152EB7">
        <w:t xml:space="preserve">The most significant factor in the increased revenue was an increase </w:t>
      </w:r>
      <w:r w:rsidR="004E1CE4">
        <w:t xml:space="preserve">of </w:t>
      </w:r>
      <w:r w:rsidR="00152EB7">
        <w:t>$0.65</w:t>
      </w:r>
      <w:r w:rsidR="00A26052">
        <w:t> </w:t>
      </w:r>
      <w:r w:rsidR="00152EB7">
        <w:t>million in revenue received from Charles Darwin University, with the total amount received</w:t>
      </w:r>
      <w:r w:rsidR="00A26052">
        <w:t xml:space="preserve"> from the University being $2.5 </w:t>
      </w:r>
      <w:r w:rsidR="00152EB7">
        <w:t>million.  As in past years, the largest part of the School’s revenue was received f</w:t>
      </w:r>
      <w:r w:rsidR="00A26052">
        <w:t>rom the Commonwealth with $19.0 </w:t>
      </w:r>
      <w:r w:rsidR="00152EB7">
        <w:t xml:space="preserve">million being received in 2012 compared </w:t>
      </w:r>
      <w:r w:rsidR="004E1CE4">
        <w:t>to</w:t>
      </w:r>
      <w:r w:rsidR="00152EB7">
        <w:t xml:space="preserve"> </w:t>
      </w:r>
      <w:r w:rsidR="004E1CE4">
        <w:t>$</w:t>
      </w:r>
      <w:r w:rsidR="00A26052">
        <w:t>18.8 </w:t>
      </w:r>
      <w:r w:rsidR="00152EB7">
        <w:t>million in 2011.</w:t>
      </w:r>
      <w:r w:rsidR="004E1CE4">
        <w:t xml:space="preserve">  Revenue received from the Northern Territory Governm</w:t>
      </w:r>
      <w:r w:rsidR="00A26052">
        <w:t>ent increased slightly to $5.96 </w:t>
      </w:r>
      <w:r w:rsidR="004E1CE4">
        <w:t>million compar</w:t>
      </w:r>
      <w:r w:rsidR="00A26052">
        <w:t>ed to $5.93 </w:t>
      </w:r>
      <w:r w:rsidR="004E1CE4">
        <w:t>million for 2011.</w:t>
      </w:r>
    </w:p>
    <w:p w:rsidR="004E1CE4" w:rsidRDefault="001A5800" w:rsidP="002F4F0B">
      <w:pPr>
        <w:pStyle w:val="AGRBodyText"/>
      </w:pPr>
      <w:r w:rsidRPr="00940F0E">
        <w:t>The</w:t>
      </w:r>
      <w:r>
        <w:t xml:space="preserve"> School’s operating e</w:t>
      </w:r>
      <w:r w:rsidR="00A26052">
        <w:t>xpenditure increased from $34.1 </w:t>
      </w:r>
      <w:r w:rsidRPr="00940F0E">
        <w:t>m</w:t>
      </w:r>
      <w:r>
        <w:t>illion in 2011</w:t>
      </w:r>
      <w:r w:rsidRPr="00940F0E">
        <w:t xml:space="preserve"> to </w:t>
      </w:r>
      <w:r w:rsidR="00A26052">
        <w:t>$38.6 </w:t>
      </w:r>
      <w:r>
        <w:t>million in 2012,</w:t>
      </w:r>
      <w:r w:rsidRPr="00940F0E">
        <w:t xml:space="preserve"> mainly</w:t>
      </w:r>
      <w:r>
        <w:t xml:space="preserve"> due</w:t>
      </w:r>
      <w:r w:rsidRPr="00940F0E">
        <w:t xml:space="preserve"> to </w:t>
      </w:r>
      <w:r>
        <w:t xml:space="preserve">an </w:t>
      </w:r>
      <w:r w:rsidRPr="00940F0E">
        <w:t>increase in employee related expenses</w:t>
      </w:r>
      <w:r>
        <w:t xml:space="preserve"> of $2.3</w:t>
      </w:r>
      <w:r w:rsidR="00A26052">
        <w:t> </w:t>
      </w:r>
      <w:r>
        <w:t>m</w:t>
      </w:r>
      <w:r w:rsidR="0061330D">
        <w:t>illion</w:t>
      </w:r>
      <w:r w:rsidRPr="00940F0E">
        <w:t xml:space="preserve"> </w:t>
      </w:r>
      <w:r>
        <w:t xml:space="preserve">and an increase in </w:t>
      </w:r>
      <w:r w:rsidR="00697169">
        <w:t>expenses classed as Other Expenditure</w:t>
      </w:r>
      <w:r>
        <w:t xml:space="preserve"> of $2.1</w:t>
      </w:r>
      <w:r w:rsidR="00A26052">
        <w:t> </w:t>
      </w:r>
      <w:r>
        <w:t>m</w:t>
      </w:r>
      <w:r w:rsidR="0061330D">
        <w:t xml:space="preserve">illion, </w:t>
      </w:r>
      <w:r w:rsidR="004E1CE4">
        <w:t>with this category</w:t>
      </w:r>
      <w:r w:rsidR="0061330D">
        <w:t xml:space="preserve"> </w:t>
      </w:r>
      <w:r w:rsidR="004E1CE4">
        <w:t xml:space="preserve">including </w:t>
      </w:r>
      <w:r w:rsidR="0061330D">
        <w:t>expenses incurred on</w:t>
      </w:r>
      <w:r>
        <w:t xml:space="preserve"> </w:t>
      </w:r>
      <w:r w:rsidR="0061330D">
        <w:t>c</w:t>
      </w:r>
      <w:r>
        <w:t>onsultanc</w:t>
      </w:r>
      <w:r w:rsidR="0061330D">
        <w:t>ies</w:t>
      </w:r>
      <w:r>
        <w:t xml:space="preserve">, </w:t>
      </w:r>
      <w:r w:rsidR="0061330D">
        <w:t>l</w:t>
      </w:r>
      <w:r>
        <w:t>aboratory</w:t>
      </w:r>
      <w:r w:rsidR="0061330D">
        <w:t xml:space="preserve"> functions</w:t>
      </w:r>
      <w:r>
        <w:t xml:space="preserve">, </w:t>
      </w:r>
      <w:r w:rsidR="0061330D">
        <w:t>r</w:t>
      </w:r>
      <w:r>
        <w:t xml:space="preserve">esearch projects and </w:t>
      </w:r>
      <w:r w:rsidR="0061330D">
        <w:t>s</w:t>
      </w:r>
      <w:r>
        <w:t>cholarship</w:t>
      </w:r>
      <w:r w:rsidR="004E1CE4">
        <w:t>s</w:t>
      </w:r>
      <w:r w:rsidR="0061330D">
        <w:t>.</w:t>
      </w:r>
      <w:r w:rsidRPr="00940F0E">
        <w:t xml:space="preserve"> </w:t>
      </w:r>
      <w:r>
        <w:t xml:space="preserve"> </w:t>
      </w:r>
    </w:p>
    <w:p w:rsidR="001A5800" w:rsidRDefault="004E1CE4" w:rsidP="002F4F0B">
      <w:pPr>
        <w:pStyle w:val="AGRBodyText"/>
      </w:pPr>
      <w:r>
        <w:t>As indicated in the table above</w:t>
      </w:r>
      <w:r w:rsidR="001A5800" w:rsidRPr="00940F0E">
        <w:t>, th</w:t>
      </w:r>
      <w:r w:rsidR="001A5800">
        <w:t xml:space="preserve">e School </w:t>
      </w:r>
      <w:r w:rsidR="0061330D">
        <w:t>recorded</w:t>
      </w:r>
      <w:r w:rsidR="00A26052">
        <w:t xml:space="preserve"> an operating deficit of $0.2 </w:t>
      </w:r>
      <w:r w:rsidR="001A5800">
        <w:t>million</w:t>
      </w:r>
      <w:r w:rsidR="001A5800" w:rsidRPr="00940F0E">
        <w:t xml:space="preserve"> </w:t>
      </w:r>
      <w:r w:rsidR="001A5800">
        <w:t>for</w:t>
      </w:r>
      <w:r w:rsidR="001A5800" w:rsidRPr="00940F0E">
        <w:t xml:space="preserve"> the year. </w:t>
      </w:r>
    </w:p>
    <w:p w:rsidR="00B74230" w:rsidRPr="00732782" w:rsidRDefault="00B74230" w:rsidP="0083183F">
      <w:pPr>
        <w:pStyle w:val="AGRHeading1"/>
      </w:pPr>
      <w:r w:rsidRPr="00732782">
        <w:t>Menzies School of Health Research cont…</w:t>
      </w:r>
    </w:p>
    <w:p w:rsidR="00B74230" w:rsidRPr="00732782" w:rsidRDefault="005602EC" w:rsidP="00C708C3">
      <w:pPr>
        <w:pStyle w:val="AGRHeading3"/>
      </w:pPr>
      <w:r>
        <w:t>Financial Position at year end</w:t>
      </w:r>
    </w:p>
    <w:tbl>
      <w:tblPr>
        <w:tblW w:w="7371" w:type="dxa"/>
        <w:tblInd w:w="851" w:type="dxa"/>
        <w:tblLook w:val="01E0" w:firstRow="1" w:lastRow="1" w:firstColumn="1" w:lastColumn="1" w:noHBand="0" w:noVBand="0"/>
      </w:tblPr>
      <w:tblGrid>
        <w:gridCol w:w="4728"/>
        <w:gridCol w:w="1322"/>
        <w:gridCol w:w="1321"/>
      </w:tblGrid>
      <w:tr w:rsidR="00B74230" w:rsidRPr="00732782" w:rsidTr="00B74230">
        <w:tc>
          <w:tcPr>
            <w:tcW w:w="4728" w:type="dxa"/>
            <w:tcBorders>
              <w:bottom w:val="single" w:sz="4" w:space="0" w:color="auto"/>
            </w:tcBorders>
          </w:tcPr>
          <w:p w:rsidR="00B74230" w:rsidRPr="00732782" w:rsidRDefault="00B74230" w:rsidP="00B74230">
            <w:pPr>
              <w:pStyle w:val="AGRTableText"/>
            </w:pPr>
          </w:p>
        </w:tc>
        <w:tc>
          <w:tcPr>
            <w:tcW w:w="1322" w:type="dxa"/>
            <w:tcBorders>
              <w:bottom w:val="single" w:sz="4" w:space="0" w:color="auto"/>
            </w:tcBorders>
          </w:tcPr>
          <w:p w:rsidR="00B74230" w:rsidRPr="00732782" w:rsidRDefault="00B745F2" w:rsidP="00036669">
            <w:pPr>
              <w:pStyle w:val="AGRTableText"/>
              <w:tabs>
                <w:tab w:val="center" w:pos="570"/>
              </w:tabs>
            </w:pPr>
            <w:r>
              <w:tab/>
            </w:r>
            <w:r w:rsidR="00313635">
              <w:t>201</w:t>
            </w:r>
            <w:r w:rsidR="00036669">
              <w:t>2</w:t>
            </w:r>
          </w:p>
        </w:tc>
        <w:tc>
          <w:tcPr>
            <w:tcW w:w="1321" w:type="dxa"/>
            <w:tcBorders>
              <w:bottom w:val="single" w:sz="4" w:space="0" w:color="auto"/>
            </w:tcBorders>
          </w:tcPr>
          <w:p w:rsidR="00B74230" w:rsidRPr="00732782" w:rsidRDefault="00B74230" w:rsidP="00036669">
            <w:pPr>
              <w:pStyle w:val="AGRTableText"/>
              <w:tabs>
                <w:tab w:val="center" w:pos="570"/>
              </w:tabs>
            </w:pPr>
            <w:r w:rsidRPr="00732782">
              <w:tab/>
            </w:r>
            <w:r w:rsidR="00982C76">
              <w:t>201</w:t>
            </w:r>
            <w:r w:rsidR="00036669">
              <w:t>1</w:t>
            </w:r>
          </w:p>
        </w:tc>
      </w:tr>
      <w:tr w:rsidR="00036669" w:rsidRPr="00732782" w:rsidTr="00B74230">
        <w:tc>
          <w:tcPr>
            <w:tcW w:w="4728" w:type="dxa"/>
            <w:tcBorders>
              <w:top w:val="single" w:sz="4" w:space="0" w:color="auto"/>
            </w:tcBorders>
          </w:tcPr>
          <w:p w:rsidR="00036669" w:rsidRPr="00732782" w:rsidRDefault="00036669" w:rsidP="00B74230">
            <w:pPr>
              <w:pStyle w:val="AGRTableText"/>
            </w:pPr>
          </w:p>
        </w:tc>
        <w:tc>
          <w:tcPr>
            <w:tcW w:w="1322" w:type="dxa"/>
            <w:tcBorders>
              <w:top w:val="single" w:sz="4" w:space="0" w:color="auto"/>
            </w:tcBorders>
          </w:tcPr>
          <w:p w:rsidR="00036669" w:rsidRPr="00732782" w:rsidRDefault="00036669" w:rsidP="00B74230">
            <w:pPr>
              <w:pStyle w:val="AGRTableText"/>
              <w:tabs>
                <w:tab w:val="center" w:pos="570"/>
              </w:tabs>
            </w:pPr>
            <w:r w:rsidRPr="00732782">
              <w:tab/>
              <w:t>$’000</w:t>
            </w:r>
          </w:p>
        </w:tc>
        <w:tc>
          <w:tcPr>
            <w:tcW w:w="1321" w:type="dxa"/>
            <w:tcBorders>
              <w:top w:val="single" w:sz="4" w:space="0" w:color="auto"/>
            </w:tcBorders>
          </w:tcPr>
          <w:p w:rsidR="00036669" w:rsidRPr="00732782" w:rsidRDefault="00036669" w:rsidP="00B94157">
            <w:pPr>
              <w:pStyle w:val="AGRTableText"/>
              <w:tabs>
                <w:tab w:val="center" w:pos="570"/>
              </w:tabs>
            </w:pPr>
            <w:r w:rsidRPr="00732782">
              <w:tab/>
              <w:t>$’000</w:t>
            </w:r>
          </w:p>
        </w:tc>
      </w:tr>
      <w:tr w:rsidR="00036669" w:rsidRPr="00732782" w:rsidTr="00B74230">
        <w:tc>
          <w:tcPr>
            <w:tcW w:w="4728" w:type="dxa"/>
          </w:tcPr>
          <w:p w:rsidR="00036669" w:rsidRPr="00732782" w:rsidRDefault="005F491D" w:rsidP="00B74230">
            <w:pPr>
              <w:pStyle w:val="AGRTableText"/>
            </w:pPr>
            <w:r>
              <w:t>Current a</w:t>
            </w:r>
            <w:r w:rsidR="00036669" w:rsidRPr="00732782">
              <w:t>ssets</w:t>
            </w:r>
          </w:p>
        </w:tc>
        <w:tc>
          <w:tcPr>
            <w:tcW w:w="1322" w:type="dxa"/>
          </w:tcPr>
          <w:p w:rsidR="00036669" w:rsidRPr="00732782" w:rsidRDefault="0089298D" w:rsidP="00B74230">
            <w:pPr>
              <w:pStyle w:val="AGRTableNumbers"/>
            </w:pPr>
            <w:r>
              <w:t>40,294</w:t>
            </w:r>
          </w:p>
        </w:tc>
        <w:tc>
          <w:tcPr>
            <w:tcW w:w="1321" w:type="dxa"/>
          </w:tcPr>
          <w:p w:rsidR="00036669" w:rsidRPr="00732782" w:rsidRDefault="00036669" w:rsidP="00B94157">
            <w:pPr>
              <w:pStyle w:val="AGRTableNumbers"/>
            </w:pPr>
            <w:r>
              <w:t>44,037</w:t>
            </w:r>
          </w:p>
        </w:tc>
      </w:tr>
      <w:tr w:rsidR="00036669" w:rsidRPr="00732782" w:rsidTr="00B74230">
        <w:tc>
          <w:tcPr>
            <w:tcW w:w="4728" w:type="dxa"/>
          </w:tcPr>
          <w:p w:rsidR="00036669" w:rsidRPr="00732782" w:rsidRDefault="005F491D" w:rsidP="005F491D">
            <w:pPr>
              <w:pStyle w:val="AGRTableText"/>
            </w:pPr>
            <w:r>
              <w:t>Less c</w:t>
            </w:r>
            <w:r w:rsidR="00036669" w:rsidRPr="00732782">
              <w:t xml:space="preserve">urrent </w:t>
            </w:r>
            <w:r>
              <w:t>l</w:t>
            </w:r>
            <w:r w:rsidR="00036669" w:rsidRPr="00732782">
              <w:t>iabilities</w:t>
            </w:r>
          </w:p>
        </w:tc>
        <w:tc>
          <w:tcPr>
            <w:tcW w:w="1322" w:type="dxa"/>
          </w:tcPr>
          <w:p w:rsidR="00036669" w:rsidRPr="00732782" w:rsidRDefault="0089298D" w:rsidP="00982C76">
            <w:pPr>
              <w:pStyle w:val="AGRTableText"/>
              <w:tabs>
                <w:tab w:val="decimal" w:pos="811"/>
              </w:tabs>
            </w:pPr>
            <w:r>
              <w:t>(5,142)</w:t>
            </w:r>
          </w:p>
        </w:tc>
        <w:tc>
          <w:tcPr>
            <w:tcW w:w="1321" w:type="dxa"/>
          </w:tcPr>
          <w:p w:rsidR="00036669" w:rsidRPr="00732782" w:rsidRDefault="00036669" w:rsidP="00B94157">
            <w:pPr>
              <w:pStyle w:val="AGRTableText"/>
              <w:tabs>
                <w:tab w:val="decimal" w:pos="811"/>
              </w:tabs>
            </w:pPr>
            <w:r>
              <w:t>(4,121</w:t>
            </w:r>
            <w:r w:rsidRPr="00732782">
              <w:t>)</w:t>
            </w:r>
          </w:p>
        </w:tc>
      </w:tr>
      <w:tr w:rsidR="00036669" w:rsidRPr="00732782" w:rsidTr="00B74230">
        <w:tc>
          <w:tcPr>
            <w:tcW w:w="4728" w:type="dxa"/>
            <w:tcBorders>
              <w:bottom w:val="single" w:sz="4" w:space="0" w:color="auto"/>
            </w:tcBorders>
          </w:tcPr>
          <w:p w:rsidR="00036669" w:rsidRPr="00732782" w:rsidRDefault="005F491D" w:rsidP="00B74230">
            <w:pPr>
              <w:pStyle w:val="AGRTableTextBold"/>
            </w:pPr>
            <w:r>
              <w:t>Working c</w:t>
            </w:r>
            <w:r w:rsidR="00036669" w:rsidRPr="00732782">
              <w:t>apital</w:t>
            </w:r>
          </w:p>
        </w:tc>
        <w:tc>
          <w:tcPr>
            <w:tcW w:w="1322" w:type="dxa"/>
            <w:tcBorders>
              <w:bottom w:val="single" w:sz="4" w:space="0" w:color="auto"/>
            </w:tcBorders>
          </w:tcPr>
          <w:p w:rsidR="00036669" w:rsidRPr="00732782" w:rsidRDefault="0089298D" w:rsidP="00B74230">
            <w:pPr>
              <w:pStyle w:val="AGRTableNumbersBold"/>
            </w:pPr>
            <w:r>
              <w:t>35,152</w:t>
            </w:r>
          </w:p>
        </w:tc>
        <w:tc>
          <w:tcPr>
            <w:tcW w:w="1321" w:type="dxa"/>
            <w:tcBorders>
              <w:bottom w:val="single" w:sz="4" w:space="0" w:color="auto"/>
            </w:tcBorders>
          </w:tcPr>
          <w:p w:rsidR="00036669" w:rsidRPr="00732782" w:rsidRDefault="00036669" w:rsidP="00B94157">
            <w:pPr>
              <w:pStyle w:val="AGRTableNumbersBold"/>
            </w:pPr>
            <w:r>
              <w:t>39,916</w:t>
            </w:r>
          </w:p>
        </w:tc>
      </w:tr>
      <w:tr w:rsidR="00036669" w:rsidRPr="00732782" w:rsidTr="00B74230">
        <w:tc>
          <w:tcPr>
            <w:tcW w:w="4728" w:type="dxa"/>
            <w:tcBorders>
              <w:top w:val="single" w:sz="4" w:space="0" w:color="auto"/>
            </w:tcBorders>
          </w:tcPr>
          <w:p w:rsidR="00036669" w:rsidRPr="00732782" w:rsidRDefault="005F491D" w:rsidP="005F491D">
            <w:pPr>
              <w:pStyle w:val="AGRTableText"/>
            </w:pPr>
            <w:r>
              <w:t>Add non c</w:t>
            </w:r>
            <w:r w:rsidR="00036669" w:rsidRPr="00732782">
              <w:t xml:space="preserve">urrent </w:t>
            </w:r>
            <w:r>
              <w:t>a</w:t>
            </w:r>
            <w:r w:rsidR="00036669" w:rsidRPr="00732782">
              <w:t>ssets</w:t>
            </w:r>
          </w:p>
        </w:tc>
        <w:tc>
          <w:tcPr>
            <w:tcW w:w="1322" w:type="dxa"/>
            <w:tcBorders>
              <w:top w:val="single" w:sz="4" w:space="0" w:color="auto"/>
            </w:tcBorders>
          </w:tcPr>
          <w:p w:rsidR="00036669" w:rsidRPr="00732782" w:rsidRDefault="0089298D" w:rsidP="00B74230">
            <w:pPr>
              <w:pStyle w:val="AGRTableText"/>
              <w:tabs>
                <w:tab w:val="decimal" w:pos="811"/>
              </w:tabs>
            </w:pPr>
            <w:r>
              <w:t>7,776</w:t>
            </w:r>
          </w:p>
        </w:tc>
        <w:tc>
          <w:tcPr>
            <w:tcW w:w="1321" w:type="dxa"/>
            <w:tcBorders>
              <w:top w:val="single" w:sz="4" w:space="0" w:color="auto"/>
            </w:tcBorders>
          </w:tcPr>
          <w:p w:rsidR="00036669" w:rsidRPr="00732782" w:rsidRDefault="00036669" w:rsidP="00B94157">
            <w:pPr>
              <w:pStyle w:val="AGRTableText"/>
              <w:tabs>
                <w:tab w:val="decimal" w:pos="811"/>
              </w:tabs>
            </w:pPr>
            <w:r>
              <w:t>3,113</w:t>
            </w:r>
          </w:p>
        </w:tc>
      </w:tr>
      <w:tr w:rsidR="00036669" w:rsidRPr="00732782" w:rsidTr="00B74230">
        <w:tc>
          <w:tcPr>
            <w:tcW w:w="4728" w:type="dxa"/>
          </w:tcPr>
          <w:p w:rsidR="00036669" w:rsidRPr="00732782" w:rsidRDefault="00036669" w:rsidP="00B74230">
            <w:pPr>
              <w:pStyle w:val="AGRTableText"/>
            </w:pPr>
          </w:p>
        </w:tc>
        <w:tc>
          <w:tcPr>
            <w:tcW w:w="1322" w:type="dxa"/>
          </w:tcPr>
          <w:p w:rsidR="00036669" w:rsidRPr="00732782" w:rsidRDefault="0089298D" w:rsidP="00B74230">
            <w:pPr>
              <w:pStyle w:val="AGRTableNumbers"/>
            </w:pPr>
            <w:r>
              <w:t>42,928</w:t>
            </w:r>
          </w:p>
        </w:tc>
        <w:tc>
          <w:tcPr>
            <w:tcW w:w="1321" w:type="dxa"/>
          </w:tcPr>
          <w:p w:rsidR="00036669" w:rsidRPr="00732782" w:rsidRDefault="00036669" w:rsidP="00B94157">
            <w:pPr>
              <w:pStyle w:val="AGRTableNumbers"/>
            </w:pPr>
            <w:r>
              <w:t>43,029</w:t>
            </w:r>
          </w:p>
        </w:tc>
      </w:tr>
      <w:tr w:rsidR="00036669" w:rsidRPr="00732782" w:rsidTr="00B74230">
        <w:tc>
          <w:tcPr>
            <w:tcW w:w="4728" w:type="dxa"/>
          </w:tcPr>
          <w:p w:rsidR="00036669" w:rsidRPr="00732782" w:rsidRDefault="00036669" w:rsidP="005F491D">
            <w:pPr>
              <w:pStyle w:val="AGRTableText"/>
            </w:pPr>
            <w:r w:rsidRPr="00732782">
              <w:t xml:space="preserve">Less </w:t>
            </w:r>
            <w:r w:rsidR="005F491D">
              <w:t>n</w:t>
            </w:r>
            <w:r w:rsidRPr="00732782">
              <w:t xml:space="preserve">on </w:t>
            </w:r>
            <w:r w:rsidR="005F491D">
              <w:t>c</w:t>
            </w:r>
            <w:r w:rsidRPr="00732782">
              <w:t xml:space="preserve">urrent </w:t>
            </w:r>
            <w:r w:rsidR="005F491D">
              <w:t>l</w:t>
            </w:r>
            <w:r w:rsidRPr="00732782">
              <w:t>iabilities</w:t>
            </w:r>
          </w:p>
        </w:tc>
        <w:tc>
          <w:tcPr>
            <w:tcW w:w="1322" w:type="dxa"/>
          </w:tcPr>
          <w:p w:rsidR="00036669" w:rsidRPr="00732782" w:rsidRDefault="0089298D" w:rsidP="00982C76">
            <w:pPr>
              <w:pStyle w:val="AGRTableNumbers"/>
            </w:pPr>
            <w:r>
              <w:t>(545)</w:t>
            </w:r>
          </w:p>
        </w:tc>
        <w:tc>
          <w:tcPr>
            <w:tcW w:w="1321" w:type="dxa"/>
          </w:tcPr>
          <w:p w:rsidR="00036669" w:rsidRPr="00732782" w:rsidRDefault="00036669" w:rsidP="00B94157">
            <w:pPr>
              <w:pStyle w:val="AGRTableNumbers"/>
            </w:pPr>
            <w:r>
              <w:t>(414</w:t>
            </w:r>
            <w:r w:rsidRPr="00732782">
              <w:t>)</w:t>
            </w:r>
          </w:p>
        </w:tc>
      </w:tr>
      <w:tr w:rsidR="00036669" w:rsidRPr="00732782" w:rsidTr="00B74230">
        <w:tc>
          <w:tcPr>
            <w:tcW w:w="4728" w:type="dxa"/>
            <w:tcBorders>
              <w:bottom w:val="single" w:sz="4" w:space="0" w:color="auto"/>
            </w:tcBorders>
          </w:tcPr>
          <w:p w:rsidR="00036669" w:rsidRPr="00732782" w:rsidRDefault="005F491D" w:rsidP="00B74230">
            <w:pPr>
              <w:pStyle w:val="AGRTableTextBold"/>
            </w:pPr>
            <w:r>
              <w:t>Net a</w:t>
            </w:r>
            <w:r w:rsidR="00036669" w:rsidRPr="00732782">
              <w:t>ssets</w:t>
            </w:r>
          </w:p>
        </w:tc>
        <w:tc>
          <w:tcPr>
            <w:tcW w:w="1322" w:type="dxa"/>
            <w:tcBorders>
              <w:bottom w:val="single" w:sz="4" w:space="0" w:color="auto"/>
            </w:tcBorders>
          </w:tcPr>
          <w:p w:rsidR="00036669" w:rsidRPr="00732782" w:rsidRDefault="0089298D" w:rsidP="00B74230">
            <w:pPr>
              <w:pStyle w:val="AGRTableNumbersBold"/>
            </w:pPr>
            <w:r>
              <w:t>42,383</w:t>
            </w:r>
          </w:p>
        </w:tc>
        <w:tc>
          <w:tcPr>
            <w:tcW w:w="1321" w:type="dxa"/>
            <w:tcBorders>
              <w:bottom w:val="single" w:sz="4" w:space="0" w:color="auto"/>
            </w:tcBorders>
          </w:tcPr>
          <w:p w:rsidR="00036669" w:rsidRPr="00732782" w:rsidRDefault="00036669" w:rsidP="00B94157">
            <w:pPr>
              <w:pStyle w:val="AGRTableNumbersBold"/>
            </w:pPr>
            <w:r>
              <w:t>42,615</w:t>
            </w:r>
          </w:p>
        </w:tc>
      </w:tr>
      <w:tr w:rsidR="00036669" w:rsidRPr="00732782" w:rsidTr="00B74230">
        <w:tc>
          <w:tcPr>
            <w:tcW w:w="4728" w:type="dxa"/>
            <w:tcBorders>
              <w:top w:val="single" w:sz="4" w:space="0" w:color="auto"/>
            </w:tcBorders>
          </w:tcPr>
          <w:p w:rsidR="00036669" w:rsidRPr="00732782" w:rsidRDefault="00036669" w:rsidP="00B74230">
            <w:pPr>
              <w:pStyle w:val="AGRTableText"/>
            </w:pPr>
            <w:r w:rsidRPr="00732782">
              <w:t>Represented by:</w:t>
            </w:r>
          </w:p>
        </w:tc>
        <w:tc>
          <w:tcPr>
            <w:tcW w:w="1322" w:type="dxa"/>
            <w:tcBorders>
              <w:top w:val="single" w:sz="4" w:space="0" w:color="auto"/>
            </w:tcBorders>
          </w:tcPr>
          <w:p w:rsidR="00036669" w:rsidRPr="00732782" w:rsidRDefault="00036669" w:rsidP="00B74230">
            <w:pPr>
              <w:pStyle w:val="AGRTableNumbers"/>
            </w:pPr>
          </w:p>
        </w:tc>
        <w:tc>
          <w:tcPr>
            <w:tcW w:w="1321" w:type="dxa"/>
            <w:tcBorders>
              <w:top w:val="single" w:sz="4" w:space="0" w:color="auto"/>
            </w:tcBorders>
          </w:tcPr>
          <w:p w:rsidR="00036669" w:rsidRPr="00732782" w:rsidRDefault="00036669" w:rsidP="00B94157">
            <w:pPr>
              <w:pStyle w:val="AGRTableNumbers"/>
            </w:pPr>
          </w:p>
        </w:tc>
      </w:tr>
      <w:tr w:rsidR="0089298D" w:rsidRPr="00732782" w:rsidTr="00857207">
        <w:tc>
          <w:tcPr>
            <w:tcW w:w="4728" w:type="dxa"/>
          </w:tcPr>
          <w:p w:rsidR="0089298D" w:rsidRPr="00732782" w:rsidRDefault="0089298D" w:rsidP="00857207">
            <w:pPr>
              <w:pStyle w:val="AGRTableText"/>
            </w:pPr>
            <w:r w:rsidRPr="00732782">
              <w:t>Reserves</w:t>
            </w:r>
          </w:p>
        </w:tc>
        <w:tc>
          <w:tcPr>
            <w:tcW w:w="1322" w:type="dxa"/>
          </w:tcPr>
          <w:p w:rsidR="0089298D" w:rsidRPr="00732782" w:rsidRDefault="0089298D" w:rsidP="00857207">
            <w:pPr>
              <w:pStyle w:val="AGRTableNumbers"/>
            </w:pPr>
            <w:r>
              <w:t>10,988</w:t>
            </w:r>
          </w:p>
        </w:tc>
        <w:tc>
          <w:tcPr>
            <w:tcW w:w="1321" w:type="dxa"/>
          </w:tcPr>
          <w:p w:rsidR="0089298D" w:rsidRPr="00732782" w:rsidRDefault="0089298D" w:rsidP="00857207">
            <w:pPr>
              <w:pStyle w:val="AGRTableNumbers"/>
            </w:pPr>
            <w:r>
              <w:t>15,319</w:t>
            </w:r>
          </w:p>
        </w:tc>
      </w:tr>
      <w:tr w:rsidR="00036669" w:rsidRPr="00732782" w:rsidTr="00B74230">
        <w:tc>
          <w:tcPr>
            <w:tcW w:w="4728" w:type="dxa"/>
          </w:tcPr>
          <w:p w:rsidR="00036669" w:rsidRPr="00732782" w:rsidRDefault="00036669" w:rsidP="00B74230">
            <w:pPr>
              <w:pStyle w:val="AGRTableText"/>
            </w:pPr>
            <w:r w:rsidRPr="00732782">
              <w:t>Retained earnings</w:t>
            </w:r>
          </w:p>
        </w:tc>
        <w:tc>
          <w:tcPr>
            <w:tcW w:w="1322" w:type="dxa"/>
          </w:tcPr>
          <w:p w:rsidR="00036669" w:rsidRPr="00732782" w:rsidRDefault="0089298D" w:rsidP="00B74230">
            <w:pPr>
              <w:pStyle w:val="AGRTableNumbers"/>
            </w:pPr>
            <w:r>
              <w:t>31,395</w:t>
            </w:r>
          </w:p>
        </w:tc>
        <w:tc>
          <w:tcPr>
            <w:tcW w:w="1321" w:type="dxa"/>
          </w:tcPr>
          <w:p w:rsidR="00036669" w:rsidRPr="00732782" w:rsidRDefault="0089298D" w:rsidP="00B94157">
            <w:pPr>
              <w:pStyle w:val="AGRTableNumbers"/>
            </w:pPr>
            <w:r>
              <w:t>27,296</w:t>
            </w:r>
          </w:p>
        </w:tc>
      </w:tr>
      <w:tr w:rsidR="00036669" w:rsidRPr="00732782" w:rsidTr="00B74230">
        <w:tc>
          <w:tcPr>
            <w:tcW w:w="4728" w:type="dxa"/>
            <w:tcBorders>
              <w:bottom w:val="single" w:sz="4" w:space="0" w:color="auto"/>
            </w:tcBorders>
          </w:tcPr>
          <w:p w:rsidR="00036669" w:rsidRPr="00732782" w:rsidRDefault="00036669" w:rsidP="00B74230">
            <w:pPr>
              <w:pStyle w:val="AGRTableTextBold"/>
            </w:pPr>
            <w:r w:rsidRPr="00732782">
              <w:t>Equity</w:t>
            </w:r>
          </w:p>
        </w:tc>
        <w:tc>
          <w:tcPr>
            <w:tcW w:w="1322" w:type="dxa"/>
            <w:tcBorders>
              <w:bottom w:val="single" w:sz="4" w:space="0" w:color="auto"/>
            </w:tcBorders>
          </w:tcPr>
          <w:p w:rsidR="00036669" w:rsidRPr="00732782" w:rsidRDefault="0089298D" w:rsidP="00B74230">
            <w:pPr>
              <w:pStyle w:val="AGRTableNumbersBold"/>
            </w:pPr>
            <w:r>
              <w:t>42,383</w:t>
            </w:r>
          </w:p>
        </w:tc>
        <w:tc>
          <w:tcPr>
            <w:tcW w:w="1321" w:type="dxa"/>
            <w:tcBorders>
              <w:bottom w:val="single" w:sz="4" w:space="0" w:color="auto"/>
            </w:tcBorders>
          </w:tcPr>
          <w:p w:rsidR="00036669" w:rsidRPr="00732782" w:rsidRDefault="00036669" w:rsidP="00B94157">
            <w:pPr>
              <w:pStyle w:val="AGRTableNumbersBold"/>
            </w:pPr>
            <w:r>
              <w:t>42,615</w:t>
            </w:r>
          </w:p>
        </w:tc>
      </w:tr>
    </w:tbl>
    <w:p w:rsidR="004E1CE4" w:rsidRPr="001708CB" w:rsidRDefault="004E1CE4" w:rsidP="002F4F0B">
      <w:pPr>
        <w:pStyle w:val="AGRBodyText"/>
      </w:pPr>
      <w:r>
        <w:t>The School’s wor</w:t>
      </w:r>
      <w:r w:rsidR="00A26052">
        <w:t>king capital had declined at 31 </w:t>
      </w:r>
      <w:r>
        <w:t xml:space="preserve">December 2012 when compared with the position in 2011 and this was due largely to a decline </w:t>
      </w:r>
      <w:r w:rsidR="00697169">
        <w:t xml:space="preserve">in cash </w:t>
      </w:r>
      <w:r>
        <w:t>balances.  That decline is attributable to payments made during the year in connection with the construction of new buildings referred to above.</w:t>
      </w:r>
    </w:p>
    <w:p w:rsidR="001708CB" w:rsidRPr="00732782" w:rsidRDefault="001708CB" w:rsidP="001708CB">
      <w:pPr>
        <w:pStyle w:val="AGRHeading1"/>
      </w:pPr>
      <w:bookmarkStart w:id="27" w:name="NTME"/>
      <w:r>
        <w:t>Northern Territory Major Events Company Pty Ltd</w:t>
      </w:r>
      <w:bookmarkEnd w:id="27"/>
    </w:p>
    <w:p w:rsidR="00B94157" w:rsidRPr="00732782" w:rsidRDefault="00281CAD" w:rsidP="00B94157">
      <w:pPr>
        <w:pStyle w:val="AGRHeading2"/>
      </w:pPr>
      <w:bookmarkStart w:id="28" w:name="NTME_audit_title"/>
      <w:r>
        <w:t>Audit findings and a</w:t>
      </w:r>
      <w:r w:rsidR="00B94157" w:rsidRPr="00732782">
        <w:t xml:space="preserve">nalysis of the financial statements for the year ended </w:t>
      </w:r>
      <w:r w:rsidR="00D879B1">
        <w:t>30</w:t>
      </w:r>
      <w:r w:rsidR="00B94157">
        <w:t xml:space="preserve"> June 2012</w:t>
      </w:r>
      <w:bookmarkEnd w:id="28"/>
    </w:p>
    <w:p w:rsidR="00B94157" w:rsidRPr="00732782" w:rsidRDefault="00B94157" w:rsidP="00B94157">
      <w:pPr>
        <w:pStyle w:val="AGRHeading3"/>
      </w:pPr>
      <w:r w:rsidRPr="00732782">
        <w:t>Background</w:t>
      </w:r>
    </w:p>
    <w:p w:rsidR="00B94157" w:rsidRPr="00732782" w:rsidRDefault="00B94157" w:rsidP="002F4F0B">
      <w:pPr>
        <w:pStyle w:val="AGRBodyText"/>
      </w:pPr>
      <w:r w:rsidRPr="00B94157">
        <w:t>The Northern Territory Government established the Northern Territory Major Events Company Pty Ltd with the objective of attracting major events to the Northern Territory and promoting and coordinating events suc</w:t>
      </w:r>
      <w:r w:rsidR="00454477">
        <w:t>h as the Darwin round of the V8 </w:t>
      </w:r>
      <w:r w:rsidRPr="00B94157">
        <w:t>Supercar Championship.</w:t>
      </w:r>
    </w:p>
    <w:p w:rsidR="00B94157" w:rsidRPr="00732782" w:rsidRDefault="00B94157" w:rsidP="00B94157">
      <w:pPr>
        <w:pStyle w:val="AGRHeading3"/>
      </w:pPr>
      <w:r w:rsidRPr="00732782">
        <w:t>Audit Opinion</w:t>
      </w:r>
    </w:p>
    <w:p w:rsidR="00B94157" w:rsidRPr="00732782" w:rsidRDefault="00B94157" w:rsidP="002F4F0B">
      <w:pPr>
        <w:pStyle w:val="AGRBodyText"/>
      </w:pPr>
      <w:r w:rsidRPr="00A04C56">
        <w:t>The audit of Northern Territor</w:t>
      </w:r>
      <w:r>
        <w:t xml:space="preserve">y Major Events Company Pty Ltd for the year ended </w:t>
      </w:r>
      <w:r w:rsidRPr="00A90BD9">
        <w:t xml:space="preserve">30 June </w:t>
      </w:r>
      <w:r>
        <w:t>201</w:t>
      </w:r>
      <w:r w:rsidR="00526722">
        <w:t>2</w:t>
      </w:r>
      <w:r w:rsidRPr="00A90BD9">
        <w:t xml:space="preserve"> resulted in a</w:t>
      </w:r>
      <w:r w:rsidR="00526722">
        <w:t xml:space="preserve"> </w:t>
      </w:r>
      <w:r w:rsidRPr="00A90BD9">
        <w:t xml:space="preserve">qualified independent audit opinion, which was issued on </w:t>
      </w:r>
      <w:r w:rsidR="00526722">
        <w:t>26</w:t>
      </w:r>
      <w:r w:rsidR="00F5017F">
        <w:t> </w:t>
      </w:r>
      <w:r w:rsidR="00526722">
        <w:t>March 2013</w:t>
      </w:r>
      <w:r w:rsidRPr="00732782">
        <w:t>.</w:t>
      </w:r>
    </w:p>
    <w:p w:rsidR="00B94157" w:rsidRPr="00732782" w:rsidRDefault="00B94157" w:rsidP="00B94157">
      <w:pPr>
        <w:pStyle w:val="AGRHeading3"/>
      </w:pPr>
      <w:r w:rsidRPr="00732782">
        <w:t xml:space="preserve">Key </w:t>
      </w:r>
      <w:r>
        <w:t>Findings</w:t>
      </w:r>
    </w:p>
    <w:p w:rsidR="00B94157" w:rsidRDefault="00F5017F" w:rsidP="00B94157">
      <w:pPr>
        <w:pStyle w:val="AGRHeading4"/>
      </w:pPr>
      <w:r w:rsidRPr="00F5017F">
        <w:t>Qualification</w:t>
      </w:r>
    </w:p>
    <w:p w:rsidR="00F5017F" w:rsidRDefault="00F5017F" w:rsidP="002F4F0B">
      <w:pPr>
        <w:pStyle w:val="AGRBodyText"/>
      </w:pPr>
      <w:r w:rsidRPr="00F5017F">
        <w:t xml:space="preserve">The audit opinion on the financial statements of Northern Territory Major Events Company Pty Ltd </w:t>
      </w:r>
      <w:r w:rsidR="00A26052">
        <w:t>for the year ended 30 </w:t>
      </w:r>
      <w:r>
        <w:t>June 2012</w:t>
      </w:r>
      <w:r w:rsidRPr="00F5017F">
        <w:t xml:space="preserve"> was qualified as follows:</w:t>
      </w:r>
    </w:p>
    <w:p w:rsidR="00B94157" w:rsidRPr="005E6D80" w:rsidRDefault="00F5017F" w:rsidP="005E6D80">
      <w:pPr>
        <w:pStyle w:val="AGRBodyText"/>
        <w:ind w:left="1276"/>
        <w:rPr>
          <w:i/>
        </w:rPr>
      </w:pPr>
      <w:r w:rsidRPr="00AE3BB9">
        <w:rPr>
          <w:i/>
        </w:rPr>
        <w:t>“Northern Territory Major Events Company Pty Ltd has not valued or recorded in-kind contributions received in the statement of comprehensive income for the year ended 30 June 2012.  I was unable to obtain sufficient appropriate audit evidence to determine the amount of in-kind contributions received by Northern Territory Major Events Company Pty Ltd</w:t>
      </w:r>
      <w:r w:rsidR="00B94157" w:rsidRPr="005E6D80">
        <w:rPr>
          <w:i/>
        </w:rPr>
        <w:t>.</w:t>
      </w:r>
      <w:r w:rsidRPr="005E6D80">
        <w:rPr>
          <w:i/>
        </w:rPr>
        <w:t>”</w:t>
      </w:r>
    </w:p>
    <w:p w:rsidR="00F5017F" w:rsidRPr="00FA59D3" w:rsidRDefault="00BA7EC0" w:rsidP="002F4F0B">
      <w:pPr>
        <w:pStyle w:val="AGRBodyText"/>
      </w:pPr>
      <w:r>
        <w:t>T</w:t>
      </w:r>
      <w:r w:rsidR="00F5017F">
        <w:t>he company received significant non-monetary contributions from suppliers and volunteers during e</w:t>
      </w:r>
      <w:r w:rsidR="00A26052">
        <w:t>vents held in the year ended 30 </w:t>
      </w:r>
      <w:r w:rsidR="00F5017F">
        <w:t xml:space="preserve">June 2012. </w:t>
      </w:r>
      <w:r w:rsidR="00A03DF0">
        <w:t xml:space="preserve"> </w:t>
      </w:r>
      <w:r>
        <w:t>The company was not able to provide</w:t>
      </w:r>
      <w:r w:rsidR="00F5017F">
        <w:t xml:space="preserve"> information </w:t>
      </w:r>
      <w:r>
        <w:t xml:space="preserve">that detailed </w:t>
      </w:r>
      <w:r w:rsidR="00F5017F">
        <w:t xml:space="preserve">the nature </w:t>
      </w:r>
      <w:r>
        <w:t>of the services</w:t>
      </w:r>
      <w:r w:rsidR="005051B2">
        <w:t xml:space="preserve"> received</w:t>
      </w:r>
      <w:r>
        <w:t xml:space="preserve"> which would permit a reliable value to be placed</w:t>
      </w:r>
      <w:r w:rsidR="00CC665A">
        <w:t xml:space="preserve"> upon</w:t>
      </w:r>
      <w:r w:rsidR="00F5017F">
        <w:t xml:space="preserve"> </w:t>
      </w:r>
      <w:r>
        <w:t>time contributed to the company by volunteers.  In my view the company’s inability to quantify the value of volunteer’</w:t>
      </w:r>
      <w:r w:rsidR="005051B2">
        <w:t>s</w:t>
      </w:r>
      <w:r>
        <w:t xml:space="preserve"> contributions represented a</w:t>
      </w:r>
      <w:r w:rsidR="00F5017F">
        <w:t xml:space="preserve"> potentially material </w:t>
      </w:r>
      <w:r>
        <w:t>omission from</w:t>
      </w:r>
      <w:r w:rsidR="00F5017F">
        <w:t xml:space="preserve"> the financial statements.  </w:t>
      </w:r>
    </w:p>
    <w:p w:rsidR="00940DDB" w:rsidRPr="00732782" w:rsidRDefault="00940DDB" w:rsidP="00940DDB">
      <w:pPr>
        <w:pStyle w:val="AGRHeading1"/>
      </w:pPr>
      <w:r>
        <w:t>Northern Territory Major Events Company Pty Ltd</w:t>
      </w:r>
      <w:r w:rsidRPr="00732782">
        <w:t xml:space="preserve"> cont…</w:t>
      </w:r>
    </w:p>
    <w:p w:rsidR="00F5017F" w:rsidRPr="00851C2C" w:rsidRDefault="00F5017F" w:rsidP="00F5017F">
      <w:pPr>
        <w:pStyle w:val="AGRHeading4"/>
      </w:pPr>
      <w:r w:rsidRPr="00851C2C">
        <w:t>Performance Overview</w:t>
      </w:r>
    </w:p>
    <w:p w:rsidR="00940DDB" w:rsidRDefault="00940DDB" w:rsidP="002F4F0B">
      <w:pPr>
        <w:pStyle w:val="AGRBodyText"/>
      </w:pPr>
      <w:r>
        <w:t>The Company reported a significant loss of</w:t>
      </w:r>
      <w:r w:rsidR="00A26052">
        <w:t xml:space="preserve"> $296,374 for the year ended 30 </w:t>
      </w:r>
      <w:r>
        <w:t xml:space="preserve">June 2012 in comparison to relatively minor losses </w:t>
      </w:r>
      <w:r w:rsidR="00BA7EC0">
        <w:t xml:space="preserve">reported </w:t>
      </w:r>
      <w:r>
        <w:t xml:space="preserve">over the </w:t>
      </w:r>
      <w:r w:rsidR="00BA7EC0">
        <w:t xml:space="preserve">previous </w:t>
      </w:r>
      <w:r>
        <w:t>two years.</w:t>
      </w:r>
    </w:p>
    <w:p w:rsidR="00EC6263" w:rsidRDefault="00D3157F" w:rsidP="002F4F0B">
      <w:pPr>
        <w:pStyle w:val="AGRBodyText"/>
      </w:pPr>
      <w:r>
        <w:t xml:space="preserve">As in past years the largest source of revenue for the company </w:t>
      </w:r>
      <w:r w:rsidR="00697169">
        <w:t xml:space="preserve">was </w:t>
      </w:r>
      <w:r>
        <w:t xml:space="preserve">grants </w:t>
      </w:r>
      <w:r w:rsidR="00697169">
        <w:t xml:space="preserve">provided by the Northern Territory Government </w:t>
      </w:r>
      <w:r>
        <w:t xml:space="preserve">which </w:t>
      </w:r>
      <w:r w:rsidR="00697169">
        <w:t>totaled</w:t>
      </w:r>
      <w:r w:rsidR="00A26052">
        <w:t xml:space="preserve"> $5.45 </w:t>
      </w:r>
      <w:r>
        <w:t>millio</w:t>
      </w:r>
      <w:r w:rsidR="00A26052">
        <w:t>n for 2011-12 compared to $5.26 </w:t>
      </w:r>
      <w:r>
        <w:t xml:space="preserve">million for the prior year.  Revenue </w:t>
      </w:r>
      <w:r w:rsidR="00481E1D">
        <w:t>derived</w:t>
      </w:r>
      <w:r>
        <w:t xml:space="preserve"> by the company </w:t>
      </w:r>
      <w:r w:rsidR="00481E1D">
        <w:t xml:space="preserve">through ticket sales and sponsorships </w:t>
      </w:r>
      <w:r>
        <w:t>declined by $</w:t>
      </w:r>
      <w:r w:rsidR="00481E1D">
        <w:t>971,000,</w:t>
      </w:r>
      <w:r>
        <w:t xml:space="preserve"> with cancellation of the Arafura </w:t>
      </w:r>
      <w:r w:rsidR="00481E1D">
        <w:t xml:space="preserve">Games </w:t>
      </w:r>
      <w:r>
        <w:t xml:space="preserve">having a </w:t>
      </w:r>
      <w:r w:rsidR="00697169">
        <w:t xml:space="preserve">material </w:t>
      </w:r>
      <w:r w:rsidR="00481E1D">
        <w:t>effect</w:t>
      </w:r>
      <w:r>
        <w:t>.</w:t>
      </w:r>
    </w:p>
    <w:p w:rsidR="00481E1D" w:rsidRDefault="00EC6263" w:rsidP="002F4F0B">
      <w:pPr>
        <w:pStyle w:val="AGRBodyText"/>
      </w:pPr>
      <w:r>
        <w:t>E</w:t>
      </w:r>
      <w:r w:rsidR="00481E1D">
        <w:t>vents such as</w:t>
      </w:r>
      <w:r w:rsidR="00940DDB">
        <w:t xml:space="preserve"> the Alice Springs Masters Games and the World Solar Challenge</w:t>
      </w:r>
      <w:r w:rsidR="00481E1D">
        <w:t xml:space="preserve"> </w:t>
      </w:r>
      <w:r w:rsidR="00940DDB">
        <w:t xml:space="preserve">are biennial </w:t>
      </w:r>
      <w:r w:rsidR="00481E1D">
        <w:t xml:space="preserve">and were not staged during the year </w:t>
      </w:r>
      <w:r>
        <w:t xml:space="preserve">and this also led to lower </w:t>
      </w:r>
      <w:r w:rsidR="00481E1D">
        <w:t>revenue</w:t>
      </w:r>
      <w:r w:rsidR="00697169">
        <w:t xml:space="preserve"> when compared with the prior year</w:t>
      </w:r>
      <w:r w:rsidR="00481E1D">
        <w:t>.</w:t>
      </w:r>
    </w:p>
    <w:p w:rsidR="00DB4123" w:rsidRDefault="00DB4123" w:rsidP="002F4F0B">
      <w:pPr>
        <w:pStyle w:val="AGRBodyText"/>
      </w:pPr>
      <w:r>
        <w:t>Revenues, expenses and the operating result for the year, together with the company’s bala</w:t>
      </w:r>
      <w:r w:rsidR="00A26052">
        <w:t>nce sheet for the year ended 30 </w:t>
      </w:r>
      <w:r>
        <w:t>June 2012 are shown in the following tables.</w:t>
      </w:r>
    </w:p>
    <w:p w:rsidR="00626B43" w:rsidRPr="00732782" w:rsidRDefault="00626B43" w:rsidP="00626B43">
      <w:pPr>
        <w:pStyle w:val="AGRHeading1"/>
      </w:pPr>
      <w:r>
        <w:t>Northern Territory Major Events Company Pty Ltd</w:t>
      </w:r>
      <w:r w:rsidRPr="00732782">
        <w:t xml:space="preserve"> cont…</w:t>
      </w:r>
    </w:p>
    <w:p w:rsidR="00B94157" w:rsidRPr="00732782" w:rsidRDefault="00B94157" w:rsidP="00B94157">
      <w:pPr>
        <w:pStyle w:val="AGRHeading3"/>
      </w:pPr>
      <w:r>
        <w:t>Financial Performance for the year</w:t>
      </w:r>
    </w:p>
    <w:tbl>
      <w:tblPr>
        <w:tblW w:w="7371" w:type="dxa"/>
        <w:tblInd w:w="851" w:type="dxa"/>
        <w:tblLook w:val="01E0" w:firstRow="1" w:lastRow="1" w:firstColumn="1" w:lastColumn="1" w:noHBand="0" w:noVBand="0"/>
      </w:tblPr>
      <w:tblGrid>
        <w:gridCol w:w="4728"/>
        <w:gridCol w:w="1322"/>
        <w:gridCol w:w="1321"/>
      </w:tblGrid>
      <w:tr w:rsidR="00B94157" w:rsidRPr="00732782" w:rsidTr="00B94157">
        <w:tc>
          <w:tcPr>
            <w:tcW w:w="4728" w:type="dxa"/>
            <w:tcBorders>
              <w:bottom w:val="single" w:sz="4" w:space="0" w:color="auto"/>
            </w:tcBorders>
          </w:tcPr>
          <w:p w:rsidR="00B94157" w:rsidRPr="00732782" w:rsidRDefault="00B94157" w:rsidP="00B94157">
            <w:pPr>
              <w:pStyle w:val="AGRTableText"/>
            </w:pPr>
          </w:p>
        </w:tc>
        <w:tc>
          <w:tcPr>
            <w:tcW w:w="1322" w:type="dxa"/>
            <w:tcBorders>
              <w:bottom w:val="single" w:sz="4" w:space="0" w:color="auto"/>
            </w:tcBorders>
          </w:tcPr>
          <w:p w:rsidR="00B94157" w:rsidRPr="00732782" w:rsidRDefault="00B94157" w:rsidP="00B94157">
            <w:pPr>
              <w:pStyle w:val="AGRTableText"/>
              <w:tabs>
                <w:tab w:val="center" w:pos="570"/>
              </w:tabs>
            </w:pPr>
            <w:r>
              <w:tab/>
              <w:t>2012</w:t>
            </w:r>
          </w:p>
        </w:tc>
        <w:tc>
          <w:tcPr>
            <w:tcW w:w="1321" w:type="dxa"/>
            <w:tcBorders>
              <w:bottom w:val="single" w:sz="4" w:space="0" w:color="auto"/>
            </w:tcBorders>
          </w:tcPr>
          <w:p w:rsidR="00B94157" w:rsidRPr="00732782" w:rsidRDefault="00B94157" w:rsidP="00B94157">
            <w:pPr>
              <w:pStyle w:val="AGRTableText"/>
              <w:tabs>
                <w:tab w:val="center" w:pos="570"/>
              </w:tabs>
            </w:pPr>
            <w:r>
              <w:tab/>
              <w:t>2011</w:t>
            </w:r>
          </w:p>
        </w:tc>
      </w:tr>
      <w:tr w:rsidR="00B94157" w:rsidRPr="00732782" w:rsidTr="00B94157">
        <w:tc>
          <w:tcPr>
            <w:tcW w:w="4728" w:type="dxa"/>
            <w:tcBorders>
              <w:top w:val="single" w:sz="4" w:space="0" w:color="auto"/>
            </w:tcBorders>
          </w:tcPr>
          <w:p w:rsidR="00B94157" w:rsidRPr="00732782" w:rsidRDefault="00B94157" w:rsidP="00B94157">
            <w:pPr>
              <w:pStyle w:val="AGRTableText"/>
            </w:pPr>
          </w:p>
        </w:tc>
        <w:tc>
          <w:tcPr>
            <w:tcW w:w="1322" w:type="dxa"/>
            <w:tcBorders>
              <w:top w:val="single" w:sz="4" w:space="0" w:color="auto"/>
            </w:tcBorders>
          </w:tcPr>
          <w:p w:rsidR="00B94157" w:rsidRPr="00732782" w:rsidRDefault="00B94157" w:rsidP="00B94157">
            <w:pPr>
              <w:pStyle w:val="AGRTableText"/>
              <w:tabs>
                <w:tab w:val="center" w:pos="570"/>
              </w:tabs>
            </w:pPr>
            <w:r w:rsidRPr="00732782">
              <w:tab/>
              <w:t>$’000</w:t>
            </w:r>
          </w:p>
        </w:tc>
        <w:tc>
          <w:tcPr>
            <w:tcW w:w="1321" w:type="dxa"/>
            <w:tcBorders>
              <w:top w:val="single" w:sz="4" w:space="0" w:color="auto"/>
            </w:tcBorders>
          </w:tcPr>
          <w:p w:rsidR="00B94157" w:rsidRPr="00732782" w:rsidRDefault="00B94157" w:rsidP="00B94157">
            <w:pPr>
              <w:pStyle w:val="AGRTableText"/>
              <w:tabs>
                <w:tab w:val="center" w:pos="570"/>
              </w:tabs>
            </w:pPr>
            <w:r w:rsidRPr="00732782">
              <w:tab/>
              <w:t>$’000</w:t>
            </w:r>
          </w:p>
        </w:tc>
      </w:tr>
      <w:tr w:rsidR="00B94157" w:rsidRPr="00732782" w:rsidTr="00B94157">
        <w:tc>
          <w:tcPr>
            <w:tcW w:w="4728" w:type="dxa"/>
          </w:tcPr>
          <w:p w:rsidR="00B94157" w:rsidRPr="00843038" w:rsidRDefault="00B94157" w:rsidP="00B94157">
            <w:pPr>
              <w:pStyle w:val="AGRTableText"/>
              <w:rPr>
                <w:b/>
                <w:bCs/>
              </w:rPr>
            </w:pPr>
            <w:r w:rsidRPr="00843038">
              <w:rPr>
                <w:b/>
                <w:bCs/>
              </w:rPr>
              <w:t>Income</w:t>
            </w:r>
          </w:p>
        </w:tc>
        <w:tc>
          <w:tcPr>
            <w:tcW w:w="1322" w:type="dxa"/>
          </w:tcPr>
          <w:p w:rsidR="00B94157" w:rsidRPr="00732782" w:rsidRDefault="00B94157" w:rsidP="00B94157">
            <w:pPr>
              <w:pStyle w:val="AGRTableNumbersBold"/>
            </w:pPr>
          </w:p>
        </w:tc>
        <w:tc>
          <w:tcPr>
            <w:tcW w:w="1321" w:type="dxa"/>
          </w:tcPr>
          <w:p w:rsidR="00B94157" w:rsidRPr="00732782" w:rsidRDefault="00B94157" w:rsidP="00B94157">
            <w:pPr>
              <w:pStyle w:val="AGRTableNumbersBold"/>
            </w:pPr>
          </w:p>
        </w:tc>
      </w:tr>
      <w:tr w:rsidR="00B94157" w:rsidRPr="00732782" w:rsidTr="00B94157">
        <w:tc>
          <w:tcPr>
            <w:tcW w:w="4728" w:type="dxa"/>
          </w:tcPr>
          <w:p w:rsidR="00B94157" w:rsidRPr="00A04C56" w:rsidRDefault="00B94157" w:rsidP="00B94157">
            <w:pPr>
              <w:pStyle w:val="AGRTableText"/>
              <w:rPr>
                <w:b/>
              </w:rPr>
            </w:pPr>
            <w:r w:rsidRPr="00A04C56">
              <w:t>Government grants</w:t>
            </w:r>
          </w:p>
        </w:tc>
        <w:tc>
          <w:tcPr>
            <w:tcW w:w="1322" w:type="dxa"/>
          </w:tcPr>
          <w:p w:rsidR="00B94157" w:rsidRPr="00732782" w:rsidRDefault="00B62B3E" w:rsidP="00B94157">
            <w:pPr>
              <w:pStyle w:val="AGRTableText"/>
              <w:tabs>
                <w:tab w:val="decimal" w:pos="811"/>
              </w:tabs>
            </w:pPr>
            <w:r>
              <w:t>5,449</w:t>
            </w:r>
          </w:p>
        </w:tc>
        <w:tc>
          <w:tcPr>
            <w:tcW w:w="1321" w:type="dxa"/>
          </w:tcPr>
          <w:p w:rsidR="00B94157" w:rsidRPr="00732782" w:rsidRDefault="00B94157" w:rsidP="00B94157">
            <w:pPr>
              <w:pStyle w:val="AGRTableText"/>
              <w:tabs>
                <w:tab w:val="decimal" w:pos="811"/>
              </w:tabs>
            </w:pPr>
            <w:r>
              <w:t>5,262</w:t>
            </w:r>
          </w:p>
        </w:tc>
      </w:tr>
      <w:tr w:rsidR="00B94157" w:rsidRPr="00732782" w:rsidTr="00B94157">
        <w:tc>
          <w:tcPr>
            <w:tcW w:w="4728" w:type="dxa"/>
          </w:tcPr>
          <w:p w:rsidR="00B94157" w:rsidRPr="00A04C56" w:rsidRDefault="00B94157" w:rsidP="00B94157">
            <w:pPr>
              <w:pStyle w:val="AGRTableText"/>
            </w:pPr>
            <w:r>
              <w:t>Other</w:t>
            </w:r>
          </w:p>
        </w:tc>
        <w:tc>
          <w:tcPr>
            <w:tcW w:w="1322" w:type="dxa"/>
          </w:tcPr>
          <w:p w:rsidR="00B94157" w:rsidRPr="00732782" w:rsidRDefault="00B62B3E" w:rsidP="00B94157">
            <w:pPr>
              <w:pStyle w:val="AGRTableText"/>
              <w:tabs>
                <w:tab w:val="decimal" w:pos="811"/>
              </w:tabs>
            </w:pPr>
            <w:r>
              <w:t>3,948</w:t>
            </w:r>
          </w:p>
        </w:tc>
        <w:tc>
          <w:tcPr>
            <w:tcW w:w="1321" w:type="dxa"/>
          </w:tcPr>
          <w:p w:rsidR="00B94157" w:rsidRPr="00732782" w:rsidRDefault="00B94157" w:rsidP="00B62B3E">
            <w:pPr>
              <w:pStyle w:val="AGRTableText"/>
              <w:tabs>
                <w:tab w:val="decimal" w:pos="811"/>
              </w:tabs>
            </w:pPr>
            <w:r>
              <w:t>4,</w:t>
            </w:r>
            <w:r w:rsidR="00B62B3E">
              <w:t>920</w:t>
            </w:r>
          </w:p>
        </w:tc>
      </w:tr>
      <w:tr w:rsidR="00B94157" w:rsidRPr="00732782" w:rsidTr="00B94157">
        <w:tc>
          <w:tcPr>
            <w:tcW w:w="4728" w:type="dxa"/>
            <w:tcBorders>
              <w:bottom w:val="single" w:sz="4" w:space="0" w:color="auto"/>
            </w:tcBorders>
          </w:tcPr>
          <w:p w:rsidR="00B94157" w:rsidRPr="00843038" w:rsidRDefault="00E8426D" w:rsidP="00B94157">
            <w:pPr>
              <w:pStyle w:val="AGRTableText"/>
              <w:rPr>
                <w:b/>
                <w:bCs/>
              </w:rPr>
            </w:pPr>
            <w:r>
              <w:rPr>
                <w:b/>
                <w:bCs/>
              </w:rPr>
              <w:t>Total i</w:t>
            </w:r>
            <w:r w:rsidR="00B94157" w:rsidRPr="00843038">
              <w:rPr>
                <w:b/>
                <w:bCs/>
              </w:rPr>
              <w:t xml:space="preserve">ncome </w:t>
            </w:r>
          </w:p>
        </w:tc>
        <w:tc>
          <w:tcPr>
            <w:tcW w:w="1322" w:type="dxa"/>
            <w:tcBorders>
              <w:bottom w:val="single" w:sz="4" w:space="0" w:color="auto"/>
            </w:tcBorders>
          </w:tcPr>
          <w:p w:rsidR="00B94157" w:rsidRPr="00732782" w:rsidRDefault="00B62B3E" w:rsidP="00B94157">
            <w:pPr>
              <w:pStyle w:val="AGRTableNumbersBold"/>
            </w:pPr>
            <w:r>
              <w:t>9,397</w:t>
            </w:r>
          </w:p>
        </w:tc>
        <w:tc>
          <w:tcPr>
            <w:tcW w:w="1321" w:type="dxa"/>
            <w:tcBorders>
              <w:bottom w:val="single" w:sz="4" w:space="0" w:color="auto"/>
            </w:tcBorders>
          </w:tcPr>
          <w:p w:rsidR="00B94157" w:rsidRPr="00732782" w:rsidRDefault="00B62B3E" w:rsidP="00B94157">
            <w:pPr>
              <w:pStyle w:val="AGRTableNumbersBold"/>
            </w:pPr>
            <w:r>
              <w:t>10,182</w:t>
            </w:r>
          </w:p>
        </w:tc>
      </w:tr>
      <w:tr w:rsidR="00B94157" w:rsidRPr="00732782" w:rsidTr="00B94157">
        <w:tc>
          <w:tcPr>
            <w:tcW w:w="4728" w:type="dxa"/>
            <w:tcBorders>
              <w:top w:val="single" w:sz="4" w:space="0" w:color="auto"/>
            </w:tcBorders>
          </w:tcPr>
          <w:p w:rsidR="00B94157" w:rsidRPr="00843038" w:rsidRDefault="00B94157" w:rsidP="00B94157">
            <w:pPr>
              <w:pStyle w:val="AGRTableText"/>
              <w:rPr>
                <w:b/>
                <w:bCs/>
              </w:rPr>
            </w:pPr>
            <w:r w:rsidRPr="00843038">
              <w:rPr>
                <w:b/>
                <w:bCs/>
              </w:rPr>
              <w:t xml:space="preserve">Expenditure </w:t>
            </w:r>
          </w:p>
        </w:tc>
        <w:tc>
          <w:tcPr>
            <w:tcW w:w="1322" w:type="dxa"/>
            <w:tcBorders>
              <w:top w:val="single" w:sz="4" w:space="0" w:color="auto"/>
            </w:tcBorders>
          </w:tcPr>
          <w:p w:rsidR="00B94157" w:rsidRPr="00732782" w:rsidRDefault="00B94157" w:rsidP="00B94157">
            <w:pPr>
              <w:pStyle w:val="AGRTableNumbersBold"/>
            </w:pPr>
          </w:p>
        </w:tc>
        <w:tc>
          <w:tcPr>
            <w:tcW w:w="1321" w:type="dxa"/>
            <w:tcBorders>
              <w:top w:val="single" w:sz="4" w:space="0" w:color="auto"/>
            </w:tcBorders>
          </w:tcPr>
          <w:p w:rsidR="00B94157" w:rsidRPr="00732782" w:rsidRDefault="00B94157" w:rsidP="00B94157">
            <w:pPr>
              <w:pStyle w:val="AGRTableNumbersBold"/>
            </w:pPr>
          </w:p>
        </w:tc>
      </w:tr>
      <w:tr w:rsidR="00B94157" w:rsidRPr="00732782" w:rsidTr="00B94157">
        <w:tc>
          <w:tcPr>
            <w:tcW w:w="4728" w:type="dxa"/>
          </w:tcPr>
          <w:p w:rsidR="00B94157" w:rsidRPr="00A04C56" w:rsidRDefault="00B94157" w:rsidP="00E8426D">
            <w:pPr>
              <w:pStyle w:val="AGRTableText"/>
            </w:pPr>
            <w:r w:rsidRPr="00A04C56">
              <w:t xml:space="preserve">Employee </w:t>
            </w:r>
            <w:r w:rsidR="00E8426D">
              <w:t>e</w:t>
            </w:r>
            <w:r w:rsidRPr="00A04C56">
              <w:t>xpenses</w:t>
            </w:r>
          </w:p>
        </w:tc>
        <w:tc>
          <w:tcPr>
            <w:tcW w:w="1322" w:type="dxa"/>
          </w:tcPr>
          <w:p w:rsidR="00B94157" w:rsidRDefault="00B62B3E" w:rsidP="00B94157">
            <w:pPr>
              <w:pStyle w:val="AGRTableText"/>
              <w:tabs>
                <w:tab w:val="decimal" w:pos="811"/>
              </w:tabs>
            </w:pPr>
            <w:r>
              <w:t>(1,553)</w:t>
            </w:r>
          </w:p>
        </w:tc>
        <w:tc>
          <w:tcPr>
            <w:tcW w:w="1321" w:type="dxa"/>
          </w:tcPr>
          <w:p w:rsidR="00B94157" w:rsidRDefault="00B62B3E" w:rsidP="00B94157">
            <w:pPr>
              <w:pStyle w:val="AGRTableText"/>
              <w:tabs>
                <w:tab w:val="decimal" w:pos="811"/>
              </w:tabs>
            </w:pPr>
            <w:r>
              <w:t>(1,425)</w:t>
            </w:r>
          </w:p>
        </w:tc>
      </w:tr>
      <w:tr w:rsidR="00B94157" w:rsidRPr="00732782" w:rsidTr="00B94157">
        <w:tc>
          <w:tcPr>
            <w:tcW w:w="4728" w:type="dxa"/>
          </w:tcPr>
          <w:p w:rsidR="00B94157" w:rsidRPr="00A04C56" w:rsidRDefault="00B94157" w:rsidP="00B94157">
            <w:pPr>
              <w:pStyle w:val="AGRTableText"/>
            </w:pPr>
            <w:r w:rsidRPr="00A04C56">
              <w:t xml:space="preserve">Depreciation </w:t>
            </w:r>
          </w:p>
        </w:tc>
        <w:tc>
          <w:tcPr>
            <w:tcW w:w="1322" w:type="dxa"/>
          </w:tcPr>
          <w:p w:rsidR="00B94157" w:rsidRDefault="00B62B3E" w:rsidP="00B94157">
            <w:pPr>
              <w:pStyle w:val="AGRTableText"/>
              <w:tabs>
                <w:tab w:val="decimal" w:pos="811"/>
              </w:tabs>
            </w:pPr>
            <w:r>
              <w:t>(53)</w:t>
            </w:r>
          </w:p>
        </w:tc>
        <w:tc>
          <w:tcPr>
            <w:tcW w:w="1321" w:type="dxa"/>
          </w:tcPr>
          <w:p w:rsidR="00B94157" w:rsidRDefault="00B62B3E" w:rsidP="00B94157">
            <w:pPr>
              <w:pStyle w:val="AGRTableText"/>
              <w:tabs>
                <w:tab w:val="decimal" w:pos="811"/>
              </w:tabs>
            </w:pPr>
            <w:r>
              <w:t>(12)</w:t>
            </w:r>
          </w:p>
        </w:tc>
      </w:tr>
      <w:tr w:rsidR="00B94157" w:rsidRPr="00732782" w:rsidTr="00B94157">
        <w:tc>
          <w:tcPr>
            <w:tcW w:w="4728" w:type="dxa"/>
          </w:tcPr>
          <w:p w:rsidR="00B94157" w:rsidRPr="00A04C56" w:rsidRDefault="00B94157" w:rsidP="00B94157">
            <w:pPr>
              <w:pStyle w:val="AGRTableText"/>
            </w:pPr>
            <w:r w:rsidRPr="00A04C56">
              <w:t>Other</w:t>
            </w:r>
          </w:p>
        </w:tc>
        <w:tc>
          <w:tcPr>
            <w:tcW w:w="1322" w:type="dxa"/>
          </w:tcPr>
          <w:p w:rsidR="00B94157" w:rsidRDefault="00B62B3E" w:rsidP="00B94157">
            <w:pPr>
              <w:pStyle w:val="AGRTableText"/>
              <w:tabs>
                <w:tab w:val="decimal" w:pos="811"/>
              </w:tabs>
            </w:pPr>
            <w:r>
              <w:t>(8,087)</w:t>
            </w:r>
          </w:p>
        </w:tc>
        <w:tc>
          <w:tcPr>
            <w:tcW w:w="1321" w:type="dxa"/>
          </w:tcPr>
          <w:p w:rsidR="00B94157" w:rsidRDefault="00B62B3E" w:rsidP="00B94157">
            <w:pPr>
              <w:pStyle w:val="AGRTableText"/>
              <w:tabs>
                <w:tab w:val="decimal" w:pos="811"/>
              </w:tabs>
            </w:pPr>
            <w:r>
              <w:t>(8,769)</w:t>
            </w:r>
          </w:p>
        </w:tc>
      </w:tr>
      <w:tr w:rsidR="00B94157" w:rsidRPr="00732782" w:rsidTr="00B94157">
        <w:tc>
          <w:tcPr>
            <w:tcW w:w="4728" w:type="dxa"/>
            <w:tcBorders>
              <w:bottom w:val="single" w:sz="4" w:space="0" w:color="auto"/>
            </w:tcBorders>
          </w:tcPr>
          <w:p w:rsidR="00B94157" w:rsidRPr="00843038" w:rsidRDefault="00E8426D" w:rsidP="00B94157">
            <w:pPr>
              <w:pStyle w:val="AGRTableText"/>
              <w:rPr>
                <w:b/>
                <w:bCs/>
              </w:rPr>
            </w:pPr>
            <w:r>
              <w:rPr>
                <w:b/>
                <w:bCs/>
              </w:rPr>
              <w:t>Total e</w:t>
            </w:r>
            <w:r w:rsidR="00B94157" w:rsidRPr="00843038">
              <w:rPr>
                <w:b/>
                <w:bCs/>
              </w:rPr>
              <w:t xml:space="preserve">xpenditure </w:t>
            </w:r>
          </w:p>
        </w:tc>
        <w:tc>
          <w:tcPr>
            <w:tcW w:w="1322" w:type="dxa"/>
            <w:tcBorders>
              <w:bottom w:val="single" w:sz="4" w:space="0" w:color="auto"/>
            </w:tcBorders>
          </w:tcPr>
          <w:p w:rsidR="00B94157" w:rsidRDefault="00B62B3E" w:rsidP="00B94157">
            <w:pPr>
              <w:pStyle w:val="AGRTableNumbersBold"/>
            </w:pPr>
            <w:r>
              <w:t>(9,693)</w:t>
            </w:r>
          </w:p>
        </w:tc>
        <w:tc>
          <w:tcPr>
            <w:tcW w:w="1321" w:type="dxa"/>
            <w:tcBorders>
              <w:bottom w:val="single" w:sz="4" w:space="0" w:color="auto"/>
            </w:tcBorders>
          </w:tcPr>
          <w:p w:rsidR="00B94157" w:rsidRDefault="00B62B3E" w:rsidP="00B94157">
            <w:pPr>
              <w:pStyle w:val="AGRTableNumbersBold"/>
            </w:pPr>
            <w:r>
              <w:t>(10,206)</w:t>
            </w:r>
          </w:p>
        </w:tc>
      </w:tr>
      <w:tr w:rsidR="00B94157" w:rsidRPr="00732782" w:rsidTr="00B94157">
        <w:tc>
          <w:tcPr>
            <w:tcW w:w="4728" w:type="dxa"/>
            <w:tcBorders>
              <w:top w:val="single" w:sz="4" w:space="0" w:color="auto"/>
            </w:tcBorders>
          </w:tcPr>
          <w:p w:rsidR="00B94157" w:rsidRPr="0052375C" w:rsidRDefault="00E8426D" w:rsidP="00E8426D">
            <w:pPr>
              <w:pStyle w:val="AGRTableText"/>
            </w:pPr>
            <w:r>
              <w:rPr>
                <w:b/>
                <w:bCs/>
              </w:rPr>
              <w:t>Surplus/(d</w:t>
            </w:r>
            <w:r w:rsidR="00B94157" w:rsidRPr="00C57E54">
              <w:rPr>
                <w:b/>
                <w:bCs/>
              </w:rPr>
              <w:t xml:space="preserve">eficit) </w:t>
            </w:r>
            <w:r>
              <w:rPr>
                <w:b/>
                <w:bCs/>
              </w:rPr>
              <w:t>b</w:t>
            </w:r>
            <w:r w:rsidR="00B94157" w:rsidRPr="00C57E54">
              <w:rPr>
                <w:b/>
                <w:bCs/>
              </w:rPr>
              <w:t xml:space="preserve">efore </w:t>
            </w:r>
            <w:r>
              <w:rPr>
                <w:b/>
                <w:bCs/>
              </w:rPr>
              <w:t>i</w:t>
            </w:r>
            <w:r w:rsidR="00B94157" w:rsidRPr="00C57E54">
              <w:rPr>
                <w:b/>
                <w:bCs/>
              </w:rPr>
              <w:t xml:space="preserve">ncome </w:t>
            </w:r>
            <w:r>
              <w:rPr>
                <w:b/>
                <w:bCs/>
              </w:rPr>
              <w:t>t</w:t>
            </w:r>
            <w:r w:rsidR="00B94157" w:rsidRPr="00C57E54">
              <w:rPr>
                <w:b/>
                <w:bCs/>
              </w:rPr>
              <w:t xml:space="preserve">ax </w:t>
            </w:r>
            <w:r>
              <w:rPr>
                <w:b/>
                <w:bCs/>
              </w:rPr>
              <w:t>e</w:t>
            </w:r>
            <w:r w:rsidR="00B94157" w:rsidRPr="00C57E54">
              <w:rPr>
                <w:b/>
                <w:bCs/>
              </w:rPr>
              <w:t>xpense</w:t>
            </w:r>
            <w:r w:rsidR="00B94157" w:rsidRPr="0052375C">
              <w:t xml:space="preserve">   </w:t>
            </w:r>
          </w:p>
        </w:tc>
        <w:tc>
          <w:tcPr>
            <w:tcW w:w="1322" w:type="dxa"/>
            <w:tcBorders>
              <w:top w:val="single" w:sz="4" w:space="0" w:color="auto"/>
            </w:tcBorders>
          </w:tcPr>
          <w:p w:rsidR="00B94157" w:rsidRDefault="00B62B3E" w:rsidP="00B94157">
            <w:pPr>
              <w:pStyle w:val="AGRTableNumbersBold"/>
            </w:pPr>
            <w:r>
              <w:t>(296)</w:t>
            </w:r>
          </w:p>
        </w:tc>
        <w:tc>
          <w:tcPr>
            <w:tcW w:w="1321" w:type="dxa"/>
            <w:tcBorders>
              <w:top w:val="single" w:sz="4" w:space="0" w:color="auto"/>
            </w:tcBorders>
          </w:tcPr>
          <w:p w:rsidR="00B94157" w:rsidRDefault="00B62B3E" w:rsidP="00B94157">
            <w:pPr>
              <w:pStyle w:val="AGRTableNumbersBold"/>
            </w:pPr>
            <w:r>
              <w:t>(24)</w:t>
            </w:r>
          </w:p>
        </w:tc>
      </w:tr>
      <w:tr w:rsidR="00B94157" w:rsidRPr="00732782" w:rsidTr="00B94157">
        <w:tc>
          <w:tcPr>
            <w:tcW w:w="4728" w:type="dxa"/>
          </w:tcPr>
          <w:p w:rsidR="00B94157" w:rsidRPr="00A04C56" w:rsidRDefault="00B94157" w:rsidP="00B94157">
            <w:pPr>
              <w:pStyle w:val="AGRTableText"/>
              <w:rPr>
                <w:b/>
              </w:rPr>
            </w:pPr>
            <w:r>
              <w:t>I</w:t>
            </w:r>
            <w:r w:rsidRPr="00A04C56">
              <w:t xml:space="preserve">ncome tax expense   </w:t>
            </w:r>
          </w:p>
        </w:tc>
        <w:tc>
          <w:tcPr>
            <w:tcW w:w="1322" w:type="dxa"/>
          </w:tcPr>
          <w:p w:rsidR="00B94157" w:rsidRDefault="00B62B3E" w:rsidP="00B94157">
            <w:pPr>
              <w:pStyle w:val="AGRTableText"/>
              <w:tabs>
                <w:tab w:val="decimal" w:pos="811"/>
              </w:tabs>
            </w:pPr>
            <w:r>
              <w:t>-</w:t>
            </w:r>
          </w:p>
        </w:tc>
        <w:tc>
          <w:tcPr>
            <w:tcW w:w="1321" w:type="dxa"/>
          </w:tcPr>
          <w:p w:rsidR="00B94157" w:rsidRDefault="00B62B3E" w:rsidP="00B94157">
            <w:pPr>
              <w:pStyle w:val="AGRTableText"/>
              <w:tabs>
                <w:tab w:val="decimal" w:pos="811"/>
              </w:tabs>
            </w:pPr>
            <w:r>
              <w:t>-</w:t>
            </w:r>
          </w:p>
        </w:tc>
      </w:tr>
      <w:tr w:rsidR="00B94157" w:rsidRPr="00732782" w:rsidTr="00B94157">
        <w:tc>
          <w:tcPr>
            <w:tcW w:w="4728" w:type="dxa"/>
            <w:tcBorders>
              <w:bottom w:val="single" w:sz="4" w:space="0" w:color="auto"/>
            </w:tcBorders>
          </w:tcPr>
          <w:p w:rsidR="00B94157" w:rsidRPr="0052375C" w:rsidRDefault="00E8426D" w:rsidP="00E8426D">
            <w:pPr>
              <w:pStyle w:val="AGRTableText"/>
            </w:pPr>
            <w:r>
              <w:rPr>
                <w:b/>
                <w:bCs/>
              </w:rPr>
              <w:t>Surplus/(d</w:t>
            </w:r>
            <w:r w:rsidR="00B94157" w:rsidRPr="00C57E54">
              <w:rPr>
                <w:b/>
                <w:bCs/>
              </w:rPr>
              <w:t xml:space="preserve">eficit) </w:t>
            </w:r>
            <w:r>
              <w:rPr>
                <w:b/>
                <w:bCs/>
              </w:rPr>
              <w:t>a</w:t>
            </w:r>
            <w:r w:rsidR="00B94157" w:rsidRPr="00C57E54">
              <w:rPr>
                <w:b/>
                <w:bCs/>
              </w:rPr>
              <w:t xml:space="preserve">fter </w:t>
            </w:r>
            <w:r>
              <w:rPr>
                <w:b/>
                <w:bCs/>
              </w:rPr>
              <w:t>i</w:t>
            </w:r>
            <w:r w:rsidR="00B94157" w:rsidRPr="00C57E54">
              <w:rPr>
                <w:b/>
                <w:bCs/>
              </w:rPr>
              <w:t xml:space="preserve">ncome </w:t>
            </w:r>
            <w:r>
              <w:rPr>
                <w:b/>
                <w:bCs/>
              </w:rPr>
              <w:t>t</w:t>
            </w:r>
            <w:r w:rsidR="00B94157" w:rsidRPr="00C57E54">
              <w:rPr>
                <w:b/>
                <w:bCs/>
              </w:rPr>
              <w:t xml:space="preserve">ax </w:t>
            </w:r>
            <w:r>
              <w:rPr>
                <w:b/>
                <w:bCs/>
              </w:rPr>
              <w:t>e</w:t>
            </w:r>
            <w:r w:rsidR="00B94157" w:rsidRPr="00C57E54">
              <w:rPr>
                <w:b/>
                <w:bCs/>
              </w:rPr>
              <w:t>xpense</w:t>
            </w:r>
          </w:p>
        </w:tc>
        <w:tc>
          <w:tcPr>
            <w:tcW w:w="1322" w:type="dxa"/>
            <w:tcBorders>
              <w:bottom w:val="single" w:sz="4" w:space="0" w:color="auto"/>
            </w:tcBorders>
          </w:tcPr>
          <w:p w:rsidR="00B94157" w:rsidRDefault="00B62B3E" w:rsidP="00B94157">
            <w:pPr>
              <w:pStyle w:val="AGRTableNumbersBold"/>
            </w:pPr>
            <w:r>
              <w:t>(296)</w:t>
            </w:r>
          </w:p>
        </w:tc>
        <w:tc>
          <w:tcPr>
            <w:tcW w:w="1321" w:type="dxa"/>
            <w:tcBorders>
              <w:bottom w:val="single" w:sz="4" w:space="0" w:color="auto"/>
            </w:tcBorders>
          </w:tcPr>
          <w:p w:rsidR="00B94157" w:rsidRDefault="00B62B3E" w:rsidP="00B94157">
            <w:pPr>
              <w:pStyle w:val="AGRTableNumbersBold"/>
            </w:pPr>
            <w:r>
              <w:t>(24)</w:t>
            </w:r>
          </w:p>
        </w:tc>
      </w:tr>
      <w:tr w:rsidR="00B94157" w:rsidRPr="00732782" w:rsidTr="00B94157">
        <w:tc>
          <w:tcPr>
            <w:tcW w:w="4728" w:type="dxa"/>
            <w:tcBorders>
              <w:top w:val="single" w:sz="4" w:space="0" w:color="auto"/>
            </w:tcBorders>
          </w:tcPr>
          <w:p w:rsidR="00B94157" w:rsidRPr="00A04C56" w:rsidRDefault="00B94157" w:rsidP="00B94157">
            <w:pPr>
              <w:pStyle w:val="AGRTableText"/>
              <w:rPr>
                <w:b/>
              </w:rPr>
            </w:pPr>
            <w:r>
              <w:t>D</w:t>
            </w:r>
            <w:r w:rsidRPr="00A04C56">
              <w:t xml:space="preserve">ividends   </w:t>
            </w:r>
          </w:p>
        </w:tc>
        <w:tc>
          <w:tcPr>
            <w:tcW w:w="1322" w:type="dxa"/>
            <w:tcBorders>
              <w:top w:val="single" w:sz="4" w:space="0" w:color="auto"/>
            </w:tcBorders>
          </w:tcPr>
          <w:p w:rsidR="00B94157" w:rsidRDefault="00B62B3E" w:rsidP="00B94157">
            <w:pPr>
              <w:pStyle w:val="AGRTableText"/>
              <w:tabs>
                <w:tab w:val="decimal" w:pos="811"/>
              </w:tabs>
            </w:pPr>
            <w:r>
              <w:t>-</w:t>
            </w:r>
          </w:p>
        </w:tc>
        <w:tc>
          <w:tcPr>
            <w:tcW w:w="1321" w:type="dxa"/>
            <w:tcBorders>
              <w:top w:val="single" w:sz="4" w:space="0" w:color="auto"/>
            </w:tcBorders>
          </w:tcPr>
          <w:p w:rsidR="00B94157" w:rsidRDefault="00B62B3E" w:rsidP="00B94157">
            <w:pPr>
              <w:pStyle w:val="AGRTableText"/>
              <w:tabs>
                <w:tab w:val="decimal" w:pos="811"/>
              </w:tabs>
            </w:pPr>
            <w:r>
              <w:t>-</w:t>
            </w:r>
          </w:p>
        </w:tc>
      </w:tr>
      <w:tr w:rsidR="00B94157" w:rsidRPr="00732782" w:rsidTr="00B94157">
        <w:tc>
          <w:tcPr>
            <w:tcW w:w="4728" w:type="dxa"/>
            <w:tcBorders>
              <w:bottom w:val="single" w:sz="4" w:space="0" w:color="auto"/>
            </w:tcBorders>
          </w:tcPr>
          <w:p w:rsidR="00B94157" w:rsidRPr="00843038" w:rsidRDefault="00E8426D" w:rsidP="00E8426D">
            <w:pPr>
              <w:pStyle w:val="AGRTableText"/>
              <w:rPr>
                <w:b/>
                <w:bCs/>
              </w:rPr>
            </w:pPr>
            <w:r>
              <w:rPr>
                <w:b/>
                <w:bCs/>
              </w:rPr>
              <w:t>Net surplus/(d</w:t>
            </w:r>
            <w:r w:rsidR="00B94157" w:rsidRPr="00843038">
              <w:rPr>
                <w:b/>
                <w:bCs/>
              </w:rPr>
              <w:t>eficit)</w:t>
            </w:r>
          </w:p>
        </w:tc>
        <w:tc>
          <w:tcPr>
            <w:tcW w:w="1322" w:type="dxa"/>
            <w:tcBorders>
              <w:bottom w:val="single" w:sz="4" w:space="0" w:color="auto"/>
            </w:tcBorders>
          </w:tcPr>
          <w:p w:rsidR="00B94157" w:rsidRDefault="00B62B3E" w:rsidP="00B94157">
            <w:pPr>
              <w:pStyle w:val="AGRTableNumbersBold"/>
            </w:pPr>
            <w:r>
              <w:t>(296)</w:t>
            </w:r>
          </w:p>
        </w:tc>
        <w:tc>
          <w:tcPr>
            <w:tcW w:w="1321" w:type="dxa"/>
            <w:tcBorders>
              <w:bottom w:val="single" w:sz="4" w:space="0" w:color="auto"/>
            </w:tcBorders>
          </w:tcPr>
          <w:p w:rsidR="00B94157" w:rsidRDefault="00B62B3E" w:rsidP="00B94157">
            <w:pPr>
              <w:pStyle w:val="AGRTableNumbersBold"/>
            </w:pPr>
            <w:r>
              <w:t>(24)</w:t>
            </w:r>
          </w:p>
        </w:tc>
      </w:tr>
    </w:tbl>
    <w:p w:rsidR="00B94157" w:rsidRDefault="00B94157" w:rsidP="002F4F0B">
      <w:pPr>
        <w:pStyle w:val="AGRBodyText"/>
      </w:pPr>
    </w:p>
    <w:p w:rsidR="00B94157" w:rsidRPr="00732782" w:rsidRDefault="00B94157" w:rsidP="00B94157">
      <w:pPr>
        <w:pStyle w:val="AGRHeading1"/>
      </w:pPr>
      <w:r>
        <w:t>Northern Territory Major Events Company Pty Ltd</w:t>
      </w:r>
      <w:r w:rsidRPr="00732782">
        <w:t xml:space="preserve"> cont…</w:t>
      </w:r>
    </w:p>
    <w:p w:rsidR="00B94157" w:rsidRPr="00732782" w:rsidRDefault="00B94157" w:rsidP="00B94157">
      <w:pPr>
        <w:pStyle w:val="AGRHeading3"/>
      </w:pPr>
      <w:r>
        <w:t>Financial Position at year end</w:t>
      </w:r>
    </w:p>
    <w:tbl>
      <w:tblPr>
        <w:tblW w:w="7371" w:type="dxa"/>
        <w:tblInd w:w="851" w:type="dxa"/>
        <w:tblLook w:val="01E0" w:firstRow="1" w:lastRow="1" w:firstColumn="1" w:lastColumn="1" w:noHBand="0" w:noVBand="0"/>
      </w:tblPr>
      <w:tblGrid>
        <w:gridCol w:w="4728"/>
        <w:gridCol w:w="1322"/>
        <w:gridCol w:w="1321"/>
      </w:tblGrid>
      <w:tr w:rsidR="00B94157" w:rsidRPr="00732782" w:rsidTr="00B94157">
        <w:tc>
          <w:tcPr>
            <w:tcW w:w="4728" w:type="dxa"/>
            <w:tcBorders>
              <w:bottom w:val="single" w:sz="4" w:space="0" w:color="auto"/>
            </w:tcBorders>
          </w:tcPr>
          <w:p w:rsidR="00B94157" w:rsidRPr="00732782" w:rsidRDefault="00B94157" w:rsidP="00B94157">
            <w:pPr>
              <w:pStyle w:val="AGRTableText"/>
            </w:pPr>
          </w:p>
        </w:tc>
        <w:tc>
          <w:tcPr>
            <w:tcW w:w="1322" w:type="dxa"/>
            <w:tcBorders>
              <w:bottom w:val="single" w:sz="4" w:space="0" w:color="auto"/>
            </w:tcBorders>
          </w:tcPr>
          <w:p w:rsidR="00B94157" w:rsidRPr="00732782" w:rsidRDefault="00B94157" w:rsidP="00B94157">
            <w:pPr>
              <w:pStyle w:val="AGRTableText"/>
              <w:tabs>
                <w:tab w:val="center" w:pos="570"/>
              </w:tabs>
            </w:pPr>
            <w:r>
              <w:tab/>
              <w:t>2012</w:t>
            </w:r>
          </w:p>
        </w:tc>
        <w:tc>
          <w:tcPr>
            <w:tcW w:w="1321" w:type="dxa"/>
            <w:tcBorders>
              <w:bottom w:val="single" w:sz="4" w:space="0" w:color="auto"/>
            </w:tcBorders>
          </w:tcPr>
          <w:p w:rsidR="00B94157" w:rsidRPr="00732782" w:rsidRDefault="00B94157" w:rsidP="00B94157">
            <w:pPr>
              <w:pStyle w:val="AGRTableText"/>
              <w:tabs>
                <w:tab w:val="center" w:pos="570"/>
              </w:tabs>
            </w:pPr>
            <w:r w:rsidRPr="00732782">
              <w:tab/>
            </w:r>
            <w:r>
              <w:t>2011</w:t>
            </w:r>
          </w:p>
        </w:tc>
      </w:tr>
      <w:tr w:rsidR="00B94157" w:rsidRPr="00732782" w:rsidTr="00B94157">
        <w:tc>
          <w:tcPr>
            <w:tcW w:w="4728" w:type="dxa"/>
            <w:tcBorders>
              <w:top w:val="single" w:sz="4" w:space="0" w:color="auto"/>
            </w:tcBorders>
          </w:tcPr>
          <w:p w:rsidR="00B94157" w:rsidRPr="00732782" w:rsidRDefault="00B94157" w:rsidP="00B94157">
            <w:pPr>
              <w:pStyle w:val="AGRTableText"/>
            </w:pPr>
          </w:p>
        </w:tc>
        <w:tc>
          <w:tcPr>
            <w:tcW w:w="1322" w:type="dxa"/>
            <w:tcBorders>
              <w:top w:val="single" w:sz="4" w:space="0" w:color="auto"/>
            </w:tcBorders>
          </w:tcPr>
          <w:p w:rsidR="00B94157" w:rsidRPr="00732782" w:rsidRDefault="00B94157" w:rsidP="00B94157">
            <w:pPr>
              <w:pStyle w:val="AGRTableText"/>
              <w:tabs>
                <w:tab w:val="center" w:pos="570"/>
              </w:tabs>
            </w:pPr>
            <w:r w:rsidRPr="00732782">
              <w:tab/>
              <w:t>$’000</w:t>
            </w:r>
          </w:p>
        </w:tc>
        <w:tc>
          <w:tcPr>
            <w:tcW w:w="1321" w:type="dxa"/>
            <w:tcBorders>
              <w:top w:val="single" w:sz="4" w:space="0" w:color="auto"/>
            </w:tcBorders>
          </w:tcPr>
          <w:p w:rsidR="00B94157" w:rsidRPr="00732782" w:rsidRDefault="00B94157" w:rsidP="00B94157">
            <w:pPr>
              <w:pStyle w:val="AGRTableText"/>
              <w:tabs>
                <w:tab w:val="center" w:pos="570"/>
              </w:tabs>
            </w:pPr>
            <w:r w:rsidRPr="00732782">
              <w:tab/>
              <w:t>$’000</w:t>
            </w:r>
          </w:p>
        </w:tc>
      </w:tr>
      <w:tr w:rsidR="00B94157" w:rsidRPr="00732782" w:rsidTr="00B94157">
        <w:tc>
          <w:tcPr>
            <w:tcW w:w="4728" w:type="dxa"/>
          </w:tcPr>
          <w:p w:rsidR="00B94157" w:rsidRPr="00A04C56" w:rsidRDefault="00B94157" w:rsidP="00B94157">
            <w:pPr>
              <w:pStyle w:val="AGRTableText"/>
              <w:keepNext/>
            </w:pPr>
            <w:r w:rsidRPr="00A04C56">
              <w:t>Cash and cash equivalents</w:t>
            </w:r>
          </w:p>
        </w:tc>
        <w:tc>
          <w:tcPr>
            <w:tcW w:w="1322" w:type="dxa"/>
          </w:tcPr>
          <w:p w:rsidR="00B94157" w:rsidRPr="00732782" w:rsidRDefault="00823573" w:rsidP="00B94157">
            <w:pPr>
              <w:pStyle w:val="AGRTableNumbers"/>
            </w:pPr>
            <w:r>
              <w:t>1,851</w:t>
            </w:r>
          </w:p>
        </w:tc>
        <w:tc>
          <w:tcPr>
            <w:tcW w:w="1321" w:type="dxa"/>
          </w:tcPr>
          <w:p w:rsidR="00B94157" w:rsidRPr="00732782" w:rsidRDefault="00B94157" w:rsidP="00B94157">
            <w:pPr>
              <w:pStyle w:val="AGRTableNumbers"/>
            </w:pPr>
            <w:r>
              <w:t>1,421</w:t>
            </w:r>
          </w:p>
        </w:tc>
      </w:tr>
      <w:tr w:rsidR="00B94157" w:rsidRPr="00732782" w:rsidTr="00B94157">
        <w:tc>
          <w:tcPr>
            <w:tcW w:w="4728" w:type="dxa"/>
          </w:tcPr>
          <w:p w:rsidR="00B94157" w:rsidRPr="00A04C56" w:rsidRDefault="00B94157" w:rsidP="00B94157">
            <w:pPr>
              <w:pStyle w:val="AGRTableText"/>
              <w:keepNext/>
            </w:pPr>
            <w:r w:rsidRPr="00A04C56">
              <w:t>Receivables and other current assets</w:t>
            </w:r>
          </w:p>
        </w:tc>
        <w:tc>
          <w:tcPr>
            <w:tcW w:w="1322" w:type="dxa"/>
          </w:tcPr>
          <w:p w:rsidR="00B94157" w:rsidRPr="00732782" w:rsidRDefault="00823573" w:rsidP="00B94157">
            <w:pPr>
              <w:pStyle w:val="AGRTableText"/>
              <w:tabs>
                <w:tab w:val="decimal" w:pos="811"/>
              </w:tabs>
            </w:pPr>
            <w:r>
              <w:t>1,105</w:t>
            </w:r>
          </w:p>
        </w:tc>
        <w:tc>
          <w:tcPr>
            <w:tcW w:w="1321" w:type="dxa"/>
          </w:tcPr>
          <w:p w:rsidR="00B94157" w:rsidRPr="00732782" w:rsidRDefault="00B94157" w:rsidP="00B94157">
            <w:pPr>
              <w:pStyle w:val="AGRTableText"/>
              <w:tabs>
                <w:tab w:val="decimal" w:pos="811"/>
              </w:tabs>
            </w:pPr>
            <w:r>
              <w:t>906</w:t>
            </w:r>
          </w:p>
        </w:tc>
      </w:tr>
      <w:tr w:rsidR="00B94157" w:rsidRPr="00732782" w:rsidTr="00B94157">
        <w:tc>
          <w:tcPr>
            <w:tcW w:w="4728" w:type="dxa"/>
          </w:tcPr>
          <w:p w:rsidR="00B94157" w:rsidRPr="00A04C56" w:rsidRDefault="00E8426D" w:rsidP="00B94157">
            <w:pPr>
              <w:pStyle w:val="AGRTableText"/>
              <w:keepNext/>
            </w:pPr>
            <w:r>
              <w:t>Less current l</w:t>
            </w:r>
            <w:r w:rsidR="00B94157" w:rsidRPr="00A04C56">
              <w:t>iabilities</w:t>
            </w:r>
          </w:p>
        </w:tc>
        <w:tc>
          <w:tcPr>
            <w:tcW w:w="1322" w:type="dxa"/>
          </w:tcPr>
          <w:p w:rsidR="00B94157" w:rsidRPr="00732782" w:rsidRDefault="00823573" w:rsidP="00B94157">
            <w:pPr>
              <w:pStyle w:val="AGRTableText"/>
              <w:tabs>
                <w:tab w:val="decimal" w:pos="811"/>
              </w:tabs>
            </w:pPr>
            <w:r>
              <w:t>(2,706)</w:t>
            </w:r>
          </w:p>
        </w:tc>
        <w:tc>
          <w:tcPr>
            <w:tcW w:w="1321" w:type="dxa"/>
          </w:tcPr>
          <w:p w:rsidR="00B94157" w:rsidRPr="00732782" w:rsidRDefault="00823573" w:rsidP="00B62B3E">
            <w:pPr>
              <w:pStyle w:val="AGRTableText"/>
              <w:tabs>
                <w:tab w:val="decimal" w:pos="811"/>
              </w:tabs>
            </w:pPr>
            <w:r>
              <w:t>(</w:t>
            </w:r>
            <w:r w:rsidR="00B94157">
              <w:t>1,8</w:t>
            </w:r>
            <w:r w:rsidR="00B62B3E">
              <w:t>17</w:t>
            </w:r>
            <w:r>
              <w:t>)</w:t>
            </w:r>
          </w:p>
        </w:tc>
      </w:tr>
      <w:tr w:rsidR="00B94157" w:rsidRPr="00732782" w:rsidTr="00823573">
        <w:tc>
          <w:tcPr>
            <w:tcW w:w="4728" w:type="dxa"/>
            <w:tcBorders>
              <w:bottom w:val="single" w:sz="4" w:space="0" w:color="auto"/>
            </w:tcBorders>
          </w:tcPr>
          <w:p w:rsidR="00B94157" w:rsidRPr="00A04C56" w:rsidRDefault="00B94157" w:rsidP="00B94157">
            <w:pPr>
              <w:pStyle w:val="AGRTableText"/>
            </w:pPr>
            <w:r w:rsidRPr="00A04C56">
              <w:rPr>
                <w:b/>
              </w:rPr>
              <w:t>Net current assets</w:t>
            </w:r>
          </w:p>
        </w:tc>
        <w:tc>
          <w:tcPr>
            <w:tcW w:w="1322" w:type="dxa"/>
            <w:tcBorders>
              <w:bottom w:val="single" w:sz="4" w:space="0" w:color="auto"/>
            </w:tcBorders>
          </w:tcPr>
          <w:p w:rsidR="00B94157" w:rsidRPr="00732782" w:rsidRDefault="00823573" w:rsidP="00B94157">
            <w:pPr>
              <w:pStyle w:val="AGRTableNumbersBold"/>
            </w:pPr>
            <w:r>
              <w:t>250</w:t>
            </w:r>
          </w:p>
        </w:tc>
        <w:tc>
          <w:tcPr>
            <w:tcW w:w="1321" w:type="dxa"/>
            <w:tcBorders>
              <w:bottom w:val="single" w:sz="4" w:space="0" w:color="auto"/>
            </w:tcBorders>
          </w:tcPr>
          <w:p w:rsidR="00B94157" w:rsidRPr="00732782" w:rsidRDefault="00823573" w:rsidP="00B94157">
            <w:pPr>
              <w:pStyle w:val="AGRTableNumbersBold"/>
            </w:pPr>
            <w:r>
              <w:t>510</w:t>
            </w:r>
          </w:p>
        </w:tc>
      </w:tr>
      <w:tr w:rsidR="00B94157" w:rsidRPr="00732782" w:rsidTr="00B94157">
        <w:tc>
          <w:tcPr>
            <w:tcW w:w="4728" w:type="dxa"/>
            <w:tcBorders>
              <w:top w:val="single" w:sz="4" w:space="0" w:color="auto"/>
            </w:tcBorders>
          </w:tcPr>
          <w:p w:rsidR="00B94157" w:rsidRPr="00A04C56" w:rsidRDefault="00B94157" w:rsidP="00E8426D">
            <w:pPr>
              <w:pStyle w:val="AGRTableText"/>
            </w:pPr>
            <w:r w:rsidRPr="00A04C56">
              <w:t xml:space="preserve">Add </w:t>
            </w:r>
            <w:r w:rsidR="00E8426D">
              <w:t>n</w:t>
            </w:r>
            <w:r w:rsidRPr="00A04C56">
              <w:t xml:space="preserve">on </w:t>
            </w:r>
            <w:r w:rsidR="00E8426D">
              <w:t>c</w:t>
            </w:r>
            <w:r w:rsidRPr="00A04C56">
              <w:t xml:space="preserve">urrent </w:t>
            </w:r>
            <w:r w:rsidR="00E8426D">
              <w:t>a</w:t>
            </w:r>
            <w:r w:rsidRPr="00A04C56">
              <w:t>ssets</w:t>
            </w:r>
          </w:p>
        </w:tc>
        <w:tc>
          <w:tcPr>
            <w:tcW w:w="1322" w:type="dxa"/>
            <w:tcBorders>
              <w:top w:val="single" w:sz="4" w:space="0" w:color="auto"/>
            </w:tcBorders>
          </w:tcPr>
          <w:p w:rsidR="00B94157" w:rsidRPr="00732782" w:rsidRDefault="00823573" w:rsidP="00B94157">
            <w:pPr>
              <w:pStyle w:val="AGRTableNumbers"/>
            </w:pPr>
            <w:r>
              <w:t>50</w:t>
            </w:r>
          </w:p>
        </w:tc>
        <w:tc>
          <w:tcPr>
            <w:tcW w:w="1321" w:type="dxa"/>
            <w:tcBorders>
              <w:top w:val="single" w:sz="4" w:space="0" w:color="auto"/>
            </w:tcBorders>
          </w:tcPr>
          <w:p w:rsidR="00B94157" w:rsidRPr="00732782" w:rsidRDefault="00823573" w:rsidP="00B94157">
            <w:pPr>
              <w:pStyle w:val="AGRTableNumbers"/>
            </w:pPr>
            <w:r>
              <w:t>103</w:t>
            </w:r>
          </w:p>
        </w:tc>
      </w:tr>
      <w:tr w:rsidR="00823573" w:rsidRPr="00732782" w:rsidTr="00823573">
        <w:tc>
          <w:tcPr>
            <w:tcW w:w="4728" w:type="dxa"/>
          </w:tcPr>
          <w:p w:rsidR="00823573" w:rsidRPr="00A04C56" w:rsidRDefault="00823573" w:rsidP="00E8426D">
            <w:pPr>
              <w:pStyle w:val="AGRTableText"/>
            </w:pPr>
            <w:r>
              <w:t>Less</w:t>
            </w:r>
            <w:r w:rsidRPr="00A04C56">
              <w:t xml:space="preserve"> </w:t>
            </w:r>
            <w:r w:rsidR="00E8426D">
              <w:t>non c</w:t>
            </w:r>
            <w:r w:rsidRPr="00A04C56">
              <w:t xml:space="preserve">urrent </w:t>
            </w:r>
            <w:r w:rsidR="00E8426D">
              <w:t>l</w:t>
            </w:r>
            <w:r>
              <w:t>iabilities</w:t>
            </w:r>
          </w:p>
        </w:tc>
        <w:tc>
          <w:tcPr>
            <w:tcW w:w="1322" w:type="dxa"/>
          </w:tcPr>
          <w:p w:rsidR="00823573" w:rsidRPr="00732782" w:rsidRDefault="00823573" w:rsidP="00190059">
            <w:pPr>
              <w:pStyle w:val="AGRTableNumbers"/>
            </w:pPr>
            <w:r>
              <w:t>(43)</w:t>
            </w:r>
          </w:p>
        </w:tc>
        <w:tc>
          <w:tcPr>
            <w:tcW w:w="1321" w:type="dxa"/>
          </w:tcPr>
          <w:p w:rsidR="00823573" w:rsidRPr="00732782" w:rsidRDefault="00823573" w:rsidP="00190059">
            <w:pPr>
              <w:pStyle w:val="AGRTableNumbers"/>
            </w:pPr>
            <w:r>
              <w:t>(59)</w:t>
            </w:r>
          </w:p>
        </w:tc>
      </w:tr>
      <w:tr w:rsidR="00B94157" w:rsidRPr="00732782" w:rsidTr="00B94157">
        <w:tc>
          <w:tcPr>
            <w:tcW w:w="4728" w:type="dxa"/>
            <w:tcBorders>
              <w:bottom w:val="single" w:sz="4" w:space="0" w:color="auto"/>
            </w:tcBorders>
          </w:tcPr>
          <w:p w:rsidR="00B94157" w:rsidRPr="00B94157" w:rsidRDefault="00E8426D" w:rsidP="00B94157">
            <w:pPr>
              <w:pStyle w:val="AGRTableTextBold"/>
            </w:pPr>
            <w:r>
              <w:t>Net a</w:t>
            </w:r>
            <w:r w:rsidR="00B94157">
              <w:t>ssets</w:t>
            </w:r>
          </w:p>
        </w:tc>
        <w:tc>
          <w:tcPr>
            <w:tcW w:w="1322" w:type="dxa"/>
            <w:tcBorders>
              <w:bottom w:val="single" w:sz="4" w:space="0" w:color="auto"/>
            </w:tcBorders>
          </w:tcPr>
          <w:p w:rsidR="00B94157" w:rsidRPr="00732782" w:rsidRDefault="00823573" w:rsidP="00B94157">
            <w:pPr>
              <w:pStyle w:val="AGRTableNumbersBold"/>
            </w:pPr>
            <w:r>
              <w:t>257</w:t>
            </w:r>
          </w:p>
        </w:tc>
        <w:tc>
          <w:tcPr>
            <w:tcW w:w="1321" w:type="dxa"/>
            <w:tcBorders>
              <w:bottom w:val="single" w:sz="4" w:space="0" w:color="auto"/>
            </w:tcBorders>
          </w:tcPr>
          <w:p w:rsidR="00B94157" w:rsidRPr="00732782" w:rsidRDefault="00823573" w:rsidP="00B94157">
            <w:pPr>
              <w:pStyle w:val="AGRTableNumbersBold"/>
            </w:pPr>
            <w:r>
              <w:t>554</w:t>
            </w:r>
          </w:p>
        </w:tc>
      </w:tr>
      <w:tr w:rsidR="00B94157" w:rsidRPr="00732782" w:rsidTr="00B94157">
        <w:tc>
          <w:tcPr>
            <w:tcW w:w="4728" w:type="dxa"/>
            <w:tcBorders>
              <w:top w:val="single" w:sz="4" w:space="0" w:color="auto"/>
            </w:tcBorders>
          </w:tcPr>
          <w:p w:rsidR="00B94157" w:rsidRPr="00A04C56" w:rsidRDefault="00B94157" w:rsidP="00B94157">
            <w:pPr>
              <w:pStyle w:val="AGRTableText"/>
            </w:pPr>
            <w:r w:rsidRPr="00A04C56">
              <w:t xml:space="preserve">Represented by: </w:t>
            </w:r>
          </w:p>
        </w:tc>
        <w:tc>
          <w:tcPr>
            <w:tcW w:w="1322" w:type="dxa"/>
            <w:tcBorders>
              <w:top w:val="single" w:sz="4" w:space="0" w:color="auto"/>
            </w:tcBorders>
          </w:tcPr>
          <w:p w:rsidR="00B94157" w:rsidRPr="00732782" w:rsidRDefault="00B94157" w:rsidP="00B94157">
            <w:pPr>
              <w:pStyle w:val="AGRTableNumbersBold"/>
            </w:pPr>
          </w:p>
        </w:tc>
        <w:tc>
          <w:tcPr>
            <w:tcW w:w="1321" w:type="dxa"/>
            <w:tcBorders>
              <w:top w:val="single" w:sz="4" w:space="0" w:color="auto"/>
            </w:tcBorders>
          </w:tcPr>
          <w:p w:rsidR="00B94157" w:rsidRPr="00732782" w:rsidRDefault="00B94157" w:rsidP="00B94157">
            <w:pPr>
              <w:pStyle w:val="AGRTableNumbersBold"/>
            </w:pPr>
          </w:p>
        </w:tc>
      </w:tr>
      <w:tr w:rsidR="00B94157" w:rsidRPr="00732782" w:rsidTr="00B94157">
        <w:tc>
          <w:tcPr>
            <w:tcW w:w="4728" w:type="dxa"/>
          </w:tcPr>
          <w:p w:rsidR="00B94157" w:rsidRPr="00A04C56" w:rsidRDefault="00B94157" w:rsidP="00B94157">
            <w:pPr>
              <w:pStyle w:val="AGRTableText"/>
            </w:pPr>
            <w:r w:rsidRPr="00A04C56">
              <w:t>Retained profits</w:t>
            </w:r>
          </w:p>
        </w:tc>
        <w:tc>
          <w:tcPr>
            <w:tcW w:w="1322" w:type="dxa"/>
          </w:tcPr>
          <w:p w:rsidR="00B94157" w:rsidRPr="00732782" w:rsidRDefault="00823573" w:rsidP="00B94157">
            <w:pPr>
              <w:pStyle w:val="AGRTableNumbers"/>
            </w:pPr>
            <w:r>
              <w:t>257</w:t>
            </w:r>
          </w:p>
        </w:tc>
        <w:tc>
          <w:tcPr>
            <w:tcW w:w="1321" w:type="dxa"/>
          </w:tcPr>
          <w:p w:rsidR="00B94157" w:rsidRPr="00732782" w:rsidRDefault="00823573" w:rsidP="00B94157">
            <w:pPr>
              <w:pStyle w:val="AGRTableNumbers"/>
            </w:pPr>
            <w:r>
              <w:t>554</w:t>
            </w:r>
          </w:p>
        </w:tc>
      </w:tr>
      <w:tr w:rsidR="00B94157" w:rsidRPr="00732782" w:rsidTr="00B94157">
        <w:tc>
          <w:tcPr>
            <w:tcW w:w="4728" w:type="dxa"/>
          </w:tcPr>
          <w:p w:rsidR="00B94157" w:rsidRPr="00A04C56" w:rsidRDefault="00B94157" w:rsidP="00B94157">
            <w:pPr>
              <w:pStyle w:val="AGRTableText"/>
            </w:pPr>
            <w:r w:rsidRPr="00A04C56">
              <w:t>Contributed equity ($2)</w:t>
            </w:r>
          </w:p>
        </w:tc>
        <w:tc>
          <w:tcPr>
            <w:tcW w:w="1322" w:type="dxa"/>
          </w:tcPr>
          <w:p w:rsidR="00B94157" w:rsidRPr="00732782" w:rsidRDefault="00823573" w:rsidP="00B94157">
            <w:pPr>
              <w:pStyle w:val="AGRTableNumbers"/>
            </w:pPr>
            <w:r>
              <w:t>-</w:t>
            </w:r>
          </w:p>
        </w:tc>
        <w:tc>
          <w:tcPr>
            <w:tcW w:w="1321" w:type="dxa"/>
          </w:tcPr>
          <w:p w:rsidR="00B94157" w:rsidRPr="00732782" w:rsidRDefault="00823573" w:rsidP="00B94157">
            <w:pPr>
              <w:pStyle w:val="AGRTableNumbers"/>
            </w:pPr>
            <w:r>
              <w:t>-</w:t>
            </w:r>
          </w:p>
        </w:tc>
      </w:tr>
      <w:tr w:rsidR="00B94157" w:rsidRPr="00732782" w:rsidTr="00B94157">
        <w:tc>
          <w:tcPr>
            <w:tcW w:w="4728" w:type="dxa"/>
            <w:tcBorders>
              <w:bottom w:val="single" w:sz="4" w:space="0" w:color="auto"/>
            </w:tcBorders>
          </w:tcPr>
          <w:p w:rsidR="00B94157" w:rsidRPr="00732782" w:rsidRDefault="00B94157" w:rsidP="00B94157">
            <w:pPr>
              <w:pStyle w:val="AGRTableTextBold"/>
            </w:pPr>
            <w:r w:rsidRPr="00732782">
              <w:t>Equity</w:t>
            </w:r>
          </w:p>
        </w:tc>
        <w:tc>
          <w:tcPr>
            <w:tcW w:w="1322" w:type="dxa"/>
            <w:tcBorders>
              <w:bottom w:val="single" w:sz="4" w:space="0" w:color="auto"/>
            </w:tcBorders>
          </w:tcPr>
          <w:p w:rsidR="00B94157" w:rsidRPr="00732782" w:rsidRDefault="00823573" w:rsidP="00B94157">
            <w:pPr>
              <w:pStyle w:val="AGRTableNumbersBold"/>
            </w:pPr>
            <w:r>
              <w:t>257</w:t>
            </w:r>
          </w:p>
        </w:tc>
        <w:tc>
          <w:tcPr>
            <w:tcW w:w="1321" w:type="dxa"/>
            <w:tcBorders>
              <w:bottom w:val="single" w:sz="4" w:space="0" w:color="auto"/>
            </w:tcBorders>
          </w:tcPr>
          <w:p w:rsidR="00B94157" w:rsidRPr="00732782" w:rsidRDefault="00823573" w:rsidP="00B94157">
            <w:pPr>
              <w:pStyle w:val="AGRTableNumbersBold"/>
            </w:pPr>
            <w:r>
              <w:t>554</w:t>
            </w:r>
          </w:p>
        </w:tc>
      </w:tr>
    </w:tbl>
    <w:p w:rsidR="00B94157" w:rsidRPr="00732782" w:rsidRDefault="00B94157" w:rsidP="00641FA9"/>
    <w:p w:rsidR="00641FA9" w:rsidRPr="00732782" w:rsidRDefault="00641FA9" w:rsidP="00641FA9">
      <w:pPr>
        <w:pStyle w:val="AGRHeading1"/>
      </w:pPr>
      <w:bookmarkStart w:id="29" w:name="PWC"/>
      <w:r w:rsidRPr="00134C8F">
        <w:t>Power and Water Corporation</w:t>
      </w:r>
      <w:bookmarkEnd w:id="29"/>
    </w:p>
    <w:p w:rsidR="00641FA9" w:rsidRDefault="00641FA9" w:rsidP="00641FA9">
      <w:pPr>
        <w:pStyle w:val="AGRHeading2"/>
      </w:pPr>
      <w:bookmarkStart w:id="30" w:name="PWC_asset_management_system"/>
      <w:bookmarkStart w:id="31" w:name="PWC_asset_mgmt_audit_title"/>
      <w:r w:rsidRPr="00134C8F">
        <w:t>Asset Management System</w:t>
      </w:r>
      <w:bookmarkEnd w:id="30"/>
      <w:r w:rsidRPr="00134C8F">
        <w:t xml:space="preserve"> Post Implementation Review</w:t>
      </w:r>
      <w:bookmarkEnd w:id="31"/>
    </w:p>
    <w:p w:rsidR="00885AD3" w:rsidRDefault="00885AD3" w:rsidP="00885AD3">
      <w:pPr>
        <w:pStyle w:val="AGRHeading3"/>
      </w:pPr>
      <w:r>
        <w:t>Audit Objective</w:t>
      </w:r>
    </w:p>
    <w:p w:rsidR="00885AD3" w:rsidRDefault="00885AD3" w:rsidP="005051B2">
      <w:pPr>
        <w:pStyle w:val="AGRBodyText"/>
      </w:pPr>
      <w:r>
        <w:rPr>
          <w:lang w:val="en-AU"/>
        </w:rPr>
        <w:t xml:space="preserve">The objective of the audit was to review the Asset Management Capability (AMC) project to </w:t>
      </w:r>
      <w:r w:rsidR="00F6167D">
        <w:rPr>
          <w:lang w:val="en-AU"/>
        </w:rPr>
        <w:t>assess</w:t>
      </w:r>
      <w:r>
        <w:rPr>
          <w:lang w:val="en-AU"/>
        </w:rPr>
        <w:t xml:space="preserve"> the ability of the asset management system to meet the needs of users with a view to providing guidance for future similar projects.</w:t>
      </w:r>
    </w:p>
    <w:p w:rsidR="00885AD3" w:rsidRDefault="00885AD3" w:rsidP="007E491E">
      <w:pPr>
        <w:pStyle w:val="AGRHeading3"/>
      </w:pPr>
      <w:r>
        <w:t>Audit Opinion</w:t>
      </w:r>
    </w:p>
    <w:p w:rsidR="00885AD3" w:rsidRPr="00790B35" w:rsidRDefault="00885AD3" w:rsidP="00256DC0">
      <w:pPr>
        <w:pStyle w:val="AGRBodyText"/>
      </w:pPr>
      <w:r>
        <w:rPr>
          <w:lang w:val="en-AU"/>
        </w:rPr>
        <w:t>The Asset Management System</w:t>
      </w:r>
      <w:r w:rsidR="00256DC0">
        <w:rPr>
          <w:lang w:val="en-AU"/>
        </w:rPr>
        <w:t xml:space="preserve"> (AMS)</w:t>
      </w:r>
      <w:r>
        <w:rPr>
          <w:lang w:val="en-AU"/>
        </w:rPr>
        <w:t xml:space="preserve"> implementation has </w:t>
      </w:r>
      <w:r w:rsidR="00256DC0">
        <w:rPr>
          <w:lang w:val="en-AU"/>
        </w:rPr>
        <w:t xml:space="preserve">achieved the objectives set out as part of the AMS procurement process. </w:t>
      </w:r>
      <w:r>
        <w:rPr>
          <w:lang w:val="en-AU"/>
        </w:rPr>
        <w:t xml:space="preserve"> </w:t>
      </w:r>
      <w:r w:rsidR="00256DC0">
        <w:rPr>
          <w:lang w:val="en-AU"/>
        </w:rPr>
        <w:t>H</w:t>
      </w:r>
      <w:r>
        <w:rPr>
          <w:lang w:val="en-AU"/>
        </w:rPr>
        <w:t xml:space="preserve">owever a number of insights were noted </w:t>
      </w:r>
      <w:r w:rsidR="00256DC0">
        <w:rPr>
          <w:lang w:val="en-AU"/>
        </w:rPr>
        <w:t>that may provide guidance for future projects</w:t>
      </w:r>
      <w:r>
        <w:rPr>
          <w:lang w:val="en-AU"/>
        </w:rPr>
        <w:t>.</w:t>
      </w:r>
    </w:p>
    <w:p w:rsidR="00641FA9" w:rsidRDefault="00641FA9" w:rsidP="00641FA9">
      <w:pPr>
        <w:pStyle w:val="AGRHeading3"/>
      </w:pPr>
      <w:r w:rsidRPr="00732782">
        <w:t>Background</w:t>
      </w:r>
    </w:p>
    <w:p w:rsidR="00EC6B47" w:rsidRDefault="00EC6B47" w:rsidP="002F4F0B">
      <w:pPr>
        <w:pStyle w:val="AGRBodyText"/>
      </w:pPr>
      <w:r>
        <w:t xml:space="preserve">The </w:t>
      </w:r>
      <w:r w:rsidR="0051534D">
        <w:t xml:space="preserve">Power and Water </w:t>
      </w:r>
      <w:r>
        <w:t>Corporation’s</w:t>
      </w:r>
      <w:r w:rsidR="0051534D">
        <w:t xml:space="preserve"> (the Corporation)</w:t>
      </w:r>
      <w:r>
        <w:t xml:space="preserve"> new asset management system was</w:t>
      </w:r>
      <w:r w:rsidR="00641FA9" w:rsidRPr="00EC6C4E">
        <w:t xml:space="preserve"> implemented in August 2012 and </w:t>
      </w:r>
      <w:r>
        <w:t xml:space="preserve">is intended to </w:t>
      </w:r>
      <w:r w:rsidR="00641FA9" w:rsidRPr="00EC6C4E">
        <w:t>provide an integrated solution for asset management</w:t>
      </w:r>
      <w:r>
        <w:t>.</w:t>
      </w:r>
    </w:p>
    <w:p w:rsidR="00B66378" w:rsidRPr="00EC6C4E" w:rsidRDefault="00EC6B47" w:rsidP="002F4F0B">
      <w:pPr>
        <w:pStyle w:val="AGRBodyText"/>
      </w:pPr>
      <w:r>
        <w:t xml:space="preserve">The system comprises </w:t>
      </w:r>
      <w:r w:rsidR="007B44EE">
        <w:t>six</w:t>
      </w:r>
      <w:r>
        <w:t xml:space="preserve"> modules</w:t>
      </w:r>
      <w:r w:rsidR="00B66378">
        <w:t xml:space="preserve"> and replaces </w:t>
      </w:r>
      <w:r w:rsidR="00B66378" w:rsidRPr="00EC6C4E">
        <w:t xml:space="preserve">the </w:t>
      </w:r>
      <w:r w:rsidR="00B66378">
        <w:t>former</w:t>
      </w:r>
      <w:r w:rsidR="00B66378" w:rsidRPr="00EC6C4E">
        <w:t xml:space="preserve"> maintenance system (</w:t>
      </w:r>
      <w:r w:rsidR="0051534D">
        <w:t>Work Information Management System (</w:t>
      </w:r>
      <w:r w:rsidR="00B66378" w:rsidRPr="00EC6C4E">
        <w:t>WIMS</w:t>
      </w:r>
      <w:r w:rsidR="0051534D">
        <w:t>)</w:t>
      </w:r>
      <w:r w:rsidR="00B66378" w:rsidRPr="00EC6C4E">
        <w:t xml:space="preserve">) </w:t>
      </w:r>
      <w:r w:rsidR="00B66378">
        <w:t>and a geographical a</w:t>
      </w:r>
      <w:r w:rsidR="007B44EE">
        <w:t>n</w:t>
      </w:r>
      <w:r w:rsidR="00B66378">
        <w:t>d fault management system, while</w:t>
      </w:r>
      <w:r w:rsidR="00B66378" w:rsidRPr="00EC6C4E">
        <w:t xml:space="preserve"> consolidating works management, materials management, purchasing</w:t>
      </w:r>
      <w:r w:rsidR="00B66378">
        <w:t xml:space="preserve"> and </w:t>
      </w:r>
      <w:r w:rsidR="00B66378" w:rsidRPr="00EC6C4E">
        <w:t>contracts management, and project management in</w:t>
      </w:r>
      <w:r w:rsidR="00F015A0">
        <w:t>to</w:t>
      </w:r>
      <w:r w:rsidR="00B66378" w:rsidRPr="00EC6C4E">
        <w:t xml:space="preserve"> an Enterprise Asset Management System</w:t>
      </w:r>
      <w:r w:rsidR="00454E39">
        <w:t>.</w:t>
      </w:r>
    </w:p>
    <w:p w:rsidR="00641FA9" w:rsidRPr="00EC6C4E" w:rsidRDefault="00641FA9" w:rsidP="002F4F0B">
      <w:pPr>
        <w:pStyle w:val="AGRBodyText"/>
      </w:pPr>
      <w:r w:rsidRPr="00EC6C4E">
        <w:t xml:space="preserve">All </w:t>
      </w:r>
      <w:r w:rsidR="00EC6B47">
        <w:t xml:space="preserve">the key functional requirements </w:t>
      </w:r>
      <w:r w:rsidR="00454E39">
        <w:t>t</w:t>
      </w:r>
      <w:r w:rsidR="00EC6B47">
        <w:t xml:space="preserve">hat were </w:t>
      </w:r>
      <w:r w:rsidRPr="00EC6C4E">
        <w:t xml:space="preserve">specified </w:t>
      </w:r>
      <w:r w:rsidR="00EC6B47">
        <w:t>at the outset of</w:t>
      </w:r>
      <w:r w:rsidRPr="00EC6C4E">
        <w:t xml:space="preserve"> the </w:t>
      </w:r>
      <w:r w:rsidR="00EC6B47">
        <w:t>project</w:t>
      </w:r>
      <w:r w:rsidRPr="00EC6C4E">
        <w:t xml:space="preserve"> were considered to </w:t>
      </w:r>
      <w:r w:rsidR="00EC6B47">
        <w:t>have been achieved</w:t>
      </w:r>
      <w:r w:rsidR="00B66378">
        <w:t xml:space="preserve"> albeit at a final cost that was significantly higher than the original estimate.</w:t>
      </w:r>
    </w:p>
    <w:p w:rsidR="00641FA9" w:rsidRDefault="0020547F" w:rsidP="002F4F0B">
      <w:pPr>
        <w:pStyle w:val="AGRBodyText"/>
      </w:pPr>
      <w:r>
        <w:t>Audit d</w:t>
      </w:r>
      <w:r w:rsidR="00372E62">
        <w:t>iscussions with Corporation</w:t>
      </w:r>
      <w:r w:rsidR="00641FA9" w:rsidRPr="00EC6C4E">
        <w:t xml:space="preserve"> </w:t>
      </w:r>
      <w:r w:rsidR="00454E39">
        <w:t>staff who are users</w:t>
      </w:r>
      <w:r w:rsidR="00372E62">
        <w:t xml:space="preserve"> of the </w:t>
      </w:r>
      <w:r w:rsidR="00641FA9" w:rsidRPr="00EC6C4E">
        <w:t>system indicate</w:t>
      </w:r>
      <w:r w:rsidR="00372E62">
        <w:t>d</w:t>
      </w:r>
      <w:r w:rsidR="00641FA9" w:rsidRPr="00EC6C4E">
        <w:t xml:space="preserve"> </w:t>
      </w:r>
      <w:r w:rsidR="00372E62">
        <w:t>that the</w:t>
      </w:r>
      <w:r>
        <w:t xml:space="preserve"> various</w:t>
      </w:r>
      <w:r w:rsidR="00372E62">
        <w:t xml:space="preserve"> </w:t>
      </w:r>
      <w:r w:rsidR="00EC6263">
        <w:t xml:space="preserve">user </w:t>
      </w:r>
      <w:r w:rsidR="00372E62">
        <w:t xml:space="preserve">groups had </w:t>
      </w:r>
      <w:r w:rsidR="00641FA9" w:rsidRPr="00EC6C4E">
        <w:t>a positive perception of the solution, the benefits ach</w:t>
      </w:r>
      <w:r w:rsidR="00641FA9" w:rsidRPr="0057069C">
        <w:t xml:space="preserve">ieved </w:t>
      </w:r>
      <w:r w:rsidR="00372E62" w:rsidRPr="0057069C">
        <w:t xml:space="preserve">up </w:t>
      </w:r>
      <w:r w:rsidR="0057069C" w:rsidRPr="0057069C">
        <w:t xml:space="preserve">until </w:t>
      </w:r>
      <w:r w:rsidR="00255C81">
        <w:t>the time of the audit</w:t>
      </w:r>
      <w:r w:rsidR="00372E62" w:rsidRPr="0057069C">
        <w:t xml:space="preserve"> </w:t>
      </w:r>
      <w:r w:rsidR="00641FA9" w:rsidRPr="0057069C">
        <w:t>and the potential for future benefits to be realised.</w:t>
      </w:r>
    </w:p>
    <w:p w:rsidR="00A26052" w:rsidRPr="00EC6C4E" w:rsidRDefault="00A26052" w:rsidP="00A26052">
      <w:pPr>
        <w:pStyle w:val="AGRHeading4"/>
      </w:pPr>
      <w:r w:rsidRPr="00EC6C4E">
        <w:t>Overview of the Project</w:t>
      </w:r>
    </w:p>
    <w:p w:rsidR="00A26052" w:rsidRPr="00EC6C4E" w:rsidRDefault="00A26052" w:rsidP="002F4F0B">
      <w:pPr>
        <w:pStyle w:val="AGRBodyText"/>
      </w:pPr>
      <w:r w:rsidRPr="00EC6C4E">
        <w:t xml:space="preserve">The </w:t>
      </w:r>
      <w:r w:rsidR="00255C81">
        <w:t>AMS</w:t>
      </w:r>
      <w:r w:rsidRPr="00EC6C4E">
        <w:t xml:space="preserve"> project was initiated in 2006 to replace aging a</w:t>
      </w:r>
      <w:r>
        <w:t xml:space="preserve">nd unsupported asset management </w:t>
      </w:r>
      <w:r w:rsidRPr="00EC6C4E">
        <w:t>software</w:t>
      </w:r>
      <w:r>
        <w:t>,</w:t>
      </w:r>
      <w:r w:rsidRPr="00EC6C4E">
        <w:t xml:space="preserve"> and to develop a long term solution for enhanced asset management capability within the Corporation. </w:t>
      </w:r>
      <w:r>
        <w:t xml:space="preserve"> </w:t>
      </w:r>
      <w:r w:rsidRPr="00EC6C4E">
        <w:t xml:space="preserve">A business case was initially approved by the Board for </w:t>
      </w:r>
      <w:r>
        <w:t>a project cost of the order of</w:t>
      </w:r>
      <w:r w:rsidRPr="00EC6C4E">
        <w:t xml:space="preserve"> $15 million in 2006 to support the implementation of a standard </w:t>
      </w:r>
      <w:r w:rsidR="00255C81">
        <w:t>“</w:t>
      </w:r>
      <w:r w:rsidRPr="00EC6C4E">
        <w:t>off-the-shelf</w:t>
      </w:r>
      <w:r w:rsidR="00255C81">
        <w:t>”</w:t>
      </w:r>
      <w:r w:rsidRPr="00EC6C4E">
        <w:t xml:space="preserve"> software solution.</w:t>
      </w:r>
    </w:p>
    <w:p w:rsidR="00FD256D" w:rsidRPr="00732782" w:rsidRDefault="00FD256D" w:rsidP="00FD256D">
      <w:pPr>
        <w:pStyle w:val="AGRHeading1"/>
      </w:pPr>
      <w:r w:rsidRPr="00134C8F">
        <w:t>Power and Water Corporation</w:t>
      </w:r>
      <w:r>
        <w:t xml:space="preserve"> cont…</w:t>
      </w:r>
    </w:p>
    <w:p w:rsidR="000805E1" w:rsidRPr="00EC6C4E" w:rsidRDefault="000805E1" w:rsidP="000805E1">
      <w:pPr>
        <w:pStyle w:val="AGRBodyText"/>
      </w:pPr>
      <w:r>
        <w:t xml:space="preserve">It became clear </w:t>
      </w:r>
      <w:r w:rsidRPr="00EC6C4E">
        <w:t xml:space="preserve">that an </w:t>
      </w:r>
      <w:r>
        <w:t>“</w:t>
      </w:r>
      <w:r w:rsidRPr="00EC6C4E">
        <w:t>off-the-shelf</w:t>
      </w:r>
      <w:r>
        <w:t>”</w:t>
      </w:r>
      <w:r w:rsidRPr="00EC6C4E">
        <w:t xml:space="preserve"> package was </w:t>
      </w:r>
      <w:r>
        <w:t>unlikely to offer a solution that would benefit</w:t>
      </w:r>
      <w:r w:rsidRPr="00EC6C4E">
        <w:t xml:space="preserve"> the </w:t>
      </w:r>
      <w:r>
        <w:t>Corporation</w:t>
      </w:r>
      <w:r w:rsidRPr="00EC6C4E">
        <w:t xml:space="preserve"> and deliver the business benefits </w:t>
      </w:r>
      <w:r>
        <w:t xml:space="preserve">that were required to be achieved. </w:t>
      </w:r>
      <w:r w:rsidR="0003587F">
        <w:t xml:space="preserve"> </w:t>
      </w:r>
      <w:r>
        <w:t>A</w:t>
      </w:r>
      <w:r w:rsidRPr="00EC6C4E">
        <w:t xml:space="preserve"> revised </w:t>
      </w:r>
      <w:r>
        <w:t xml:space="preserve">project </w:t>
      </w:r>
      <w:r w:rsidRPr="00EC6C4E">
        <w:t xml:space="preserve">strategy was </w:t>
      </w:r>
      <w:r>
        <w:t xml:space="preserve">then </w:t>
      </w:r>
      <w:r w:rsidRPr="00EC6C4E">
        <w:t xml:space="preserve">endorsed in March 2008 </w:t>
      </w:r>
      <w:r>
        <w:t>emphasising</w:t>
      </w:r>
      <w:r w:rsidRPr="00EC6C4E">
        <w:t xml:space="preserve"> the need for process improvement, data improvement, </w:t>
      </w:r>
      <w:r>
        <w:t xml:space="preserve">greater </w:t>
      </w:r>
      <w:r w:rsidRPr="00EC6C4E">
        <w:t xml:space="preserve">asset management capability and </w:t>
      </w:r>
      <w:r>
        <w:t>better</w:t>
      </w:r>
      <w:r w:rsidRPr="00EC6C4E">
        <w:t xml:space="preserve"> systems integration. </w:t>
      </w:r>
    </w:p>
    <w:p w:rsidR="00A26052" w:rsidRPr="00EC6C4E" w:rsidRDefault="00A26052" w:rsidP="002F4F0B">
      <w:pPr>
        <w:pStyle w:val="AGRBodyText"/>
      </w:pPr>
      <w:r w:rsidRPr="00EC6C4E">
        <w:t xml:space="preserve">A tender process was undertaken in December 2008 to select an implementation </w:t>
      </w:r>
      <w:r>
        <w:t>p</w:t>
      </w:r>
      <w:r w:rsidRPr="00EC6C4E">
        <w:t xml:space="preserve">artner, which </w:t>
      </w:r>
      <w:r>
        <w:t>led to a contract being awarded</w:t>
      </w:r>
      <w:r w:rsidRPr="00EC6C4E">
        <w:t xml:space="preserve"> in early 2009. </w:t>
      </w:r>
      <w:r w:rsidR="00D6386A">
        <w:t xml:space="preserve"> </w:t>
      </w:r>
      <w:r>
        <w:t xml:space="preserve">A </w:t>
      </w:r>
      <w:r w:rsidR="00B91D5B">
        <w:t>consulting firm</w:t>
      </w:r>
      <w:r>
        <w:t xml:space="preserve"> </w:t>
      </w:r>
      <w:r w:rsidRPr="00EC6C4E">
        <w:t>w</w:t>
      </w:r>
      <w:r>
        <w:t>as</w:t>
      </w:r>
      <w:r w:rsidRPr="00EC6C4E">
        <w:t xml:space="preserve"> appointed to assist with business consulting, project planning, process design and a </w:t>
      </w:r>
      <w:r>
        <w:t>range</w:t>
      </w:r>
      <w:r w:rsidRPr="00EC6C4E">
        <w:t xml:space="preserve"> of project quality assurance activities throughout the project. </w:t>
      </w:r>
      <w:r>
        <w:t xml:space="preserve"> </w:t>
      </w:r>
      <w:r w:rsidRPr="00EC6C4E">
        <w:t xml:space="preserve">Based on the costing estimates and other </w:t>
      </w:r>
      <w:r>
        <w:t xml:space="preserve">information that became available during </w:t>
      </w:r>
      <w:r w:rsidRPr="00EC6C4E">
        <w:t xml:space="preserve">the procurement process, a revised business case </w:t>
      </w:r>
      <w:r>
        <w:t>based on a cost of $27.4 million was</w:t>
      </w:r>
      <w:r w:rsidRPr="00EC6C4E">
        <w:t xml:space="preserve"> approved by the Board in July 2009</w:t>
      </w:r>
      <w:r>
        <w:t>.</w:t>
      </w:r>
      <w:r w:rsidRPr="00EC6C4E">
        <w:t xml:space="preserve"> </w:t>
      </w:r>
    </w:p>
    <w:p w:rsidR="00641FA9" w:rsidRPr="00EC6C4E" w:rsidRDefault="00641FA9" w:rsidP="002F4F0B">
      <w:pPr>
        <w:pStyle w:val="AGRBodyText"/>
      </w:pPr>
      <w:r w:rsidRPr="00EC6C4E">
        <w:t xml:space="preserve">In September 2009, </w:t>
      </w:r>
      <w:r w:rsidR="00B67AFD">
        <w:t>the Corporation</w:t>
      </w:r>
      <w:r w:rsidRPr="00EC6C4E">
        <w:t xml:space="preserve"> </w:t>
      </w:r>
      <w:r w:rsidR="00B67AFD">
        <w:t xml:space="preserve">entered into </w:t>
      </w:r>
      <w:r w:rsidRPr="00EC6C4E">
        <w:t xml:space="preserve">a contract for software and services. </w:t>
      </w:r>
      <w:r w:rsidR="00B67AFD">
        <w:t xml:space="preserve">The </w:t>
      </w:r>
      <w:r w:rsidR="00B91D5B">
        <w:t>firm that was employed</w:t>
      </w:r>
      <w:r w:rsidR="007B44EE">
        <w:t xml:space="preserve"> </w:t>
      </w:r>
      <w:r w:rsidRPr="00EC6C4E">
        <w:t>was</w:t>
      </w:r>
      <w:r w:rsidR="007F0384">
        <w:t xml:space="preserve"> a large information technology firm and</w:t>
      </w:r>
      <w:r w:rsidRPr="00EC6C4E">
        <w:t xml:space="preserve"> the prime contractor for the systems implementation</w:t>
      </w:r>
      <w:r w:rsidR="007F0384">
        <w:t>.  It</w:t>
      </w:r>
      <w:r w:rsidRPr="00EC6C4E">
        <w:t xml:space="preserve"> provided oversight </w:t>
      </w:r>
      <w:r w:rsidR="00B67AFD">
        <w:t>of</w:t>
      </w:r>
      <w:r w:rsidRPr="00EC6C4E">
        <w:t xml:space="preserve"> other </w:t>
      </w:r>
      <w:r w:rsidR="00B67AFD">
        <w:t xml:space="preserve">firms that were </w:t>
      </w:r>
      <w:r w:rsidRPr="00EC6C4E">
        <w:t xml:space="preserve">involved in providing software and services for the integrated solution. </w:t>
      </w:r>
      <w:r w:rsidR="00D6386A">
        <w:t xml:space="preserve"> </w:t>
      </w:r>
      <w:r w:rsidRPr="00EC6C4E">
        <w:t>This</w:t>
      </w:r>
      <w:r w:rsidR="00B67AFD">
        <w:t xml:space="preserve"> point</w:t>
      </w:r>
      <w:r w:rsidRPr="00EC6C4E">
        <w:t xml:space="preserve"> marked the end of Stage 1</w:t>
      </w:r>
      <w:r w:rsidR="00B67AFD">
        <w:t>.</w:t>
      </w:r>
      <w:r w:rsidRPr="00EC6C4E">
        <w:t xml:space="preserve"> </w:t>
      </w:r>
    </w:p>
    <w:p w:rsidR="00EC6263" w:rsidRDefault="00B67AFD" w:rsidP="002F4F0B">
      <w:pPr>
        <w:pStyle w:val="AGRBodyText"/>
      </w:pPr>
      <w:r>
        <w:t>I</w:t>
      </w:r>
      <w:r w:rsidR="00641FA9" w:rsidRPr="00EC6C4E">
        <w:t>n September 2009,</w:t>
      </w:r>
      <w:r w:rsidR="007B44EE">
        <w:t xml:space="preserve"> </w:t>
      </w:r>
      <w:r>
        <w:t xml:space="preserve">the prime contractor </w:t>
      </w:r>
      <w:r w:rsidR="00641FA9" w:rsidRPr="00EC6C4E">
        <w:t xml:space="preserve">developed the </w:t>
      </w:r>
      <w:r>
        <w:t>s</w:t>
      </w:r>
      <w:r w:rsidR="00641FA9" w:rsidRPr="00EC6C4E">
        <w:t xml:space="preserve">olution </w:t>
      </w:r>
      <w:r>
        <w:t>d</w:t>
      </w:r>
      <w:r w:rsidR="00641FA9" w:rsidRPr="00EC6C4E">
        <w:t xml:space="preserve">esign for Stage 2 in collaboration with </w:t>
      </w:r>
      <w:r>
        <w:t>the Corporation’s</w:t>
      </w:r>
      <w:r w:rsidR="00641FA9" w:rsidRPr="00EC6C4E">
        <w:t xml:space="preserve"> stakeholders</w:t>
      </w:r>
      <w:r w:rsidR="00EC6263">
        <w:t xml:space="preserve"> who were</w:t>
      </w:r>
      <w:r w:rsidR="00641FA9" w:rsidRPr="00EC6C4E">
        <w:t xml:space="preserve"> represented by the AMC Project Reference Group. </w:t>
      </w:r>
      <w:r w:rsidR="00914618">
        <w:t xml:space="preserve"> </w:t>
      </w:r>
      <w:r w:rsidR="00641FA9" w:rsidRPr="00EC6C4E">
        <w:t xml:space="preserve">The outcome was a blueprint for </w:t>
      </w:r>
      <w:r>
        <w:t>the</w:t>
      </w:r>
      <w:r w:rsidR="00641FA9" w:rsidRPr="00EC6C4E">
        <w:t xml:space="preserve"> delivery and implementation in the final stage (Stage 3). </w:t>
      </w:r>
      <w:r w:rsidR="00D6386A">
        <w:t xml:space="preserve"> </w:t>
      </w:r>
      <w:r w:rsidR="00B91D5B">
        <w:t>The consulting firm</w:t>
      </w:r>
      <w:r w:rsidR="00641FA9" w:rsidRPr="00EC6C4E">
        <w:t xml:space="preserve"> provided quality assurance </w:t>
      </w:r>
      <w:r>
        <w:t>in respect of</w:t>
      </w:r>
      <w:r w:rsidR="00641FA9" w:rsidRPr="00EC6C4E">
        <w:t xml:space="preserve"> the </w:t>
      </w:r>
      <w:r>
        <w:t>s</w:t>
      </w:r>
      <w:r w:rsidR="00641FA9" w:rsidRPr="00EC6C4E">
        <w:t xml:space="preserve">olution </w:t>
      </w:r>
      <w:r>
        <w:t>d</w:t>
      </w:r>
      <w:r w:rsidR="00641FA9" w:rsidRPr="00EC6C4E">
        <w:t>esign on behalf of the Corporation.</w:t>
      </w:r>
    </w:p>
    <w:p w:rsidR="00641FA9" w:rsidRDefault="00641FA9" w:rsidP="002F4F0B">
      <w:pPr>
        <w:pStyle w:val="AGRBodyText"/>
      </w:pPr>
      <w:r w:rsidRPr="00EC6C4E">
        <w:t xml:space="preserve">Stage 2 ended in June 2010 (3 months later than planned) </w:t>
      </w:r>
      <w:r w:rsidR="00B67AFD">
        <w:t>at</w:t>
      </w:r>
      <w:r w:rsidRPr="00EC6C4E">
        <w:t xml:space="preserve"> </w:t>
      </w:r>
      <w:r w:rsidR="00B67AFD">
        <w:t xml:space="preserve">which </w:t>
      </w:r>
      <w:r w:rsidR="007B44EE">
        <w:t xml:space="preserve">point </w:t>
      </w:r>
      <w:r w:rsidR="00B67AFD">
        <w:t xml:space="preserve">the project scope and costs were </w:t>
      </w:r>
      <w:r w:rsidRPr="00EC6C4E">
        <w:t>review</w:t>
      </w:r>
      <w:r w:rsidR="00B67AFD">
        <w:t>ed</w:t>
      </w:r>
      <w:r w:rsidR="007B44EE">
        <w:t>.</w:t>
      </w:r>
      <w:r w:rsidRPr="00EC6C4E">
        <w:t xml:space="preserve"> </w:t>
      </w:r>
      <w:r w:rsidR="00914618">
        <w:t xml:space="preserve"> </w:t>
      </w:r>
      <w:r w:rsidRPr="00EC6C4E">
        <w:t>A</w:t>
      </w:r>
      <w:r w:rsidR="00B67AFD">
        <w:t xml:space="preserve"> further </w:t>
      </w:r>
      <w:r w:rsidRPr="00EC6C4E">
        <w:t xml:space="preserve">business case </w:t>
      </w:r>
      <w:r w:rsidR="00B67AFD">
        <w:t xml:space="preserve">for a project </w:t>
      </w:r>
      <w:r w:rsidR="007B44EE">
        <w:t>based on a cost of</w:t>
      </w:r>
      <w:r w:rsidR="00B67AFD">
        <w:t xml:space="preserve"> $32.4 million </w:t>
      </w:r>
      <w:r w:rsidRPr="00EC6C4E">
        <w:t xml:space="preserve">was then approved by the Board in August 2010, with a revised planned </w:t>
      </w:r>
      <w:r w:rsidR="00B67AFD">
        <w:t>“</w:t>
      </w:r>
      <w:r w:rsidRPr="00EC6C4E">
        <w:t>go-live</w:t>
      </w:r>
      <w:r w:rsidR="00B67AFD">
        <w:t>”</w:t>
      </w:r>
      <w:r w:rsidRPr="00EC6C4E">
        <w:t xml:space="preserve"> date shifting from March 2011 to August 2011.</w:t>
      </w:r>
    </w:p>
    <w:p w:rsidR="00A26052" w:rsidRDefault="00A26052" w:rsidP="002F4F0B">
      <w:pPr>
        <w:pStyle w:val="AGRBodyText"/>
      </w:pPr>
      <w:r w:rsidRPr="00EC6C4E">
        <w:t xml:space="preserve">By August 2011, concerns </w:t>
      </w:r>
      <w:r>
        <w:t>began to emerge</w:t>
      </w:r>
      <w:r w:rsidRPr="00EC6C4E">
        <w:t xml:space="preserve"> about delays in progress</w:t>
      </w:r>
      <w:r>
        <w:t>.  Particular concerns</w:t>
      </w:r>
      <w:r w:rsidRPr="00EC6C4E">
        <w:t xml:space="preserve"> </w:t>
      </w:r>
      <w:r>
        <w:t>were being expressed about</w:t>
      </w:r>
      <w:r w:rsidRPr="00EC6C4E">
        <w:t xml:space="preserve"> data cleansing and migration</w:t>
      </w:r>
      <w:r>
        <w:t xml:space="preserve"> and</w:t>
      </w:r>
      <w:r w:rsidRPr="00EC6C4E">
        <w:t xml:space="preserve"> the Project Manager indicated that data cleansing activities would not be completed in time for the December 2011 </w:t>
      </w:r>
      <w:r w:rsidR="00255C81">
        <w:t>“</w:t>
      </w:r>
      <w:r w:rsidRPr="00EC6C4E">
        <w:t>go-live</w:t>
      </w:r>
      <w:r w:rsidR="00255C81">
        <w:t>”</w:t>
      </w:r>
      <w:r w:rsidRPr="00EC6C4E">
        <w:t xml:space="preserve">. </w:t>
      </w:r>
      <w:r>
        <w:t xml:space="preserve"> </w:t>
      </w:r>
      <w:r w:rsidRPr="00EC6C4E">
        <w:t xml:space="preserve">A project audit performed by </w:t>
      </w:r>
      <w:r w:rsidR="00B91D5B">
        <w:t>the consulting firm</w:t>
      </w:r>
      <w:r w:rsidRPr="00EC6C4E">
        <w:t xml:space="preserve"> in September 2011 also supported this view, noting that many elements of the project had fallen behind schedule, such as data cleansing, cutover planning, business readiness, testing and training.</w:t>
      </w:r>
    </w:p>
    <w:p w:rsidR="00797552" w:rsidRPr="00732782" w:rsidRDefault="00797552" w:rsidP="00797552">
      <w:pPr>
        <w:pStyle w:val="AGRHeading1"/>
      </w:pPr>
      <w:r w:rsidRPr="00134C8F">
        <w:t>Power and Water Corporation</w:t>
      </w:r>
      <w:r>
        <w:t xml:space="preserve"> cont…</w:t>
      </w:r>
    </w:p>
    <w:p w:rsidR="008E0255" w:rsidRPr="00EC6C4E" w:rsidRDefault="008E0255" w:rsidP="008E0255">
      <w:pPr>
        <w:pStyle w:val="AGRBodyText"/>
      </w:pPr>
      <w:r w:rsidRPr="00EC6C4E">
        <w:t xml:space="preserve">The increase in </w:t>
      </w:r>
      <w:r>
        <w:t xml:space="preserve">the project’s estimated </w:t>
      </w:r>
      <w:r w:rsidRPr="00EC6C4E">
        <w:t>cost primarily related to additional resources for data</w:t>
      </w:r>
      <w:r>
        <w:t xml:space="preserve"> cleansing and migration</w:t>
      </w:r>
      <w:r w:rsidRPr="00EC6C4E">
        <w:t xml:space="preserve">, reporting and business readiness activities and a range of project overhead costs associated </w:t>
      </w:r>
      <w:r>
        <w:t xml:space="preserve">that flowed from the </w:t>
      </w:r>
      <w:r w:rsidRPr="00EC6C4E">
        <w:t>exten</w:t>
      </w:r>
      <w:r>
        <w:t xml:space="preserve">sion of </w:t>
      </w:r>
      <w:r w:rsidRPr="00EC6C4E">
        <w:t>the project</w:t>
      </w:r>
      <w:r>
        <w:t>’s life</w:t>
      </w:r>
      <w:r w:rsidRPr="00EC6C4E">
        <w:t>.</w:t>
      </w:r>
      <w:r>
        <w:t xml:space="preserve">  </w:t>
      </w:r>
    </w:p>
    <w:p w:rsidR="00641FA9" w:rsidRDefault="00EC6263" w:rsidP="002F4F0B">
      <w:pPr>
        <w:pStyle w:val="AGRBodyText"/>
      </w:pPr>
      <w:r>
        <w:t>U</w:t>
      </w:r>
      <w:r w:rsidR="00641FA9" w:rsidRPr="00EC6C4E">
        <w:t xml:space="preserve">ser </w:t>
      </w:r>
      <w:r w:rsidR="00546112">
        <w:t>a</w:t>
      </w:r>
      <w:r w:rsidR="00641FA9" w:rsidRPr="00EC6C4E">
        <w:t xml:space="preserve">cceptance </w:t>
      </w:r>
      <w:r w:rsidR="00546112">
        <w:t>t</w:t>
      </w:r>
      <w:r w:rsidR="00641FA9" w:rsidRPr="00EC6C4E">
        <w:t>esting was being undertaken</w:t>
      </w:r>
      <w:r>
        <w:t xml:space="preserve"> at this time and</w:t>
      </w:r>
      <w:r w:rsidR="00641FA9" w:rsidRPr="00EC6C4E">
        <w:t xml:space="preserve"> it became apparent that significant differences were </w:t>
      </w:r>
      <w:r w:rsidR="00546112">
        <w:t>emerging</w:t>
      </w:r>
      <w:r w:rsidR="00641FA9" w:rsidRPr="00EC6C4E">
        <w:t xml:space="preserve"> between user expectations </w:t>
      </w:r>
      <w:r w:rsidR="000A2684">
        <w:t xml:space="preserve">of the system </w:t>
      </w:r>
      <w:r w:rsidR="00641FA9" w:rsidRPr="00EC6C4E">
        <w:t xml:space="preserve">and </w:t>
      </w:r>
      <w:r w:rsidR="000A2684">
        <w:t>what had been designed and built</w:t>
      </w:r>
      <w:r w:rsidR="00641FA9" w:rsidRPr="00EC6C4E">
        <w:t>.</w:t>
      </w:r>
      <w:r w:rsidR="00914618">
        <w:t xml:space="preserve"> </w:t>
      </w:r>
      <w:r w:rsidR="00641FA9" w:rsidRPr="00EC6C4E">
        <w:t xml:space="preserve"> </w:t>
      </w:r>
      <w:r w:rsidR="000A2684">
        <w:t>While u</w:t>
      </w:r>
      <w:r w:rsidR="00641FA9" w:rsidRPr="00EC6C4E">
        <w:t xml:space="preserve">ser acceptance testing was completed against the defined </w:t>
      </w:r>
      <w:r w:rsidR="000A2684">
        <w:t xml:space="preserve">system </w:t>
      </w:r>
      <w:r w:rsidR="00641FA9" w:rsidRPr="00EC6C4E">
        <w:t xml:space="preserve">requirements, the </w:t>
      </w:r>
      <w:r w:rsidR="00E679E5">
        <w:t>extent</w:t>
      </w:r>
      <w:r w:rsidR="00641FA9" w:rsidRPr="00EC6C4E">
        <w:t xml:space="preserve"> </w:t>
      </w:r>
      <w:r>
        <w:t xml:space="preserve">of </w:t>
      </w:r>
      <w:r w:rsidR="000A2684">
        <w:t>gaps between the expectations of users and system’s actual design and performance led to</w:t>
      </w:r>
      <w:r w:rsidR="00641FA9" w:rsidRPr="00EC6C4E">
        <w:t xml:space="preserve"> </w:t>
      </w:r>
      <w:r w:rsidR="00E679E5">
        <w:t>a</w:t>
      </w:r>
      <w:r w:rsidR="00641FA9" w:rsidRPr="00EC6C4E">
        <w:t xml:space="preserve"> decision </w:t>
      </w:r>
      <w:r w:rsidR="000A2684">
        <w:t>being</w:t>
      </w:r>
      <w:r w:rsidR="00641FA9" w:rsidRPr="00EC6C4E">
        <w:t xml:space="preserve"> made to </w:t>
      </w:r>
      <w:r w:rsidR="000A2684">
        <w:t>conduct</w:t>
      </w:r>
      <w:r w:rsidR="00641FA9" w:rsidRPr="00EC6C4E">
        <w:t xml:space="preserve"> an additional round of end-to-end testing based on </w:t>
      </w:r>
      <w:r w:rsidR="000A2684">
        <w:t>actual business processes</w:t>
      </w:r>
      <w:r w:rsidR="00641FA9" w:rsidRPr="00EC6C4E">
        <w:t xml:space="preserve">. </w:t>
      </w:r>
      <w:r w:rsidR="00914618">
        <w:t xml:space="preserve"> </w:t>
      </w:r>
      <w:r w:rsidR="00641FA9" w:rsidRPr="00EC6C4E">
        <w:t xml:space="preserve">This testing </w:t>
      </w:r>
      <w:r w:rsidR="000A2684">
        <w:t>marked</w:t>
      </w:r>
      <w:r w:rsidR="00641FA9" w:rsidRPr="00EC6C4E">
        <w:t xml:space="preserve"> the beginning of an extensive process to re-evaluate, enhance (and rework) the </w:t>
      </w:r>
      <w:r w:rsidR="000A2684">
        <w:t>system</w:t>
      </w:r>
      <w:r w:rsidR="00641FA9" w:rsidRPr="00EC6C4E">
        <w:t xml:space="preserve"> to more closely align </w:t>
      </w:r>
      <w:r w:rsidR="000A2684">
        <w:t>with the</w:t>
      </w:r>
      <w:r w:rsidR="00641FA9" w:rsidRPr="00EC6C4E">
        <w:t xml:space="preserve"> expectations</w:t>
      </w:r>
      <w:r w:rsidR="000A2684">
        <w:t xml:space="preserve"> of the Corporation’s staff who would be users of the system</w:t>
      </w:r>
      <w:r w:rsidR="00641FA9" w:rsidRPr="00EC6C4E">
        <w:t xml:space="preserve">. </w:t>
      </w:r>
    </w:p>
    <w:p w:rsidR="00B01895" w:rsidRDefault="00B01895" w:rsidP="00B01895">
      <w:pPr>
        <w:pStyle w:val="AGRBodyText"/>
      </w:pPr>
      <w:r w:rsidRPr="00EC6C4E">
        <w:t xml:space="preserve">As it became evident that the project plan was </w:t>
      </w:r>
      <w:r>
        <w:t>not achievable</w:t>
      </w:r>
      <w:r w:rsidRPr="00EC6C4E">
        <w:t xml:space="preserve"> and </w:t>
      </w:r>
      <w:r>
        <w:t>was in</w:t>
      </w:r>
      <w:r w:rsidRPr="00EC6C4E">
        <w:t xml:space="preserve">complete, </w:t>
      </w:r>
      <w:r>
        <w:t xml:space="preserve">the Corporation </w:t>
      </w:r>
      <w:r w:rsidRPr="00EC6C4E">
        <w:t>engaged independent consultants to develop a new consolidated</w:t>
      </w:r>
      <w:r>
        <w:t>,</w:t>
      </w:r>
      <w:r w:rsidRPr="00EC6C4E">
        <w:t xml:space="preserve"> integrated project plan and</w:t>
      </w:r>
      <w:r>
        <w:t xml:space="preserve"> to</w:t>
      </w:r>
      <w:r w:rsidRPr="00EC6C4E">
        <w:t xml:space="preserve"> </w:t>
      </w:r>
      <w:r>
        <w:t>“</w:t>
      </w:r>
      <w:r w:rsidRPr="00EC6C4E">
        <w:t>stress test</w:t>
      </w:r>
      <w:r>
        <w:t>”</w:t>
      </w:r>
      <w:r w:rsidRPr="00EC6C4E">
        <w:t xml:space="preserve"> th</w:t>
      </w:r>
      <w:r>
        <w:t>at</w:t>
      </w:r>
      <w:r w:rsidRPr="00EC6C4E">
        <w:t xml:space="preserve"> plan based on </w:t>
      </w:r>
      <w:r>
        <w:t xml:space="preserve">a range of </w:t>
      </w:r>
      <w:r w:rsidRPr="00EC6C4E">
        <w:t>possible scenarios</w:t>
      </w:r>
      <w:r>
        <w:t xml:space="preserve"> involving delay to the project</w:t>
      </w:r>
      <w:r w:rsidRPr="00EC6C4E">
        <w:t xml:space="preserve">. </w:t>
      </w:r>
      <w:r>
        <w:t xml:space="preserve"> </w:t>
      </w:r>
      <w:r w:rsidRPr="00EC6C4E">
        <w:t>Th</w:t>
      </w:r>
      <w:r>
        <w:t>at</w:t>
      </w:r>
      <w:r w:rsidRPr="00EC6C4E">
        <w:t xml:space="preserve"> </w:t>
      </w:r>
      <w:r>
        <w:t xml:space="preserve">exercise </w:t>
      </w:r>
      <w:r w:rsidRPr="00EC6C4E">
        <w:t xml:space="preserve">highlighted that the project had fallen approximately 5 months behind </w:t>
      </w:r>
      <w:r>
        <w:t>schedule</w:t>
      </w:r>
      <w:r w:rsidRPr="00EC6C4E">
        <w:t xml:space="preserve"> due to delays and extensions </w:t>
      </w:r>
      <w:r>
        <w:t>to</w:t>
      </w:r>
      <w:r w:rsidRPr="00EC6C4E">
        <w:t xml:space="preserve"> key activities. </w:t>
      </w:r>
      <w:r>
        <w:t xml:space="preserve"> </w:t>
      </w:r>
      <w:r w:rsidRPr="00EC6C4E">
        <w:t xml:space="preserve">A revised project schedule was then approved by the Steering Committee in November 2011, with a </w:t>
      </w:r>
      <w:r>
        <w:t>further</w:t>
      </w:r>
      <w:r w:rsidRPr="00EC6C4E">
        <w:t xml:space="preserve"> revised business case </w:t>
      </w:r>
      <w:r>
        <w:t xml:space="preserve">valued at $43.7 million </w:t>
      </w:r>
      <w:r w:rsidRPr="00EC6C4E">
        <w:t xml:space="preserve">being approved by the Board in December 2011, </w:t>
      </w:r>
      <w:r>
        <w:t xml:space="preserve">and </w:t>
      </w:r>
      <w:r w:rsidRPr="00EC6C4E">
        <w:t xml:space="preserve">with a revised </w:t>
      </w:r>
      <w:r>
        <w:t>“</w:t>
      </w:r>
      <w:r w:rsidRPr="00EC6C4E">
        <w:t>go-live</w:t>
      </w:r>
      <w:r>
        <w:t>”</w:t>
      </w:r>
      <w:r w:rsidRPr="00EC6C4E">
        <w:t xml:space="preserve"> date of March 2012.</w:t>
      </w:r>
    </w:p>
    <w:p w:rsidR="00A26052" w:rsidRPr="00EC6C4E" w:rsidRDefault="00A26052" w:rsidP="002F4F0B">
      <w:pPr>
        <w:pStyle w:val="AGRBodyText"/>
      </w:pPr>
      <w:r w:rsidRPr="00EC6C4E">
        <w:t xml:space="preserve">Given the state of the project and the gaps identified between the system functionality and business needs, the following changes were made in order to complete the project and deliver a system which met critical business needs. </w:t>
      </w:r>
      <w:r>
        <w:t xml:space="preserve"> </w:t>
      </w:r>
      <w:r w:rsidRPr="00EC6C4E">
        <w:t>These included:</w:t>
      </w:r>
    </w:p>
    <w:p w:rsidR="00A26052" w:rsidRPr="00914618" w:rsidRDefault="00A26052" w:rsidP="002F4F0B">
      <w:pPr>
        <w:pStyle w:val="AGRBulletText"/>
      </w:pPr>
      <w:r>
        <w:t>Dissolving</w:t>
      </w:r>
      <w:r w:rsidRPr="00914618">
        <w:t xml:space="preserve"> the Steering Committee and Reference Group and establishing a single and much smaller General </w:t>
      </w:r>
      <w:r>
        <w:t>Management Team.</w:t>
      </w:r>
    </w:p>
    <w:p w:rsidR="00A26052" w:rsidRPr="00914618" w:rsidRDefault="00A26052" w:rsidP="002F4F0B">
      <w:pPr>
        <w:pStyle w:val="AGRBulletText"/>
      </w:pPr>
      <w:r w:rsidRPr="00914618">
        <w:t xml:space="preserve">Business requirements, process maps and </w:t>
      </w:r>
      <w:r>
        <w:t>related aspects</w:t>
      </w:r>
      <w:r w:rsidRPr="00914618">
        <w:t xml:space="preserve"> were completely reviewed, updated and revalidated. </w:t>
      </w:r>
      <w:r>
        <w:t xml:space="preserve"> </w:t>
      </w:r>
      <w:r w:rsidRPr="00914618">
        <w:t xml:space="preserve">Gaps </w:t>
      </w:r>
      <w:r>
        <w:t xml:space="preserve">between business requirements and </w:t>
      </w:r>
      <w:r w:rsidRPr="00914618">
        <w:t xml:space="preserve">the </w:t>
      </w:r>
      <w:r>
        <w:t xml:space="preserve">system </w:t>
      </w:r>
      <w:r w:rsidRPr="00914618">
        <w:t xml:space="preserve">design </w:t>
      </w:r>
      <w:r>
        <w:t xml:space="preserve">that had emerged to that point </w:t>
      </w:r>
      <w:r w:rsidRPr="00914618">
        <w:t xml:space="preserve">were identified and </w:t>
      </w:r>
      <w:r>
        <w:t>prioritized.</w:t>
      </w:r>
    </w:p>
    <w:p w:rsidR="00A26052" w:rsidRPr="00914618" w:rsidRDefault="00A26052" w:rsidP="002F4F0B">
      <w:pPr>
        <w:pStyle w:val="AGRBulletText"/>
      </w:pPr>
      <w:r w:rsidRPr="00914618">
        <w:t xml:space="preserve">The project leadership </w:t>
      </w:r>
      <w:r>
        <w:t>shifted</w:t>
      </w:r>
      <w:r w:rsidRPr="00914618">
        <w:t xml:space="preserve"> the </w:t>
      </w:r>
      <w:r>
        <w:t>focus</w:t>
      </w:r>
      <w:r w:rsidRPr="00914618">
        <w:t xml:space="preserve"> of the project team to </w:t>
      </w:r>
      <w:r>
        <w:t>one that placed greater emphasis</w:t>
      </w:r>
      <w:r w:rsidRPr="00914618">
        <w:t xml:space="preserve"> on business engagement and outcomes.</w:t>
      </w:r>
    </w:p>
    <w:p w:rsidR="00A26052" w:rsidRPr="00914618" w:rsidRDefault="00A26052" w:rsidP="002F4F0B">
      <w:pPr>
        <w:pStyle w:val="AGRBulletText"/>
      </w:pPr>
      <w:r>
        <w:t>Employees who had expert knowledge of</w:t>
      </w:r>
      <w:r w:rsidRPr="00914618">
        <w:t xml:space="preserve"> business </w:t>
      </w:r>
      <w:r>
        <w:t>processes</w:t>
      </w:r>
      <w:r w:rsidRPr="00914618">
        <w:t xml:space="preserve"> were </w:t>
      </w:r>
      <w:r>
        <w:t>inserted into</w:t>
      </w:r>
      <w:r w:rsidRPr="00914618">
        <w:t xml:space="preserve"> the project.</w:t>
      </w:r>
    </w:p>
    <w:p w:rsidR="00797552" w:rsidRPr="00732782" w:rsidRDefault="00797552" w:rsidP="00797552">
      <w:pPr>
        <w:pStyle w:val="AGRHeading1"/>
      </w:pPr>
      <w:r w:rsidRPr="00134C8F">
        <w:t>Power and Water Corporation</w:t>
      </w:r>
      <w:r>
        <w:t xml:space="preserve"> cont…</w:t>
      </w:r>
    </w:p>
    <w:p w:rsidR="00B01895" w:rsidRPr="00914618" w:rsidRDefault="00B01895" w:rsidP="00B01895">
      <w:pPr>
        <w:pStyle w:val="AGRBulletText"/>
      </w:pPr>
      <w:r>
        <w:t>The prime contractor</w:t>
      </w:r>
      <w:r w:rsidRPr="00914618">
        <w:t xml:space="preserve"> was engaged on a time and materials basis to assist with </w:t>
      </w:r>
      <w:r>
        <w:t>rectifying</w:t>
      </w:r>
      <w:r w:rsidRPr="00914618">
        <w:t xml:space="preserve"> the gaps </w:t>
      </w:r>
      <w:r>
        <w:t xml:space="preserve">between system design and organizational requirements that have been identified, </w:t>
      </w:r>
      <w:r w:rsidRPr="00914618">
        <w:t xml:space="preserve">and </w:t>
      </w:r>
      <w:r>
        <w:t xml:space="preserve">to assist with </w:t>
      </w:r>
      <w:r w:rsidRPr="00914618">
        <w:t xml:space="preserve">items which “had to be fixed”. </w:t>
      </w:r>
      <w:r>
        <w:t xml:space="preserve"> </w:t>
      </w:r>
      <w:r w:rsidRPr="00914618">
        <w:t xml:space="preserve">The </w:t>
      </w:r>
      <w:r>
        <w:t>firm was</w:t>
      </w:r>
      <w:r w:rsidRPr="00914618">
        <w:t xml:space="preserve"> re-engaged under the contract for the cutover and warranty</w:t>
      </w:r>
      <w:r>
        <w:t xml:space="preserve"> </w:t>
      </w:r>
      <w:r w:rsidRPr="00914618">
        <w:t>periods.</w:t>
      </w:r>
    </w:p>
    <w:p w:rsidR="008E0255" w:rsidRPr="00914618" w:rsidRDefault="008E0255" w:rsidP="008E0255">
      <w:pPr>
        <w:pStyle w:val="AGRBulletText"/>
      </w:pPr>
      <w:r>
        <w:t>Staff allocated to the project</w:t>
      </w:r>
      <w:r w:rsidRPr="00914618">
        <w:t xml:space="preserve"> increased</w:t>
      </w:r>
      <w:r>
        <w:t xml:space="preserve"> significantly</w:t>
      </w:r>
      <w:r w:rsidRPr="00914618">
        <w:t xml:space="preserve">, particularly around </w:t>
      </w:r>
      <w:r>
        <w:t xml:space="preserve">the project areas of </w:t>
      </w:r>
      <w:r w:rsidRPr="00914618">
        <w:t>business readiness, solution development and data</w:t>
      </w:r>
      <w:r>
        <w:t xml:space="preserve"> cleansing and migration</w:t>
      </w:r>
      <w:r w:rsidRPr="00914618">
        <w:t>.</w:t>
      </w:r>
    </w:p>
    <w:p w:rsidR="008E0255" w:rsidRDefault="008E0255" w:rsidP="008E0255">
      <w:pPr>
        <w:pStyle w:val="AGRBulletText"/>
      </w:pPr>
      <w:r w:rsidRPr="00914618">
        <w:t xml:space="preserve">A </w:t>
      </w:r>
      <w:r>
        <w:t>further</w:t>
      </w:r>
      <w:r w:rsidRPr="00914618">
        <w:t xml:space="preserve"> two rounds of business user testing and end-to-end process testing were performed to validate the modified solution.</w:t>
      </w:r>
    </w:p>
    <w:p w:rsidR="00A26052" w:rsidRPr="00EC6C4E" w:rsidRDefault="00A26052" w:rsidP="002F4F0B">
      <w:pPr>
        <w:pStyle w:val="AGRBodyText"/>
      </w:pPr>
      <w:r w:rsidRPr="00EC6C4E">
        <w:t xml:space="preserve">Once the extent of </w:t>
      </w:r>
      <w:r>
        <w:t xml:space="preserve">business </w:t>
      </w:r>
      <w:r w:rsidRPr="00EC6C4E">
        <w:t xml:space="preserve">requirements and </w:t>
      </w:r>
      <w:r>
        <w:t xml:space="preserve">required </w:t>
      </w:r>
      <w:r w:rsidRPr="00EC6C4E">
        <w:t>change</w:t>
      </w:r>
      <w:r>
        <w:t>s to the system</w:t>
      </w:r>
      <w:r w:rsidRPr="00EC6C4E">
        <w:t xml:space="preserve"> were determined, Board approval was obtained for an increased budget</w:t>
      </w:r>
      <w:r>
        <w:t xml:space="preserve"> of</w:t>
      </w:r>
      <w:r w:rsidRPr="00EC6C4E">
        <w:t xml:space="preserve"> $53.58 million in March</w:t>
      </w:r>
      <w:r>
        <w:t xml:space="preserve"> 2012</w:t>
      </w:r>
      <w:r w:rsidRPr="00EC6C4E">
        <w:t xml:space="preserve">. </w:t>
      </w:r>
      <w:r>
        <w:t xml:space="preserve"> </w:t>
      </w:r>
      <w:r w:rsidRPr="00EC6C4E">
        <w:t>This was subsequently increased to a final approved budget of $57.81 million in July 2012 to support the resources needed to finalise the project.</w:t>
      </w:r>
    </w:p>
    <w:p w:rsidR="00641FA9" w:rsidRDefault="00641FA9" w:rsidP="002F4F0B">
      <w:pPr>
        <w:pStyle w:val="AGRBodyText"/>
      </w:pPr>
      <w:r w:rsidRPr="00EC6C4E">
        <w:t xml:space="preserve">The </w:t>
      </w:r>
      <w:r w:rsidR="00EC6263">
        <w:t>system</w:t>
      </w:r>
      <w:r w:rsidRPr="00EC6C4E">
        <w:t xml:space="preserve"> </w:t>
      </w:r>
      <w:r w:rsidR="00D25613">
        <w:t>became operational</w:t>
      </w:r>
      <w:r w:rsidRPr="00EC6C4E">
        <w:t xml:space="preserve"> from 8th August </w:t>
      </w:r>
      <w:r w:rsidR="00D25613">
        <w:t xml:space="preserve">2012 </w:t>
      </w:r>
      <w:r w:rsidRPr="00EC6C4E">
        <w:t xml:space="preserve">and </w:t>
      </w:r>
      <w:r w:rsidR="00D25613">
        <w:t>“</w:t>
      </w:r>
      <w:r w:rsidRPr="00EC6C4E">
        <w:t>went live</w:t>
      </w:r>
      <w:r w:rsidR="00D25613">
        <w:t>”</w:t>
      </w:r>
      <w:r w:rsidRPr="00EC6C4E">
        <w:t xml:space="preserve"> on 21st August 2012, approximately 6 years after the initial business case was approved and 4 years after the revised project approach was approved. </w:t>
      </w:r>
      <w:r w:rsidR="008E090B">
        <w:t xml:space="preserve"> </w:t>
      </w:r>
      <w:r w:rsidRPr="00EC6C4E">
        <w:t xml:space="preserve">The final cost of the project was </w:t>
      </w:r>
      <w:r w:rsidR="00842953">
        <w:t>more than three times</w:t>
      </w:r>
      <w:r w:rsidRPr="00EC6C4E">
        <w:t xml:space="preserve"> the </w:t>
      </w:r>
      <w:r w:rsidR="00D25613">
        <w:t xml:space="preserve">initial </w:t>
      </w:r>
      <w:r w:rsidRPr="00EC6C4E">
        <w:t>budget</w:t>
      </w:r>
      <w:r w:rsidR="003579FB">
        <w:t xml:space="preserve"> that was approved by the Board</w:t>
      </w:r>
      <w:r w:rsidR="00EB70C9" w:rsidRPr="00EB70C9">
        <w:t xml:space="preserve"> that was approved by the Board.  However, I noted that the scope of the project had expanded substantially since 2006 when approval was given to proceed with the implementation</w:t>
      </w:r>
      <w:r w:rsidR="00EB70C9">
        <w:t xml:space="preserve"> of an “off the shelf" solution</w:t>
      </w:r>
      <w:r w:rsidR="00D25613">
        <w:t>.</w:t>
      </w:r>
    </w:p>
    <w:p w:rsidR="00A26052" w:rsidRDefault="00A26052" w:rsidP="002F4F0B">
      <w:pPr>
        <w:pStyle w:val="AGRBodyText"/>
      </w:pPr>
      <w:r w:rsidRPr="00EC6C4E">
        <w:t>It was noted</w:t>
      </w:r>
      <w:r>
        <w:t xml:space="preserve"> during the audit </w:t>
      </w:r>
      <w:r w:rsidRPr="00EC6C4E">
        <w:t>that</w:t>
      </w:r>
      <w:r>
        <w:t xml:space="preserve">, </w:t>
      </w:r>
      <w:r w:rsidRPr="00EC6C4E">
        <w:t xml:space="preserve">during </w:t>
      </w:r>
      <w:r>
        <w:t xml:space="preserve">the period </w:t>
      </w:r>
      <w:r w:rsidRPr="00EC6C4E">
        <w:t xml:space="preserve">2008 </w:t>
      </w:r>
      <w:r>
        <w:t>to</w:t>
      </w:r>
      <w:r w:rsidRPr="00EC6C4E">
        <w:t xml:space="preserve"> 2010, the Corporation was </w:t>
      </w:r>
      <w:r>
        <w:t>faced</w:t>
      </w:r>
      <w:r w:rsidRPr="00EC6C4E">
        <w:t xml:space="preserve"> with a major capital program </w:t>
      </w:r>
      <w:r>
        <w:t xml:space="preserve">intended </w:t>
      </w:r>
      <w:r w:rsidRPr="00EC6C4E">
        <w:t xml:space="preserve">to upgrade, replace or relocate a number of major assets in response to </w:t>
      </w:r>
      <w:r>
        <w:t>significant</w:t>
      </w:r>
      <w:r w:rsidRPr="00EC6C4E">
        <w:t xml:space="preserve"> service </w:t>
      </w:r>
      <w:r>
        <w:t>failures.</w:t>
      </w:r>
      <w:r w:rsidRPr="00EC6C4E">
        <w:t xml:space="preserve"> </w:t>
      </w:r>
      <w:r>
        <w:t xml:space="preserve"> </w:t>
      </w:r>
      <w:r w:rsidRPr="00EC6C4E">
        <w:t xml:space="preserve">These priorities conflicted with the </w:t>
      </w:r>
      <w:r>
        <w:t>asset management system</w:t>
      </w:r>
      <w:r w:rsidRPr="00EC6C4E">
        <w:t xml:space="preserve"> project during those years and </w:t>
      </w:r>
      <w:r>
        <w:t>reduced</w:t>
      </w:r>
      <w:r w:rsidRPr="00EC6C4E">
        <w:t xml:space="preserve"> the Corporation’s capacity </w:t>
      </w:r>
      <w:r>
        <w:t>to</w:t>
      </w:r>
      <w:r w:rsidR="008E22A4">
        <w:t xml:space="preserve"> provide</w:t>
      </w:r>
      <w:r w:rsidRPr="00EC6C4E">
        <w:t xml:space="preserve"> internal business resources to the project.</w:t>
      </w:r>
    </w:p>
    <w:p w:rsidR="00A26052" w:rsidRPr="00EC6C4E" w:rsidRDefault="00A26052" w:rsidP="00A26052">
      <w:pPr>
        <w:pStyle w:val="AGRHeading4"/>
      </w:pPr>
      <w:r w:rsidRPr="00EC6C4E">
        <w:t xml:space="preserve">Status of the </w:t>
      </w:r>
      <w:r>
        <w:t>System At The Time Of The Audit</w:t>
      </w:r>
    </w:p>
    <w:p w:rsidR="00A26052" w:rsidRPr="00EC6C4E" w:rsidRDefault="00EC6263" w:rsidP="002F4F0B">
      <w:pPr>
        <w:pStyle w:val="AGRBodyText"/>
      </w:pPr>
      <w:r>
        <w:t xml:space="preserve">As noted above, </w:t>
      </w:r>
      <w:r w:rsidR="00716F71">
        <w:t>t</w:t>
      </w:r>
      <w:r w:rsidR="00A26052" w:rsidRPr="00EC6C4E">
        <w:t xml:space="preserve">he system went live in August 2012 with 570 defects (29 major), including 164 items that </w:t>
      </w:r>
      <w:r>
        <w:t>had been</w:t>
      </w:r>
      <w:r w:rsidR="00A26052" w:rsidRPr="00EC6C4E">
        <w:t xml:space="preserve"> fixed and </w:t>
      </w:r>
      <w:r>
        <w:t xml:space="preserve">were </w:t>
      </w:r>
      <w:r w:rsidR="00A26052" w:rsidRPr="00EC6C4E">
        <w:t xml:space="preserve">awaiting testing. </w:t>
      </w:r>
      <w:r w:rsidR="00A26052">
        <w:t xml:space="preserve"> </w:t>
      </w:r>
      <w:r w:rsidR="0062545D">
        <w:t>“</w:t>
      </w:r>
      <w:r w:rsidR="00A26052" w:rsidRPr="00EC6C4E">
        <w:t>Work-around</w:t>
      </w:r>
      <w:r w:rsidR="0062545D">
        <w:t>”</w:t>
      </w:r>
      <w:r w:rsidR="00A26052" w:rsidRPr="00EC6C4E">
        <w:t xml:space="preserve"> strategies </w:t>
      </w:r>
      <w:r w:rsidRPr="00D6386A">
        <w:t xml:space="preserve">had </w:t>
      </w:r>
      <w:r w:rsidR="00D6386A" w:rsidRPr="00D6386A">
        <w:t xml:space="preserve">been </w:t>
      </w:r>
      <w:r w:rsidRPr="00D6386A">
        <w:t>defined</w:t>
      </w:r>
      <w:r w:rsidR="00A26052" w:rsidRPr="00D6386A">
        <w:t xml:space="preserve"> for the major issues, which supported the decision to </w:t>
      </w:r>
      <w:r w:rsidR="00255C81" w:rsidRPr="00D6386A">
        <w:t>“</w:t>
      </w:r>
      <w:r w:rsidR="00A26052" w:rsidRPr="00D6386A">
        <w:t>go</w:t>
      </w:r>
      <w:r w:rsidR="00255C81" w:rsidRPr="00D6386A">
        <w:t>-</w:t>
      </w:r>
      <w:r w:rsidR="00A26052" w:rsidRPr="00D6386A">
        <w:t>live</w:t>
      </w:r>
      <w:r w:rsidR="00255C81" w:rsidRPr="00D6386A">
        <w:t>”</w:t>
      </w:r>
      <w:r w:rsidR="00A26052" w:rsidRPr="00D6386A">
        <w:t xml:space="preserve"> with the </w:t>
      </w:r>
      <w:r w:rsidRPr="00D6386A">
        <w:t>system</w:t>
      </w:r>
      <w:r w:rsidR="00A26052" w:rsidRPr="00D6386A">
        <w:t>.</w:t>
      </w:r>
      <w:r w:rsidR="00A26052" w:rsidRPr="00EC6C4E">
        <w:t xml:space="preserve"> </w:t>
      </w:r>
    </w:p>
    <w:p w:rsidR="00797552" w:rsidRPr="00732782" w:rsidRDefault="00797552" w:rsidP="00797552">
      <w:pPr>
        <w:pStyle w:val="AGRHeading1"/>
      </w:pPr>
      <w:r w:rsidRPr="00134C8F">
        <w:t>Power and Water Corporation</w:t>
      </w:r>
      <w:r>
        <w:t xml:space="preserve"> cont…</w:t>
      </w:r>
    </w:p>
    <w:p w:rsidR="008E0255" w:rsidRPr="00EC6C4E" w:rsidRDefault="008E0255" w:rsidP="008E0255">
      <w:pPr>
        <w:pStyle w:val="AGRBodyText"/>
      </w:pPr>
      <w:r>
        <w:t>At the time of the audit</w:t>
      </w:r>
      <w:r w:rsidRPr="00EC6C4E">
        <w:t>, 533 open items exist</w:t>
      </w:r>
      <w:r>
        <w:t>ed</w:t>
      </w:r>
      <w:r w:rsidRPr="00EC6C4E">
        <w:t xml:space="preserve"> within the </w:t>
      </w:r>
      <w:r>
        <w:t>issues register</w:t>
      </w:r>
      <w:r w:rsidRPr="00EC6C4E">
        <w:t xml:space="preserve">, </w:t>
      </w:r>
      <w:r>
        <w:t xml:space="preserve">with the items in question </w:t>
      </w:r>
      <w:r w:rsidRPr="00EC6C4E">
        <w:t>including both defects and change requests</w:t>
      </w:r>
      <w:r>
        <w:t xml:space="preserve"> initiated by users</w:t>
      </w:r>
      <w:r w:rsidRPr="00EC6C4E">
        <w:t xml:space="preserve">.  </w:t>
      </w:r>
      <w:r>
        <w:t>Of that number, 162 were classified as high priority and r</w:t>
      </w:r>
      <w:r w:rsidRPr="00EC6C4E">
        <w:t>emediation strategies ha</w:t>
      </w:r>
      <w:r>
        <w:t>d</w:t>
      </w:r>
      <w:r w:rsidRPr="00EC6C4E">
        <w:t xml:space="preserve"> been defined </w:t>
      </w:r>
      <w:r>
        <w:t>and were being implemented</w:t>
      </w:r>
      <w:r w:rsidRPr="00EC6C4E">
        <w:t>.</w:t>
      </w:r>
    </w:p>
    <w:p w:rsidR="000805E1" w:rsidRDefault="000805E1" w:rsidP="000805E1">
      <w:pPr>
        <w:pStyle w:val="AGRBodyText"/>
      </w:pPr>
      <w:r w:rsidRPr="00EC6C4E">
        <w:t xml:space="preserve">In order to ensure that maximum benefit </w:t>
      </w:r>
      <w:r>
        <w:t xml:space="preserve">will be </w:t>
      </w:r>
      <w:r w:rsidRPr="00EC6C4E">
        <w:t xml:space="preserve">achieved from </w:t>
      </w:r>
      <w:r>
        <w:t xml:space="preserve">the new, </w:t>
      </w:r>
      <w:r w:rsidRPr="00EC6C4E">
        <w:t xml:space="preserve">integrated solution, </w:t>
      </w:r>
      <w:r>
        <w:t xml:space="preserve">the Corporation had </w:t>
      </w:r>
      <w:r w:rsidRPr="00EC6C4E">
        <w:t xml:space="preserve">scheduled end-to-end reviews </w:t>
      </w:r>
      <w:r>
        <w:t xml:space="preserve">of the system </w:t>
      </w:r>
      <w:r w:rsidRPr="00EC6C4E">
        <w:t xml:space="preserve">across key areas of the </w:t>
      </w:r>
      <w:r>
        <w:t>Corporation</w:t>
      </w:r>
      <w:r w:rsidRPr="00EC6C4E">
        <w:t xml:space="preserve"> to identify opportunities</w:t>
      </w:r>
      <w:r>
        <w:t xml:space="preserve"> for</w:t>
      </w:r>
      <w:r w:rsidRPr="00EC6C4E">
        <w:t xml:space="preserve"> further processes</w:t>
      </w:r>
      <w:r>
        <w:t xml:space="preserve"> improvement</w:t>
      </w:r>
      <w:r w:rsidRPr="00EC6C4E">
        <w:t>, user understanding</w:t>
      </w:r>
      <w:r>
        <w:t>,</w:t>
      </w:r>
      <w:r w:rsidRPr="00EC6C4E">
        <w:t xml:space="preserve"> data quality and system functionality, with a view to making significant efficiency improvements, </w:t>
      </w:r>
      <w:r>
        <w:t xml:space="preserve">to </w:t>
      </w:r>
      <w:r w:rsidRPr="00EC6C4E">
        <w:t xml:space="preserve">increase utilisation of the system and </w:t>
      </w:r>
      <w:r>
        <w:t xml:space="preserve">to </w:t>
      </w:r>
      <w:r w:rsidRPr="00EC6C4E">
        <w:t xml:space="preserve">strengthen control effectiveness. </w:t>
      </w:r>
      <w:r>
        <w:t xml:space="preserve"> </w:t>
      </w:r>
      <w:r w:rsidRPr="00EC6C4E">
        <w:t xml:space="preserve">The first of these reviews was undertaken for Procure-to-Pay processes in January 2013. </w:t>
      </w:r>
      <w:r>
        <w:t xml:space="preserve"> </w:t>
      </w:r>
      <w:r w:rsidRPr="00EC6C4E">
        <w:t>Other processes</w:t>
      </w:r>
      <w:r w:rsidRPr="00045B75">
        <w:t xml:space="preserve"> </w:t>
      </w:r>
      <w:r w:rsidRPr="00EC6C4E">
        <w:t xml:space="preserve">such as Inventory and Stores, and Faults and Outages </w:t>
      </w:r>
      <w:r>
        <w:t>were to be reviewed throughout 2013.</w:t>
      </w:r>
    </w:p>
    <w:p w:rsidR="00A26052" w:rsidRDefault="00A26052" w:rsidP="00A26052">
      <w:pPr>
        <w:pStyle w:val="AGRHeading3"/>
      </w:pPr>
      <w:r>
        <w:t>Key Findings</w:t>
      </w:r>
    </w:p>
    <w:p w:rsidR="00A26052" w:rsidRPr="00EC6C4E" w:rsidRDefault="00A26052" w:rsidP="00A26052">
      <w:pPr>
        <w:pStyle w:val="AGRHeading4"/>
      </w:pPr>
      <w:r w:rsidRPr="00EC6C4E">
        <w:t>Project Governance and Control</w:t>
      </w:r>
    </w:p>
    <w:p w:rsidR="00A26052" w:rsidRPr="00EC6C4E" w:rsidRDefault="00A26052" w:rsidP="002F4F0B">
      <w:pPr>
        <w:pStyle w:val="AGRBodyText"/>
      </w:pPr>
      <w:r w:rsidRPr="00EC6C4E">
        <w:t xml:space="preserve">From 2008 until January 2012, the project governance structure included a formally established Reference Group, </w:t>
      </w:r>
      <w:r>
        <w:t xml:space="preserve">a </w:t>
      </w:r>
      <w:r w:rsidRPr="00EC6C4E">
        <w:t xml:space="preserve">Steering Committee and </w:t>
      </w:r>
      <w:r>
        <w:t xml:space="preserve">an </w:t>
      </w:r>
      <w:r w:rsidRPr="00EC6C4E">
        <w:t xml:space="preserve">Executive Management Committee. </w:t>
      </w:r>
      <w:r>
        <w:t xml:space="preserve"> </w:t>
      </w:r>
      <w:r w:rsidRPr="00EC6C4E">
        <w:t xml:space="preserve">The Steering Committee consisted of up to 18 people, including the Managing Director, Chief Financial Officer, Chief Information Officer, Legal Counsel and all General Managers. </w:t>
      </w:r>
      <w:r>
        <w:t xml:space="preserve"> Each of these </w:t>
      </w:r>
      <w:r w:rsidRPr="00EC6C4E">
        <w:t>groups met at regular intervals and operated aga</w:t>
      </w:r>
      <w:r w:rsidR="003C1CE8">
        <w:t>inst defined terms of reference</w:t>
      </w:r>
      <w:r w:rsidRPr="00EC6C4E">
        <w:t>.</w:t>
      </w:r>
    </w:p>
    <w:p w:rsidR="00641FA9" w:rsidRPr="00EC6C4E" w:rsidRDefault="00641FA9" w:rsidP="002F4F0B">
      <w:pPr>
        <w:pStyle w:val="AGRBodyText"/>
      </w:pPr>
      <w:r w:rsidRPr="00EC6C4E">
        <w:t xml:space="preserve">In response to the challenges experienced </w:t>
      </w:r>
      <w:r w:rsidR="00045B75">
        <w:t>with</w:t>
      </w:r>
      <w:r w:rsidRPr="00EC6C4E">
        <w:t xml:space="preserve"> the project in late 2011, a new </w:t>
      </w:r>
      <w:r w:rsidR="00045B75">
        <w:t>p</w:t>
      </w:r>
      <w:r w:rsidRPr="00EC6C4E">
        <w:t xml:space="preserve">roject </w:t>
      </w:r>
      <w:r w:rsidR="00045B75">
        <w:t>m</w:t>
      </w:r>
      <w:r w:rsidRPr="00EC6C4E">
        <w:t xml:space="preserve">anager </w:t>
      </w:r>
      <w:r w:rsidR="00EC6263">
        <w:t xml:space="preserve">was appointed </w:t>
      </w:r>
      <w:r w:rsidR="00620E61">
        <w:t>and one</w:t>
      </w:r>
      <w:r w:rsidR="00EC6263">
        <w:t xml:space="preserve"> of the Corporation’s </w:t>
      </w:r>
      <w:r w:rsidRPr="00EC6C4E">
        <w:t>General Manager</w:t>
      </w:r>
      <w:r w:rsidR="00EC6263">
        <w:t>s</w:t>
      </w:r>
      <w:r w:rsidRPr="00EC6C4E">
        <w:t xml:space="preserve"> </w:t>
      </w:r>
      <w:r w:rsidR="00EC6263">
        <w:t>was</w:t>
      </w:r>
      <w:r w:rsidRPr="00EC6C4E">
        <w:t xml:space="preserve"> appointed </w:t>
      </w:r>
      <w:r w:rsidR="00620E61" w:rsidRPr="00EC6C4E">
        <w:t>to</w:t>
      </w:r>
      <w:r w:rsidRPr="00EC6C4E">
        <w:t xml:space="preserve"> </w:t>
      </w:r>
      <w:r w:rsidR="00EC6263">
        <w:t>ensure that the project remained</w:t>
      </w:r>
      <w:r w:rsidR="00FD50BF">
        <w:t xml:space="preserve"> focused on the objectives set initially</w:t>
      </w:r>
      <w:r w:rsidRPr="00EC6C4E">
        <w:t xml:space="preserve">. </w:t>
      </w:r>
      <w:r w:rsidR="008E090B">
        <w:t xml:space="preserve"> </w:t>
      </w:r>
      <w:r w:rsidR="00FD50BF">
        <w:t>T</w:t>
      </w:r>
      <w:r w:rsidRPr="00EC6C4E">
        <w:t xml:space="preserve">he </w:t>
      </w:r>
      <w:r w:rsidR="00045B75">
        <w:t>g</w:t>
      </w:r>
      <w:r w:rsidRPr="00EC6C4E">
        <w:t xml:space="preserve">overnance </w:t>
      </w:r>
      <w:r w:rsidR="00045B75">
        <w:t>s</w:t>
      </w:r>
      <w:r w:rsidRPr="00EC6C4E">
        <w:t xml:space="preserve">tructure was rationalised </w:t>
      </w:r>
      <w:r w:rsidR="00FD50BF" w:rsidRPr="00EC6C4E">
        <w:t xml:space="preserve">significantly </w:t>
      </w:r>
      <w:r w:rsidRPr="00EC6C4E">
        <w:t>and refocused to include the General Management Team (in place of the Steering Committee and Reference Group) and the Executive Management Team.</w:t>
      </w:r>
    </w:p>
    <w:p w:rsidR="00641FA9" w:rsidRPr="00EC6C4E" w:rsidRDefault="00641FA9" w:rsidP="002F4F0B">
      <w:pPr>
        <w:pStyle w:val="AGRBodyText"/>
      </w:pPr>
      <w:r w:rsidRPr="00EC6C4E">
        <w:t>The following key observations were made</w:t>
      </w:r>
      <w:r w:rsidR="00FD50BF">
        <w:t xml:space="preserve"> during the course of the audit</w:t>
      </w:r>
      <w:r w:rsidRPr="00EC6C4E">
        <w:t>:</w:t>
      </w:r>
    </w:p>
    <w:p w:rsidR="00641FA9" w:rsidRPr="00EC6C4E" w:rsidRDefault="00641FA9" w:rsidP="002F4F0B">
      <w:pPr>
        <w:pStyle w:val="AGRBulletText"/>
      </w:pPr>
      <w:r w:rsidRPr="00EC6C4E">
        <w:t xml:space="preserve">Prior to 2012, Steering Committee progress reports did not present information clearly </w:t>
      </w:r>
      <w:r w:rsidR="00045B75">
        <w:t>to enable</w:t>
      </w:r>
      <w:r w:rsidRPr="00EC6C4E">
        <w:t xml:space="preserve"> effective monitoring of actual progress against planned progress, and forecast effort to complete against planned effort to complete. </w:t>
      </w:r>
      <w:r w:rsidR="008E090B">
        <w:t xml:space="preserve"> </w:t>
      </w:r>
      <w:r w:rsidRPr="00EC6C4E">
        <w:t xml:space="preserve">It was therefore difficult for recipients of the reports to identify the potential impact of project slippages, changes in scope and expanded activities. </w:t>
      </w:r>
      <w:r w:rsidR="008E090B">
        <w:t xml:space="preserve"> </w:t>
      </w:r>
      <w:r w:rsidRPr="00EC6C4E">
        <w:t>The status reports were</w:t>
      </w:r>
      <w:r w:rsidR="00000015">
        <w:t xml:space="preserve"> </w:t>
      </w:r>
      <w:r w:rsidRPr="00EC6C4E">
        <w:t xml:space="preserve">often only </w:t>
      </w:r>
      <w:r w:rsidR="00000015">
        <w:t>seen</w:t>
      </w:r>
      <w:r w:rsidRPr="00EC6C4E">
        <w:t xml:space="preserve"> as containing tasks completed </w:t>
      </w:r>
      <w:r w:rsidR="00000015">
        <w:t xml:space="preserve">in a particular </w:t>
      </w:r>
      <w:r w:rsidRPr="00EC6C4E">
        <w:t xml:space="preserve">month, items planned for </w:t>
      </w:r>
      <w:r w:rsidR="00000015">
        <w:t xml:space="preserve">the following </w:t>
      </w:r>
      <w:r w:rsidRPr="00EC6C4E">
        <w:t>month and issues arising.</w:t>
      </w:r>
    </w:p>
    <w:p w:rsidR="00797552" w:rsidRPr="00732782" w:rsidRDefault="00797552" w:rsidP="00797552">
      <w:pPr>
        <w:pStyle w:val="AGRHeading1"/>
      </w:pPr>
      <w:r w:rsidRPr="00134C8F">
        <w:t>Power and Water Corporation</w:t>
      </w:r>
      <w:r>
        <w:t xml:space="preserve"> cont…</w:t>
      </w:r>
    </w:p>
    <w:p w:rsidR="008E0255" w:rsidRPr="00EC6C4E" w:rsidRDefault="008E0255" w:rsidP="008E0255">
      <w:pPr>
        <w:pStyle w:val="AGRBulletText"/>
      </w:pPr>
      <w:r w:rsidRPr="00EC6C4E">
        <w:t xml:space="preserve">Although the Steering Committee included strong representation from </w:t>
      </w:r>
      <w:r>
        <w:t>across the Corporation</w:t>
      </w:r>
      <w:r w:rsidRPr="00EC6C4E">
        <w:t xml:space="preserve">, it was noted that a number of challenges occurred which </w:t>
      </w:r>
      <w:r>
        <w:t>can be traced</w:t>
      </w:r>
      <w:r w:rsidRPr="00EC6C4E">
        <w:t xml:space="preserve"> to the level of early input</w:t>
      </w:r>
      <w:r>
        <w:t xml:space="preserve"> by business units</w:t>
      </w:r>
      <w:r w:rsidRPr="00EC6C4E">
        <w:t xml:space="preserve"> into the business requirements analysis, data requirements and provision of subject matter expertise throughout the life of the project.</w:t>
      </w:r>
    </w:p>
    <w:p w:rsidR="000805E1" w:rsidRPr="00EC6C4E" w:rsidRDefault="000805E1" w:rsidP="000805E1">
      <w:pPr>
        <w:pStyle w:val="AGRBulletText"/>
      </w:pPr>
      <w:r w:rsidRPr="00EC6C4E">
        <w:t xml:space="preserve">Although there was increasing scrutiny of the project in the second half of 2011, there appeared to be limited debate and </w:t>
      </w:r>
      <w:r>
        <w:t>analysis</w:t>
      </w:r>
      <w:r w:rsidRPr="00EC6C4E">
        <w:t xml:space="preserve"> within the Steering Committee regarding project progress, feasibility of planning and level of resourcing prior to this period.</w:t>
      </w:r>
    </w:p>
    <w:p w:rsidR="00641FA9" w:rsidRPr="00EC6C4E" w:rsidRDefault="00641FA9" w:rsidP="00641FA9">
      <w:pPr>
        <w:pStyle w:val="AGRHeading4"/>
      </w:pPr>
      <w:r w:rsidRPr="00EC6C4E">
        <w:t>Project Planning</w:t>
      </w:r>
    </w:p>
    <w:p w:rsidR="00641FA9" w:rsidRPr="00EC6C4E" w:rsidRDefault="00641FA9" w:rsidP="002F4F0B">
      <w:pPr>
        <w:pStyle w:val="AGRBodyText"/>
      </w:pPr>
      <w:r w:rsidRPr="00EC6C4E">
        <w:t xml:space="preserve">Project definition documents were prepared for the project, including project charter, project implementation plans, project execution plans, resourcing plans and plans for each stream of the project. </w:t>
      </w:r>
      <w:r w:rsidR="008E090B">
        <w:t xml:space="preserve"> </w:t>
      </w:r>
      <w:r w:rsidRPr="00EC6C4E">
        <w:t xml:space="preserve">The following key observations were made relating to project planning prior to </w:t>
      </w:r>
      <w:r w:rsidR="00781DBF">
        <w:t>u</w:t>
      </w:r>
      <w:r w:rsidRPr="00EC6C4E">
        <w:t xml:space="preserve">ser </w:t>
      </w:r>
      <w:r w:rsidR="00781DBF">
        <w:t>a</w:t>
      </w:r>
      <w:r w:rsidRPr="00EC6C4E">
        <w:t xml:space="preserve">cceptance </w:t>
      </w:r>
      <w:r w:rsidR="00781DBF">
        <w:t>t</w:t>
      </w:r>
      <w:r w:rsidRPr="00EC6C4E">
        <w:t>esting:</w:t>
      </w:r>
    </w:p>
    <w:p w:rsidR="00641FA9" w:rsidRDefault="00641FA9" w:rsidP="002F4F0B">
      <w:pPr>
        <w:pStyle w:val="AGRBulletText"/>
      </w:pPr>
      <w:r w:rsidRPr="00EC6C4E">
        <w:t xml:space="preserve">A number of instances were noted where project plans did not reflect realistic elapsed timeframes, effort required and appropriate alignment of </w:t>
      </w:r>
      <w:r w:rsidR="00FD50BF">
        <w:t>tasks where inter-dependencies between various project tasks existed</w:t>
      </w:r>
      <w:r w:rsidRPr="00EC6C4E">
        <w:t xml:space="preserve">. </w:t>
      </w:r>
      <w:r w:rsidR="008E090B">
        <w:t xml:space="preserve"> </w:t>
      </w:r>
      <w:r w:rsidRPr="00EC6C4E">
        <w:t xml:space="preserve">This suggests that insufficient detailed analysis of required activities </w:t>
      </w:r>
      <w:r w:rsidR="00FD50BF">
        <w:t>may have been</w:t>
      </w:r>
      <w:r w:rsidRPr="00EC6C4E">
        <w:t xml:space="preserve"> performed. </w:t>
      </w:r>
    </w:p>
    <w:p w:rsidR="00641FA9" w:rsidRPr="00EC6C4E" w:rsidRDefault="00641FA9" w:rsidP="002F4F0B">
      <w:pPr>
        <w:pStyle w:val="AGRBulletText"/>
      </w:pPr>
      <w:r w:rsidRPr="00EC6C4E">
        <w:t xml:space="preserve">A project plan was prepared, </w:t>
      </w:r>
      <w:r w:rsidR="00781DBF">
        <w:t>but</w:t>
      </w:r>
      <w:r w:rsidRPr="00EC6C4E">
        <w:t xml:space="preserve"> it was not maintained </w:t>
      </w:r>
      <w:r w:rsidR="00781DBF" w:rsidRPr="00EC6C4E">
        <w:t xml:space="preserve">consistently </w:t>
      </w:r>
      <w:r w:rsidRPr="00EC6C4E">
        <w:t>and</w:t>
      </w:r>
      <w:r w:rsidR="00781DBF">
        <w:t>,</w:t>
      </w:r>
      <w:r w:rsidRPr="00EC6C4E">
        <w:t xml:space="preserve"> prior to the </w:t>
      </w:r>
      <w:r w:rsidR="00781DBF">
        <w:t>revised</w:t>
      </w:r>
      <w:r w:rsidRPr="00EC6C4E">
        <w:t xml:space="preserve"> project plan late in 2011, </w:t>
      </w:r>
      <w:r w:rsidR="00781DBF">
        <w:t xml:space="preserve">it </w:t>
      </w:r>
      <w:r w:rsidRPr="00EC6C4E">
        <w:t>did not provide adequate</w:t>
      </w:r>
      <w:r w:rsidR="00FD50BF">
        <w:t>,</w:t>
      </w:r>
      <w:r w:rsidRPr="00EC6C4E">
        <w:t xml:space="preserve"> integrated details of dependencies, effort, resources, and timelines for detailed tasks on the project.</w:t>
      </w:r>
      <w:r w:rsidR="008E090B">
        <w:t xml:space="preserve"> </w:t>
      </w:r>
      <w:r w:rsidRPr="00EC6C4E">
        <w:t xml:space="preserve"> This created significant limitations in </w:t>
      </w:r>
      <w:r w:rsidR="00781DBF">
        <w:t xml:space="preserve">the </w:t>
      </w:r>
      <w:r w:rsidRPr="00EC6C4E">
        <w:t>ability to easily track and update the impact of scope changes and project delays on project timelines, resource requirements and dependencies.</w:t>
      </w:r>
    </w:p>
    <w:p w:rsidR="00641FA9" w:rsidRPr="00EC6C4E" w:rsidRDefault="00641FA9" w:rsidP="00641FA9">
      <w:pPr>
        <w:pStyle w:val="AGRHeading4"/>
      </w:pPr>
      <w:r w:rsidRPr="00EC6C4E">
        <w:t>Risk Management</w:t>
      </w:r>
    </w:p>
    <w:p w:rsidR="00641FA9" w:rsidRPr="00EC6C4E" w:rsidRDefault="00641FA9" w:rsidP="002F4F0B">
      <w:pPr>
        <w:pStyle w:val="AGRBodyText"/>
      </w:pPr>
      <w:r w:rsidRPr="00EC6C4E">
        <w:t xml:space="preserve">Project risk management processes included preparation, maintenance and reporting of a project risk register. </w:t>
      </w:r>
      <w:r w:rsidR="008E090B">
        <w:t xml:space="preserve"> </w:t>
      </w:r>
      <w:r w:rsidRPr="00EC6C4E">
        <w:t xml:space="preserve">It was noted that the risk register did include risks in early 2011 relating to quality of user requirements, ongoing changes to functional requirements, data cleansing and extent of business involvement. </w:t>
      </w:r>
      <w:r w:rsidR="008E090B">
        <w:t xml:space="preserve"> </w:t>
      </w:r>
      <w:r w:rsidRPr="00EC6C4E">
        <w:t xml:space="preserve">Although these risks </w:t>
      </w:r>
      <w:r w:rsidR="00781DBF">
        <w:t>had</w:t>
      </w:r>
      <w:r w:rsidRPr="00EC6C4E">
        <w:t xml:space="preserve"> defined control strategies, it appears that limited </w:t>
      </w:r>
      <w:r w:rsidR="00EE438B">
        <w:t xml:space="preserve">periodical </w:t>
      </w:r>
      <w:r w:rsidRPr="00EC6C4E">
        <w:t xml:space="preserve">analysis was undertaken to assess the extent to which the risks were actually eventuating and </w:t>
      </w:r>
      <w:r w:rsidR="00EE438B">
        <w:t>affecting</w:t>
      </w:r>
      <w:r w:rsidRPr="00EC6C4E">
        <w:t xml:space="preserve"> project outcomes.</w:t>
      </w:r>
    </w:p>
    <w:p w:rsidR="00797552" w:rsidRPr="00732782" w:rsidRDefault="00797552" w:rsidP="00797552">
      <w:pPr>
        <w:pStyle w:val="AGRHeading1"/>
      </w:pPr>
      <w:r w:rsidRPr="00134C8F">
        <w:t>Power and Water Corporation</w:t>
      </w:r>
      <w:r>
        <w:t xml:space="preserve"> cont…</w:t>
      </w:r>
    </w:p>
    <w:p w:rsidR="008E0255" w:rsidRPr="00EC6C4E" w:rsidRDefault="008E0255" w:rsidP="008E0255">
      <w:pPr>
        <w:pStyle w:val="AGRHeading4"/>
      </w:pPr>
      <w:r w:rsidRPr="00EC6C4E">
        <w:t>Quality Management</w:t>
      </w:r>
    </w:p>
    <w:p w:rsidR="008E0255" w:rsidRPr="00EC6C4E" w:rsidRDefault="008E0255" w:rsidP="008E0255">
      <w:pPr>
        <w:pStyle w:val="AGRBodyText"/>
      </w:pPr>
      <w:r w:rsidRPr="00EC6C4E">
        <w:t xml:space="preserve">Quality management processes were defined for the project and were largely outsourced to </w:t>
      </w:r>
      <w:r>
        <w:t>the consulting firm</w:t>
      </w:r>
      <w:r w:rsidRPr="00EC6C4E">
        <w:t xml:space="preserve">. This included quality reviews of key milestone deliverables and two project health quality reviews. </w:t>
      </w:r>
      <w:r>
        <w:t xml:space="preserve"> T</w:t>
      </w:r>
      <w:r w:rsidRPr="00EC6C4E">
        <w:t>he following observations</w:t>
      </w:r>
      <w:r>
        <w:t xml:space="preserve"> were made during the audit </w:t>
      </w:r>
      <w:r w:rsidRPr="00EC6C4E">
        <w:t>in relation to quality management processes:</w:t>
      </w:r>
    </w:p>
    <w:p w:rsidR="008E0255" w:rsidRPr="00EC6C4E" w:rsidRDefault="008E0255" w:rsidP="008E0255">
      <w:pPr>
        <w:pStyle w:val="AGRBulletText"/>
      </w:pPr>
      <w:r>
        <w:t>The consulting firm was</w:t>
      </w:r>
      <w:r w:rsidRPr="00EC6C4E">
        <w:t xml:space="preserve"> involved in both project delivery and quality assurance</w:t>
      </w:r>
      <w:r>
        <w:t>,</w:t>
      </w:r>
      <w:r w:rsidRPr="00EC6C4E">
        <w:t xml:space="preserve"> which</w:t>
      </w:r>
      <w:r>
        <w:t xml:space="preserve"> had the potential to </w:t>
      </w:r>
      <w:r w:rsidRPr="00EC6C4E">
        <w:t xml:space="preserve">create a conflict of interest. </w:t>
      </w:r>
    </w:p>
    <w:p w:rsidR="008E0255" w:rsidRPr="00EC6C4E" w:rsidRDefault="008E0255" w:rsidP="008E0255">
      <w:pPr>
        <w:pStyle w:val="AGRBulletText"/>
      </w:pPr>
      <w:r w:rsidRPr="00EC6C4E">
        <w:t xml:space="preserve">Project quality audits were undertaken on an ad hoc and relatively infrequent basis by either </w:t>
      </w:r>
      <w:r>
        <w:t xml:space="preserve">the consulting firm </w:t>
      </w:r>
      <w:r w:rsidRPr="00EC6C4E">
        <w:t>or</w:t>
      </w:r>
      <w:r>
        <w:t xml:space="preserve"> by</w:t>
      </w:r>
      <w:r w:rsidRPr="00EC6C4E">
        <w:t xml:space="preserve"> </w:t>
      </w:r>
      <w:r>
        <w:t xml:space="preserve">the Corporation’s </w:t>
      </w:r>
      <w:r w:rsidRPr="00EC6C4E">
        <w:t>internal audit</w:t>
      </w:r>
      <w:r>
        <w:t>ors</w:t>
      </w:r>
      <w:r w:rsidRPr="00EC6C4E">
        <w:t>.</w:t>
      </w:r>
    </w:p>
    <w:p w:rsidR="000805E1" w:rsidRDefault="000805E1" w:rsidP="000805E1">
      <w:pPr>
        <w:pStyle w:val="AGRBulletText"/>
      </w:pPr>
      <w:r w:rsidRPr="00EC6C4E">
        <w:t>Although project deliverables were being examined for compliance</w:t>
      </w:r>
      <w:r>
        <w:t xml:space="preserve"> with</w:t>
      </w:r>
      <w:r w:rsidRPr="00EC6C4E">
        <w:t xml:space="preserve"> the project </w:t>
      </w:r>
      <w:r>
        <w:t>requirements</w:t>
      </w:r>
      <w:r w:rsidRPr="00EC6C4E">
        <w:t xml:space="preserve">, the project would have benefited from additional validation of end-to-end business requirements at the beginning of the </w:t>
      </w:r>
      <w:r>
        <w:t>i</w:t>
      </w:r>
      <w:r w:rsidRPr="00EC6C4E">
        <w:t xml:space="preserve">mplementation phase, given the time </w:t>
      </w:r>
      <w:r>
        <w:t>that had elapsed</w:t>
      </w:r>
      <w:r w:rsidRPr="00EC6C4E">
        <w:t xml:space="preserve"> since the business requirements were initially specified.</w:t>
      </w:r>
    </w:p>
    <w:p w:rsidR="00641FA9" w:rsidRPr="00EC6C4E" w:rsidRDefault="00641FA9" w:rsidP="00641FA9">
      <w:pPr>
        <w:pStyle w:val="AGRHeading4"/>
      </w:pPr>
      <w:r w:rsidRPr="00EC6C4E">
        <w:t>Contractor Man</w:t>
      </w:r>
      <w:r w:rsidRPr="00EC6C4E">
        <w:rPr>
          <w:i w:val="0"/>
        </w:rPr>
        <w:t>a</w:t>
      </w:r>
      <w:r w:rsidRPr="00EC6C4E">
        <w:t>gement</w:t>
      </w:r>
    </w:p>
    <w:p w:rsidR="00641FA9" w:rsidRPr="00EC6C4E" w:rsidRDefault="00641FA9" w:rsidP="002F4F0B">
      <w:pPr>
        <w:pStyle w:val="AGRBodyText"/>
      </w:pPr>
      <w:r w:rsidRPr="00EC6C4E">
        <w:t xml:space="preserve">The major </w:t>
      </w:r>
      <w:r w:rsidR="004A0698">
        <w:t>principal</w:t>
      </w:r>
      <w:r w:rsidRPr="00EC6C4E">
        <w:t xml:space="preserve"> contractors relating to the project were </w:t>
      </w:r>
      <w:r w:rsidR="004A0698">
        <w:t>a large information technology firm</w:t>
      </w:r>
      <w:r w:rsidRPr="00EC6C4E">
        <w:t xml:space="preserve"> (approximately $25</w:t>
      </w:r>
      <w:r w:rsidR="00CB514B">
        <w:t> </w:t>
      </w:r>
      <w:r w:rsidRPr="00EC6C4E">
        <w:t>mill</w:t>
      </w:r>
      <w:r w:rsidR="00CB514B">
        <w:t xml:space="preserve">ion) and </w:t>
      </w:r>
      <w:r w:rsidR="004A0698">
        <w:t>a consulting firm</w:t>
      </w:r>
      <w:r w:rsidR="00CB514B">
        <w:t xml:space="preserve"> (approximately $6 </w:t>
      </w:r>
      <w:r w:rsidRPr="00EC6C4E">
        <w:t xml:space="preserve">million). </w:t>
      </w:r>
      <w:r w:rsidR="0050388B">
        <w:t xml:space="preserve"> </w:t>
      </w:r>
      <w:r w:rsidRPr="00EC6C4E">
        <w:t xml:space="preserve">Formal contract arrangements and statements of work were established with these service providers. </w:t>
      </w:r>
      <w:r w:rsidR="0050388B">
        <w:t xml:space="preserve"> </w:t>
      </w:r>
      <w:r w:rsidRPr="00EC6C4E">
        <w:t xml:space="preserve">Weekly meetings were held with </w:t>
      </w:r>
      <w:r w:rsidR="004A0698">
        <w:t>the prime contractor</w:t>
      </w:r>
      <w:r w:rsidRPr="00EC6C4E">
        <w:t xml:space="preserve"> regarding delivery of services and contractual requirements.</w:t>
      </w:r>
      <w:r w:rsidR="0050388B">
        <w:t xml:space="preserve"> </w:t>
      </w:r>
      <w:r w:rsidRPr="00EC6C4E">
        <w:t>Contract payments were linked to achievement of agreed milestones, deliverables and performance.</w:t>
      </w:r>
    </w:p>
    <w:p w:rsidR="00641FA9" w:rsidRPr="00EC6C4E" w:rsidRDefault="00641FA9" w:rsidP="002F4F0B">
      <w:pPr>
        <w:pStyle w:val="AGRBodyText"/>
      </w:pPr>
      <w:r w:rsidRPr="00EC6C4E">
        <w:t>As noted above,</w:t>
      </w:r>
      <w:r w:rsidR="004A0698">
        <w:t xml:space="preserve"> the prime contractor</w:t>
      </w:r>
      <w:r w:rsidRPr="00EC6C4E">
        <w:t xml:space="preserve"> was engaged during early 2012 on a time and materials basis to assist the Corporation with </w:t>
      </w:r>
      <w:r w:rsidR="0087759C">
        <w:t>rectifying</w:t>
      </w:r>
      <w:r w:rsidRPr="00EC6C4E">
        <w:t xml:space="preserve"> the identified late changes in user requirements. Cutover and warranty activities were then performed in accordance with the contract.</w:t>
      </w:r>
    </w:p>
    <w:p w:rsidR="00641FA9" w:rsidRPr="00EC6C4E" w:rsidRDefault="004A0698" w:rsidP="002F4F0B">
      <w:pPr>
        <w:pStyle w:val="AGRBodyText"/>
      </w:pPr>
      <w:r>
        <w:t>The prime contractor has</w:t>
      </w:r>
      <w:r w:rsidR="00641FA9" w:rsidRPr="00EC6C4E">
        <w:t xml:space="preserve"> subsequently been awarded the third level support contract for Maximo </w:t>
      </w:r>
      <w:r w:rsidR="0087759C">
        <w:t xml:space="preserve">following </w:t>
      </w:r>
      <w:r w:rsidR="00641FA9" w:rsidRPr="00EC6C4E">
        <w:t>a competitive tender process.</w:t>
      </w:r>
    </w:p>
    <w:p w:rsidR="00951E85" w:rsidRPr="00732782" w:rsidRDefault="00951E85" w:rsidP="00951E85">
      <w:pPr>
        <w:pStyle w:val="AGRHeading1"/>
      </w:pPr>
      <w:r w:rsidRPr="00134C8F">
        <w:t>Power and Water Corporation</w:t>
      </w:r>
      <w:r>
        <w:t xml:space="preserve"> cont…</w:t>
      </w:r>
    </w:p>
    <w:p w:rsidR="00641FA9" w:rsidRPr="00EC6C4E" w:rsidRDefault="00641FA9" w:rsidP="00641FA9">
      <w:pPr>
        <w:pStyle w:val="AGRHeading4"/>
      </w:pPr>
      <w:r w:rsidRPr="00EC6C4E">
        <w:t>Management of Organisational Change</w:t>
      </w:r>
    </w:p>
    <w:p w:rsidR="00641FA9" w:rsidRPr="00EC6C4E" w:rsidRDefault="00641FA9" w:rsidP="002F4F0B">
      <w:pPr>
        <w:pStyle w:val="AGRBodyText"/>
      </w:pPr>
      <w:r w:rsidRPr="00EC6C4E">
        <w:t>Change management involved a range of activities such as formal communication</w:t>
      </w:r>
      <w:r w:rsidR="002E6702">
        <w:t xml:space="preserve"> across the Corporation</w:t>
      </w:r>
      <w:r w:rsidRPr="00EC6C4E">
        <w:t>, training and capability development</w:t>
      </w:r>
      <w:r w:rsidR="002E6702">
        <w:t>,</w:t>
      </w:r>
      <w:r w:rsidRPr="00EC6C4E">
        <w:t xml:space="preserve"> and other business engagement activities.</w:t>
      </w:r>
      <w:r w:rsidR="0050388B">
        <w:t xml:space="preserve"> </w:t>
      </w:r>
      <w:r w:rsidRPr="00EC6C4E">
        <w:t xml:space="preserve"> Due to the extent of concerns raised </w:t>
      </w:r>
      <w:r w:rsidR="002E6702">
        <w:t xml:space="preserve">during and </w:t>
      </w:r>
      <w:r w:rsidR="00CB514B">
        <w:t>after early</w:t>
      </w:r>
      <w:r w:rsidRPr="00EC6C4E">
        <w:t xml:space="preserve"> </w:t>
      </w:r>
      <w:r w:rsidR="002E6702">
        <w:t>u</w:t>
      </w:r>
      <w:r w:rsidRPr="00EC6C4E">
        <w:t xml:space="preserve">ser </w:t>
      </w:r>
      <w:r w:rsidR="002E6702">
        <w:t>a</w:t>
      </w:r>
      <w:r w:rsidRPr="00EC6C4E">
        <w:t xml:space="preserve">cceptance </w:t>
      </w:r>
      <w:r w:rsidR="002E6702">
        <w:t>t</w:t>
      </w:r>
      <w:r w:rsidRPr="00EC6C4E">
        <w:t xml:space="preserve">esting about the </w:t>
      </w:r>
      <w:r w:rsidR="002E6702">
        <w:t>gaps between</w:t>
      </w:r>
      <w:r w:rsidR="00EF0DBD">
        <w:t xml:space="preserve"> the</w:t>
      </w:r>
      <w:r w:rsidR="002E6702">
        <w:t xml:space="preserve"> system</w:t>
      </w:r>
      <w:r w:rsidR="00FD50BF">
        <w:t>,</w:t>
      </w:r>
      <w:r w:rsidR="002E6702">
        <w:t xml:space="preserve"> as implemented</w:t>
      </w:r>
      <w:r w:rsidR="00FD50BF">
        <w:t>,</w:t>
      </w:r>
      <w:r w:rsidRPr="00EC6C4E">
        <w:t xml:space="preserve"> </w:t>
      </w:r>
      <w:r w:rsidR="002E6702">
        <w:t xml:space="preserve">and </w:t>
      </w:r>
      <w:r w:rsidRPr="00EC6C4E">
        <w:t xml:space="preserve">user expectations, business readiness activities (including training) were expanded </w:t>
      </w:r>
      <w:r w:rsidR="002E6702" w:rsidRPr="00EC6C4E">
        <w:t xml:space="preserve">significantly </w:t>
      </w:r>
      <w:r w:rsidR="00EF0DBD">
        <w:t>beyond that</w:t>
      </w:r>
      <w:r w:rsidRPr="00EC6C4E">
        <w:t xml:space="preserve"> originally planned to maximise acceptance of the </w:t>
      </w:r>
      <w:r w:rsidR="00EF0DBD">
        <w:t>new system</w:t>
      </w:r>
      <w:r w:rsidRPr="00EC6C4E">
        <w:t xml:space="preserve">. </w:t>
      </w:r>
      <w:r w:rsidR="0050388B">
        <w:t xml:space="preserve"> </w:t>
      </w:r>
      <w:r w:rsidRPr="00EC6C4E">
        <w:t xml:space="preserve">Training was based </w:t>
      </w:r>
      <w:r w:rsidR="00655623">
        <w:t>o</w:t>
      </w:r>
      <w:r w:rsidRPr="00EC6C4E">
        <w:t>n a detailed analysis of training needs, with significant input from business subject matter experts.</w:t>
      </w:r>
    </w:p>
    <w:p w:rsidR="00641FA9" w:rsidRPr="00EC6C4E" w:rsidRDefault="00641FA9" w:rsidP="002F4F0B">
      <w:pPr>
        <w:pStyle w:val="AGRBodyText"/>
      </w:pPr>
      <w:r w:rsidRPr="00EC6C4E">
        <w:t>Communication to users was managed through a combination of periodic newsletter updates, closed group briefing sessions</w:t>
      </w:r>
      <w:r w:rsidR="00CB514B">
        <w:t>, and</w:t>
      </w:r>
      <w:r w:rsidRPr="00EC6C4E">
        <w:t xml:space="preserve"> publication of information promoting the benefits and functionality of the asset management system.</w:t>
      </w:r>
    </w:p>
    <w:p w:rsidR="008F3B69" w:rsidRPr="00732782" w:rsidRDefault="008F3B69" w:rsidP="008F3B69">
      <w:pPr>
        <w:pStyle w:val="AGRHeading1"/>
      </w:pPr>
      <w:r w:rsidRPr="00134C8F">
        <w:t>Power and Water Corporation</w:t>
      </w:r>
    </w:p>
    <w:p w:rsidR="008F3B69" w:rsidRDefault="008F3B69" w:rsidP="008F3B69">
      <w:pPr>
        <w:pStyle w:val="AGRHeading2"/>
      </w:pPr>
      <w:bookmarkStart w:id="32" w:name="maximo"/>
      <w:r>
        <w:t>Maximo</w:t>
      </w:r>
      <w:bookmarkEnd w:id="32"/>
    </w:p>
    <w:p w:rsidR="00F015A0" w:rsidRDefault="00F015A0" w:rsidP="00F015A0">
      <w:pPr>
        <w:pStyle w:val="AGRHeading3"/>
      </w:pPr>
      <w:r>
        <w:t>Audit Objective</w:t>
      </w:r>
    </w:p>
    <w:p w:rsidR="00F015A0" w:rsidRDefault="00F015A0" w:rsidP="005051B2">
      <w:pPr>
        <w:pStyle w:val="AGRBodyText"/>
      </w:pPr>
      <w:r>
        <w:rPr>
          <w:lang w:val="en-AU"/>
        </w:rPr>
        <w:t>The objective of the audit was to examine the design of application and general computer controls within the Maximo computer environment.</w:t>
      </w:r>
    </w:p>
    <w:p w:rsidR="00F015A0" w:rsidRDefault="00F015A0" w:rsidP="007E491E">
      <w:pPr>
        <w:pStyle w:val="AGRHeading3"/>
      </w:pPr>
      <w:r>
        <w:t>Audit Opinion</w:t>
      </w:r>
    </w:p>
    <w:p w:rsidR="00F015A0" w:rsidRDefault="00F015A0" w:rsidP="005051B2">
      <w:pPr>
        <w:pStyle w:val="AGRBodyText"/>
      </w:pPr>
      <w:r>
        <w:rPr>
          <w:lang w:val="en-AU"/>
        </w:rPr>
        <w:t>Based on discussions with key stakeholders and review of project documentation I have determined that appropriate computer controls have been designed for the Maximo computer environment, however, opportunities exist to strengthen a number of security controls and application controls as described below.</w:t>
      </w:r>
    </w:p>
    <w:p w:rsidR="008F3B69" w:rsidRDefault="008F3B69" w:rsidP="008F3B69">
      <w:pPr>
        <w:pStyle w:val="AGRHeading3"/>
      </w:pPr>
      <w:r w:rsidRPr="00732782">
        <w:t>Background</w:t>
      </w:r>
    </w:p>
    <w:p w:rsidR="008F3B69" w:rsidRDefault="008F3B69" w:rsidP="002F4F0B">
      <w:pPr>
        <w:pStyle w:val="AGRBodyText"/>
      </w:pPr>
      <w:r w:rsidRPr="00A70ABD">
        <w:t xml:space="preserve">The Maximo application </w:t>
      </w:r>
      <w:r w:rsidR="006F0B22">
        <w:t>went live</w:t>
      </w:r>
      <w:r w:rsidRPr="00A70ABD">
        <w:t xml:space="preserve"> in August 2012, after an extensive project to implement enhanced Asset Management Capability into the </w:t>
      </w:r>
      <w:r w:rsidR="006F0B22">
        <w:t xml:space="preserve">Power and Water </w:t>
      </w:r>
      <w:r w:rsidRPr="00A70ABD">
        <w:t>Corporation</w:t>
      </w:r>
      <w:r w:rsidR="006F0B22">
        <w:t xml:space="preserve"> (the Corporation)</w:t>
      </w:r>
      <w:r w:rsidRPr="00A70ABD">
        <w:t xml:space="preserve">. </w:t>
      </w:r>
      <w:r>
        <w:t xml:space="preserve"> </w:t>
      </w:r>
      <w:r w:rsidRPr="00A70ABD">
        <w:t xml:space="preserve">The application interfaces directly with the </w:t>
      </w:r>
      <w:r w:rsidR="006F0B22">
        <w:t xml:space="preserve">Corporation’s </w:t>
      </w:r>
      <w:r w:rsidRPr="00A70ABD">
        <w:t>Financial Management System and provides functionality which includes procure to pay, asset management, project management and inventory management</w:t>
      </w:r>
      <w:r w:rsidR="00CB514B">
        <w:t>.</w:t>
      </w:r>
    </w:p>
    <w:p w:rsidR="008F3B69" w:rsidRDefault="008F3B69" w:rsidP="008F3B69">
      <w:pPr>
        <w:pStyle w:val="AGRHeading3"/>
      </w:pPr>
      <w:r>
        <w:t>Key Findings</w:t>
      </w:r>
    </w:p>
    <w:p w:rsidR="008F3B69" w:rsidRPr="00A70ABD" w:rsidRDefault="008F3B69" w:rsidP="008F3B69">
      <w:pPr>
        <w:pStyle w:val="AGRHeading4"/>
      </w:pPr>
      <w:r w:rsidRPr="00A70ABD">
        <w:t xml:space="preserve">Information Security </w:t>
      </w:r>
    </w:p>
    <w:p w:rsidR="008F3B69" w:rsidRPr="00A70ABD" w:rsidRDefault="00A7657C" w:rsidP="002F4F0B">
      <w:pPr>
        <w:pStyle w:val="AGRBodyText"/>
      </w:pPr>
      <w:r>
        <w:t xml:space="preserve">Information security is critical to any IT system.  </w:t>
      </w:r>
      <w:r w:rsidR="006F0B22">
        <w:t>O</w:t>
      </w:r>
      <w:r w:rsidR="008F3B69" w:rsidRPr="00A70ABD">
        <w:t>pportunities for improvement were noted relating to role design and periodic user access review.</w:t>
      </w:r>
      <w:r w:rsidR="006F0B22">
        <w:t xml:space="preserve">  </w:t>
      </w:r>
      <w:r w:rsidR="008F3B69" w:rsidRPr="00A70ABD">
        <w:t xml:space="preserve">Weaknesses in security design were </w:t>
      </w:r>
      <w:r>
        <w:t xml:space="preserve">also </w:t>
      </w:r>
      <w:r w:rsidR="008F3B69" w:rsidRPr="00A70ABD">
        <w:t xml:space="preserve">noted within the Maximo </w:t>
      </w:r>
      <w:r w:rsidR="00715613">
        <w:t>d</w:t>
      </w:r>
      <w:r w:rsidR="008F3B69" w:rsidRPr="00A70ABD">
        <w:t>atabase</w:t>
      </w:r>
      <w:r w:rsidR="006E09FA">
        <w:t xml:space="preserve">, </w:t>
      </w:r>
      <w:r w:rsidR="008F3B69" w:rsidRPr="00A70ABD">
        <w:t>includ</w:t>
      </w:r>
      <w:r w:rsidR="006E09FA">
        <w:t>ing</w:t>
      </w:r>
      <w:r w:rsidR="008F3B69" w:rsidRPr="00A70ABD">
        <w:t xml:space="preserve"> limited password </w:t>
      </w:r>
      <w:r w:rsidR="00896527">
        <w:t xml:space="preserve">controls </w:t>
      </w:r>
      <w:r w:rsidR="008F3B69" w:rsidRPr="00A70ABD">
        <w:t xml:space="preserve">and </w:t>
      </w:r>
      <w:r w:rsidR="00F015A0">
        <w:t xml:space="preserve">the </w:t>
      </w:r>
      <w:r w:rsidR="008F3B69" w:rsidRPr="00A70ABD">
        <w:t>shared password</w:t>
      </w:r>
      <w:r w:rsidR="00896527">
        <w:t xml:space="preserve"> for the Maximo user account</w:t>
      </w:r>
      <w:r w:rsidR="006F0B22">
        <w:t xml:space="preserve"> within the project team.</w:t>
      </w:r>
      <w:r w:rsidR="008F3B69" w:rsidRPr="00A70ABD">
        <w:t xml:space="preserve"> </w:t>
      </w:r>
    </w:p>
    <w:p w:rsidR="008F3B69" w:rsidRPr="00A70ABD" w:rsidRDefault="008F3B69" w:rsidP="008F3B69">
      <w:pPr>
        <w:pStyle w:val="AGRHeading4"/>
      </w:pPr>
      <w:r w:rsidRPr="00A70ABD">
        <w:t>Application Controls</w:t>
      </w:r>
    </w:p>
    <w:p w:rsidR="0085498D" w:rsidRDefault="006F0B22" w:rsidP="005051B2">
      <w:pPr>
        <w:pStyle w:val="AGRBodyText"/>
      </w:pPr>
      <w:r w:rsidRPr="00F50F6C">
        <w:t>A</w:t>
      </w:r>
      <w:r w:rsidR="008F3B69" w:rsidRPr="007E491E">
        <w:t>pplication controls have been incorporated into the Maximo system to protect the integrity of transaction processing.</w:t>
      </w:r>
      <w:r w:rsidRPr="007E491E">
        <w:t xml:space="preserve"> </w:t>
      </w:r>
      <w:r w:rsidR="008F3B69" w:rsidRPr="007E491E">
        <w:t xml:space="preserve"> Weaknesses were noted in relation to</w:t>
      </w:r>
      <w:r w:rsidRPr="007E491E">
        <w:t xml:space="preserve"> several of these controls.</w:t>
      </w:r>
    </w:p>
    <w:p w:rsidR="00B74230" w:rsidRPr="00732782" w:rsidRDefault="00B74230" w:rsidP="0083183F">
      <w:pPr>
        <w:pStyle w:val="AGRHeading1"/>
      </w:pPr>
      <w:r>
        <w:t>Selected Agencies</w:t>
      </w:r>
    </w:p>
    <w:p w:rsidR="00B74230" w:rsidRPr="00732782" w:rsidRDefault="00B74230" w:rsidP="00B74230">
      <w:pPr>
        <w:pStyle w:val="AGRHeading2"/>
      </w:pPr>
      <w:bookmarkStart w:id="33" w:name="ACA"/>
      <w:r w:rsidRPr="00732782">
        <w:t>Agency Compliance Audit</w:t>
      </w:r>
      <w:bookmarkEnd w:id="33"/>
      <w:r w:rsidRPr="00732782">
        <w:t>s</w:t>
      </w:r>
    </w:p>
    <w:p w:rsidR="00B74230" w:rsidRPr="00732782" w:rsidRDefault="00B74230" w:rsidP="00C708C3">
      <w:pPr>
        <w:pStyle w:val="AGRHeading3"/>
      </w:pPr>
      <w:r w:rsidRPr="00732782">
        <w:t>Audit Objectives and Scope</w:t>
      </w:r>
    </w:p>
    <w:p w:rsidR="00B74230" w:rsidRPr="00732782" w:rsidRDefault="00B74230" w:rsidP="002F4F0B">
      <w:pPr>
        <w:pStyle w:val="AGRBodyText"/>
      </w:pPr>
      <w:r w:rsidRPr="00732782">
        <w:t>Agency compliance audits are intended to ascertain the extent to which Agencies’ Accountable Officers have implemented and maintained procedures that assist in ensuring that the requirements set out in Acts of Parliament, and subordinate and delegated legislation</w:t>
      </w:r>
      <w:r w:rsidR="00B154CC">
        <w:t>,</w:t>
      </w:r>
      <w:r w:rsidRPr="00732782">
        <w:t xml:space="preserve"> are adhered to.</w:t>
      </w:r>
    </w:p>
    <w:p w:rsidR="00B74230" w:rsidRPr="00732782" w:rsidRDefault="00B74230" w:rsidP="00C708C3">
      <w:pPr>
        <w:pStyle w:val="AGRHeading3"/>
      </w:pPr>
      <w:r w:rsidRPr="00732782">
        <w:t>Background</w:t>
      </w:r>
    </w:p>
    <w:p w:rsidR="00B74230" w:rsidRPr="00732782" w:rsidRDefault="00B74230" w:rsidP="002F4F0B">
      <w:pPr>
        <w:pStyle w:val="AGRBodyText"/>
      </w:pPr>
      <w:r w:rsidRPr="00732782">
        <w:t>The use of delegated legislation, for example Treasurer’s Directions and Procurement Directions, devolve responsibility to Accountable Officers of line Agencies.  That devolution has an accompanying requirement for accountability by Accountable Officers to their Ministers.  Compliance audits are intended to assess how well that accountability is being discharged.  The audits for this period concentrated on the extent to which Agencies had complied with promulgated requirements with respect to:</w:t>
      </w:r>
    </w:p>
    <w:p w:rsidR="00A93B97" w:rsidRDefault="00B74230" w:rsidP="002F4F0B">
      <w:pPr>
        <w:pStyle w:val="AGRBulletText"/>
      </w:pPr>
      <w:r w:rsidRPr="00732782">
        <w:t>the maintenance of registers of financial interests, contingencies, guarantees and indemnities;</w:t>
      </w:r>
    </w:p>
    <w:p w:rsidR="00A93B97" w:rsidRDefault="00B74230" w:rsidP="002F4F0B">
      <w:pPr>
        <w:pStyle w:val="AGRBulletText"/>
      </w:pPr>
      <w:r w:rsidRPr="00732782">
        <w:t>validation of accounts payable and claims for payment, including funds availability;</w:t>
      </w:r>
    </w:p>
    <w:p w:rsidR="00A93B97" w:rsidRDefault="00B74230" w:rsidP="002F4F0B">
      <w:pPr>
        <w:pStyle w:val="AGRBulletText"/>
      </w:pPr>
      <w:r w:rsidRPr="00732782">
        <w:t xml:space="preserve">compliance with the </w:t>
      </w:r>
      <w:r w:rsidRPr="00732782">
        <w:rPr>
          <w:i/>
        </w:rPr>
        <w:t>Procurement Act</w:t>
      </w:r>
      <w:r w:rsidRPr="00732782">
        <w:t>, Regulations made under that Act and Procurement Directions;</w:t>
      </w:r>
    </w:p>
    <w:p w:rsidR="00A93B97" w:rsidRDefault="00B74230" w:rsidP="002F4F0B">
      <w:pPr>
        <w:pStyle w:val="AGRBulletText"/>
      </w:pPr>
      <w:r w:rsidRPr="00732782">
        <w:t>the maintenance of registers of losses, and whether investigation</w:t>
      </w:r>
      <w:r w:rsidR="00B154CC">
        <w:t>,</w:t>
      </w:r>
      <w:r w:rsidRPr="00732782">
        <w:t xml:space="preserve"> and reporting and recovery of losses accorded with the requirements of Treasurer’s Directions;</w:t>
      </w:r>
    </w:p>
    <w:p w:rsidR="00A93B97" w:rsidRDefault="00B74230" w:rsidP="002F4F0B">
      <w:pPr>
        <w:pStyle w:val="AGRBulletText"/>
      </w:pPr>
      <w:r w:rsidRPr="00732782">
        <w:t>ensuring that expenditure on official travel, telephones and hospitality was properly authorised, recorded and acquitted;</w:t>
      </w:r>
    </w:p>
    <w:p w:rsidR="00A93B97" w:rsidRDefault="00B74230" w:rsidP="002F4F0B">
      <w:pPr>
        <w:pStyle w:val="AGRBulletText"/>
      </w:pPr>
      <w:r w:rsidRPr="00732782">
        <w:t>the recording and accounting for trust monies;</w:t>
      </w:r>
    </w:p>
    <w:p w:rsidR="00A93B97" w:rsidRDefault="00B74230" w:rsidP="002F4F0B">
      <w:pPr>
        <w:pStyle w:val="AGRBulletText"/>
      </w:pPr>
      <w:r w:rsidRPr="00732782">
        <w:t xml:space="preserve">the legal and statutory arrangements governing the recovery of certain debts, the retention of financial management records, the granting of ex-gratia payments, </w:t>
      </w:r>
      <w:r w:rsidR="00B154CC">
        <w:t xml:space="preserve">and </w:t>
      </w:r>
      <w:r w:rsidRPr="00732782">
        <w:t>the maintenance of Registers of Fees and Charges;</w:t>
      </w:r>
    </w:p>
    <w:p w:rsidR="00A93B97" w:rsidRDefault="00B74230" w:rsidP="002F4F0B">
      <w:pPr>
        <w:pStyle w:val="AGRBulletText"/>
      </w:pPr>
      <w:r w:rsidRPr="00732782">
        <w:t>the control of physical assets; and</w:t>
      </w:r>
    </w:p>
    <w:p w:rsidR="00A93B97" w:rsidRDefault="00B74230" w:rsidP="002F4F0B">
      <w:pPr>
        <w:pStyle w:val="AGRBulletText"/>
      </w:pPr>
      <w:r w:rsidRPr="00732782">
        <w:t>budget management, including financial and performance reporting.</w:t>
      </w:r>
    </w:p>
    <w:p w:rsidR="00B74230" w:rsidRPr="00732782" w:rsidRDefault="00B74230" w:rsidP="0083183F">
      <w:pPr>
        <w:pStyle w:val="AGRHeading1"/>
      </w:pPr>
      <w:r w:rsidRPr="00732782">
        <w:t>Selected Agencies cont…</w:t>
      </w:r>
    </w:p>
    <w:p w:rsidR="00B74230" w:rsidRPr="00732782" w:rsidRDefault="00FB6D4C" w:rsidP="002F4F0B">
      <w:pPr>
        <w:pStyle w:val="AGRBodyText"/>
      </w:pPr>
      <w:r>
        <w:t>A</w:t>
      </w:r>
      <w:r w:rsidR="00B74230" w:rsidRPr="00732782">
        <w:t>udits were performed in each of the following Agencies during the six months covered by this report:</w:t>
      </w:r>
    </w:p>
    <w:p w:rsidR="00A31F90" w:rsidRPr="00A31F90" w:rsidRDefault="00A31F90" w:rsidP="002F4F0B">
      <w:pPr>
        <w:pStyle w:val="AGRBulletText"/>
      </w:pPr>
      <w:bookmarkStart w:id="34" w:name="AAPA"/>
      <w:r w:rsidRPr="00A31F90">
        <w:t>Aboriginal Areas Protection Authority</w:t>
      </w:r>
      <w:bookmarkEnd w:id="34"/>
      <w:r w:rsidRPr="00A31F90">
        <w:t>;</w:t>
      </w:r>
    </w:p>
    <w:p w:rsidR="00A31F90" w:rsidRPr="00A31F90" w:rsidRDefault="00A31F90" w:rsidP="002F4F0B">
      <w:pPr>
        <w:pStyle w:val="AGRBulletText"/>
      </w:pPr>
      <w:bookmarkStart w:id="35" w:name="Arts_Museums"/>
      <w:r w:rsidRPr="00A31F90">
        <w:t>Department of Arts and Museums</w:t>
      </w:r>
      <w:bookmarkEnd w:id="35"/>
      <w:r w:rsidRPr="00A31F90">
        <w:t>;</w:t>
      </w:r>
    </w:p>
    <w:p w:rsidR="00A31F90" w:rsidRPr="00A31F90" w:rsidRDefault="00A31F90" w:rsidP="002F4F0B">
      <w:pPr>
        <w:pStyle w:val="AGRBulletText"/>
      </w:pPr>
      <w:bookmarkStart w:id="36" w:name="Business"/>
      <w:r w:rsidRPr="00A31F90">
        <w:t>Department of Business</w:t>
      </w:r>
      <w:bookmarkEnd w:id="36"/>
      <w:r w:rsidRPr="00A31F90">
        <w:t>;</w:t>
      </w:r>
    </w:p>
    <w:p w:rsidR="00A93B97" w:rsidRPr="00A31F90" w:rsidRDefault="00135B24" w:rsidP="002F4F0B">
      <w:pPr>
        <w:pStyle w:val="AGRBulletText"/>
      </w:pPr>
      <w:bookmarkStart w:id="37" w:name="Education_and_children"/>
      <w:r w:rsidRPr="00A31F90">
        <w:t xml:space="preserve">Department of </w:t>
      </w:r>
      <w:r w:rsidR="00A31F90" w:rsidRPr="00A31F90">
        <w:t>Education and Children’s Services</w:t>
      </w:r>
      <w:bookmarkEnd w:id="37"/>
      <w:r w:rsidRPr="00A31F90">
        <w:t>;</w:t>
      </w:r>
    </w:p>
    <w:p w:rsidR="00A93B97" w:rsidRPr="00A31F90" w:rsidRDefault="00B74230" w:rsidP="002F4F0B">
      <w:pPr>
        <w:pStyle w:val="AGRBulletText"/>
      </w:pPr>
      <w:r w:rsidRPr="00A31F90">
        <w:t>Department of Health;</w:t>
      </w:r>
    </w:p>
    <w:p w:rsidR="00A31F90" w:rsidRPr="00A31F90" w:rsidRDefault="00B74230" w:rsidP="002F4F0B">
      <w:pPr>
        <w:pStyle w:val="AGRBulletText"/>
      </w:pPr>
      <w:bookmarkStart w:id="38" w:name="Housing"/>
      <w:r w:rsidRPr="00A31F90">
        <w:t>Department of Housing</w:t>
      </w:r>
      <w:bookmarkEnd w:id="38"/>
      <w:r w:rsidR="00A31F90" w:rsidRPr="00A31F90">
        <w:t>;</w:t>
      </w:r>
    </w:p>
    <w:p w:rsidR="00A31F90" w:rsidRPr="00A31F90" w:rsidRDefault="00A31F90" w:rsidP="002F4F0B">
      <w:pPr>
        <w:pStyle w:val="AGRBulletText"/>
      </w:pPr>
      <w:bookmarkStart w:id="39" w:name="Infrastructure"/>
      <w:r w:rsidRPr="00A31F90">
        <w:t>Department of Infrastructure</w:t>
      </w:r>
      <w:bookmarkEnd w:id="39"/>
      <w:r w:rsidRPr="00A31F90">
        <w:t>;</w:t>
      </w:r>
    </w:p>
    <w:p w:rsidR="00A93B97" w:rsidRPr="00A31F90" w:rsidRDefault="00A31F90" w:rsidP="002F4F0B">
      <w:pPr>
        <w:pStyle w:val="AGRBulletText"/>
      </w:pPr>
      <w:bookmarkStart w:id="40" w:name="Local_Government"/>
      <w:r w:rsidRPr="00A31F90">
        <w:t>Department of</w:t>
      </w:r>
      <w:r w:rsidR="00B74230" w:rsidRPr="00A31F90">
        <w:t xml:space="preserve"> Local Government</w:t>
      </w:r>
      <w:bookmarkEnd w:id="40"/>
      <w:r w:rsidR="00B74230" w:rsidRPr="00A31F90">
        <w:t>;</w:t>
      </w:r>
    </w:p>
    <w:p w:rsidR="00A93B97" w:rsidRPr="00A31F90" w:rsidRDefault="00A31F90" w:rsidP="002F4F0B">
      <w:pPr>
        <w:pStyle w:val="AGRBulletText"/>
      </w:pPr>
      <w:bookmarkStart w:id="41" w:name="Regional_Development_and_Womens"/>
      <w:r w:rsidRPr="00A31F90">
        <w:t>Department of Regional Development and Women’s Policy</w:t>
      </w:r>
      <w:bookmarkEnd w:id="41"/>
      <w:r w:rsidR="00B74230" w:rsidRPr="00A31F90">
        <w:t>;</w:t>
      </w:r>
    </w:p>
    <w:p w:rsidR="00A93B97" w:rsidRPr="00A31F90" w:rsidRDefault="00A31F90" w:rsidP="002F4F0B">
      <w:pPr>
        <w:pStyle w:val="AGRBulletText"/>
      </w:pPr>
      <w:bookmarkStart w:id="42" w:name="Attorney_General_and_Justice"/>
      <w:r w:rsidRPr="00A31F90">
        <w:t>Department of the Attorney-General and Justice</w:t>
      </w:r>
      <w:bookmarkEnd w:id="42"/>
      <w:r w:rsidR="00B74230" w:rsidRPr="00A31F90">
        <w:t>;</w:t>
      </w:r>
    </w:p>
    <w:p w:rsidR="00A93B97" w:rsidRPr="00A31F90" w:rsidRDefault="00A31F90" w:rsidP="002F4F0B">
      <w:pPr>
        <w:pStyle w:val="AGRBulletText"/>
      </w:pPr>
      <w:bookmarkStart w:id="43" w:name="Treasury_and_Finance"/>
      <w:r w:rsidRPr="00A31F90">
        <w:t>Department of Treasury and Finance</w:t>
      </w:r>
      <w:bookmarkEnd w:id="43"/>
      <w:r w:rsidR="00B74230" w:rsidRPr="00A31F90">
        <w:t>;</w:t>
      </w:r>
    </w:p>
    <w:p w:rsidR="00A93B97" w:rsidRPr="00A31F90" w:rsidRDefault="00B74230" w:rsidP="002F4F0B">
      <w:pPr>
        <w:pStyle w:val="AGRBulletText"/>
      </w:pPr>
      <w:bookmarkStart w:id="44" w:name="Police_Fire_and_Emergency"/>
      <w:r w:rsidRPr="00A31F90">
        <w:t>Northern Territory Police, Fire and Emergency Services</w:t>
      </w:r>
      <w:bookmarkEnd w:id="44"/>
      <w:r w:rsidR="00DE2437" w:rsidRPr="00A31F90">
        <w:t>.</w:t>
      </w:r>
    </w:p>
    <w:p w:rsidR="00B74230" w:rsidRPr="00732782" w:rsidRDefault="00B74230" w:rsidP="00C708C3">
      <w:pPr>
        <w:pStyle w:val="AGRHeading3"/>
      </w:pPr>
      <w:r w:rsidRPr="00732782">
        <w:t>Key Findings</w:t>
      </w:r>
    </w:p>
    <w:p w:rsidR="00B74230" w:rsidRPr="00732782" w:rsidRDefault="00B74230" w:rsidP="002F4F0B">
      <w:pPr>
        <w:pStyle w:val="AGRBodyText"/>
      </w:pPr>
      <w:r w:rsidRPr="00732782">
        <w:t xml:space="preserve">A </w:t>
      </w:r>
      <w:r w:rsidR="00FB6D4C">
        <w:t>number</w:t>
      </w:r>
      <w:r w:rsidR="005E3B3E">
        <w:t xml:space="preserve"> </w:t>
      </w:r>
      <w:r w:rsidRPr="00732782">
        <w:t>of issues were raised as a result of the audits including:</w:t>
      </w:r>
    </w:p>
    <w:p w:rsidR="00A93B97" w:rsidRDefault="00B74230" w:rsidP="002F4F0B">
      <w:pPr>
        <w:pStyle w:val="AGRBulletText"/>
      </w:pPr>
      <w:r w:rsidRPr="00732782">
        <w:t>lack of compliance with Procurement Directions, and procurement policies;</w:t>
      </w:r>
    </w:p>
    <w:p w:rsidR="00A93B97" w:rsidRDefault="00B74230" w:rsidP="002F4F0B">
      <w:pPr>
        <w:pStyle w:val="AGRBulletText"/>
      </w:pPr>
      <w:r w:rsidRPr="00732782">
        <w:t>weaknesses in the reconciliation of Accountable Officers’ Trust Accounts</w:t>
      </w:r>
      <w:r w:rsidR="00AF65DB">
        <w:t>;</w:t>
      </w:r>
      <w:r w:rsidRPr="00732782">
        <w:t xml:space="preserve"> </w:t>
      </w:r>
    </w:p>
    <w:p w:rsidR="00A93B97" w:rsidRDefault="00B74230" w:rsidP="002F4F0B">
      <w:pPr>
        <w:pStyle w:val="AGRBulletText"/>
      </w:pPr>
      <w:r w:rsidRPr="00732782">
        <w:t>lack of compliance with Treasurers’ Directions</w:t>
      </w:r>
      <w:r w:rsidR="00FB6D4C">
        <w:t>, particularly</w:t>
      </w:r>
      <w:r w:rsidRPr="00732782">
        <w:t xml:space="preserve"> in relation to </w:t>
      </w:r>
      <w:r w:rsidR="00FB6D4C">
        <w:t xml:space="preserve">controls over </w:t>
      </w:r>
      <w:r w:rsidR="007F1C73">
        <w:t xml:space="preserve">telephones, </w:t>
      </w:r>
      <w:r w:rsidRPr="00732782">
        <w:t>hospitality and travel expenditure;</w:t>
      </w:r>
    </w:p>
    <w:p w:rsidR="00A93B97" w:rsidRDefault="00B74230" w:rsidP="002F4F0B">
      <w:pPr>
        <w:pStyle w:val="AGRBulletText"/>
      </w:pPr>
      <w:r w:rsidRPr="00732782">
        <w:t>deficiencies in controls over fixed assets;</w:t>
      </w:r>
      <w:r w:rsidR="005E3B3E">
        <w:t xml:space="preserve"> </w:t>
      </w:r>
    </w:p>
    <w:p w:rsidR="00B2285E" w:rsidRDefault="00B2285E" w:rsidP="002F4F0B">
      <w:pPr>
        <w:pStyle w:val="AGRBulletText"/>
      </w:pPr>
      <w:r>
        <w:t>incomplete registers of financial interests, contingencies, guarantees and indemnities;</w:t>
      </w:r>
    </w:p>
    <w:p w:rsidR="007C69E8" w:rsidRDefault="0062614E" w:rsidP="002F4F0B">
      <w:pPr>
        <w:pStyle w:val="AGRBulletText"/>
      </w:pPr>
      <w:r>
        <w:t xml:space="preserve">lack of internal audit capacity accompanied by </w:t>
      </w:r>
      <w:r w:rsidR="00B74230" w:rsidRPr="00732782">
        <w:t>weakness</w:t>
      </w:r>
      <w:r>
        <w:t>es</w:t>
      </w:r>
      <w:r w:rsidR="00B74230" w:rsidRPr="00732782">
        <w:t xml:space="preserve"> in internal audit procedures</w:t>
      </w:r>
      <w:r w:rsidR="007C69E8">
        <w:t>;</w:t>
      </w:r>
      <w:r w:rsidR="00B2285E">
        <w:t xml:space="preserve"> and</w:t>
      </w:r>
    </w:p>
    <w:p w:rsidR="007C69E8" w:rsidRDefault="007C69E8" w:rsidP="002F4F0B">
      <w:pPr>
        <w:pStyle w:val="AGRBulletText"/>
      </w:pPr>
      <w:r>
        <w:t>incomplete Agency Accounting and Property Manuals that did not fully com</w:t>
      </w:r>
      <w:r w:rsidR="00B2285E">
        <w:t>ply with Treasurer’s Directions.</w:t>
      </w:r>
    </w:p>
    <w:p w:rsidR="00CB1996" w:rsidRPr="00732782" w:rsidRDefault="00CB1996" w:rsidP="0083183F">
      <w:pPr>
        <w:pStyle w:val="AGRHeading1"/>
      </w:pPr>
      <w:r w:rsidRPr="00732782">
        <w:t>Selected Agencies cont…</w:t>
      </w:r>
    </w:p>
    <w:p w:rsidR="004C0F8F" w:rsidRPr="00CB1996" w:rsidRDefault="004C0F8F" w:rsidP="004C0F8F">
      <w:pPr>
        <w:pStyle w:val="AGRHeadingComment"/>
        <w:rPr>
          <w:lang w:val="en-AU"/>
        </w:rPr>
      </w:pPr>
      <w:r>
        <w:rPr>
          <w:lang w:val="en-AU"/>
        </w:rPr>
        <w:t xml:space="preserve">The </w:t>
      </w:r>
      <w:r w:rsidR="00770A3C">
        <w:rPr>
          <w:lang w:val="en-AU"/>
        </w:rPr>
        <w:t>Aboriginal Areas Protection Authority</w:t>
      </w:r>
      <w:r w:rsidR="00D3086A">
        <w:rPr>
          <w:lang w:val="en-AU"/>
        </w:rPr>
        <w:t xml:space="preserve"> </w:t>
      </w:r>
      <w:r w:rsidRPr="00CB1996">
        <w:rPr>
          <w:lang w:val="en-AU"/>
        </w:rPr>
        <w:t xml:space="preserve">has commented: </w:t>
      </w:r>
    </w:p>
    <w:p w:rsidR="00663972" w:rsidRDefault="00663972" w:rsidP="00663972">
      <w:pPr>
        <w:pStyle w:val="StyleAGRBodyCommentItalic"/>
      </w:pPr>
      <w:r w:rsidRPr="00663972">
        <w:t>An external compliance audit was performed at the Aboriginal Areas Protection Authority (AAPA) in the financial year 2012/13.</w:t>
      </w:r>
    </w:p>
    <w:p w:rsidR="00663972" w:rsidRPr="00663972" w:rsidRDefault="00663972" w:rsidP="00663972">
      <w:pPr>
        <w:pStyle w:val="StyleAGRBodyCommentItalic"/>
      </w:pPr>
      <w:r w:rsidRPr="00663972">
        <w:t>The audit concentrated on the use of the Treasurer’s Directions and Procurement Directions.</w:t>
      </w:r>
    </w:p>
    <w:p w:rsidR="00663972" w:rsidRPr="00663972" w:rsidRDefault="00663972" w:rsidP="00663972">
      <w:pPr>
        <w:pStyle w:val="StyleAGRBodyCommentItalic"/>
      </w:pPr>
      <w:r w:rsidRPr="00663972">
        <w:t>A number of issues were raised as the result of the audit which was discussed along with the recommendations.</w:t>
      </w:r>
    </w:p>
    <w:p w:rsidR="004C0F8F" w:rsidRDefault="00663972" w:rsidP="00663972">
      <w:pPr>
        <w:pStyle w:val="StyleAGRBodyCommentItalic"/>
      </w:pPr>
      <w:r w:rsidRPr="00663972">
        <w:t>The CEO of the AAPA has instructed the Director Corporate Services to implement the recommendations which will result in the reduction of these issues in further audits.</w:t>
      </w:r>
    </w:p>
    <w:p w:rsidR="00770A3C" w:rsidRPr="00CB1996" w:rsidRDefault="00770A3C" w:rsidP="00770A3C">
      <w:pPr>
        <w:pStyle w:val="AGRHeadingComment"/>
        <w:rPr>
          <w:lang w:val="en-AU"/>
        </w:rPr>
      </w:pPr>
      <w:r>
        <w:rPr>
          <w:lang w:val="en-AU"/>
        </w:rPr>
        <w:t xml:space="preserve">The </w:t>
      </w:r>
      <w:r w:rsidRPr="00097369">
        <w:rPr>
          <w:lang w:val="en-AU"/>
        </w:rPr>
        <w:t>Department of</w:t>
      </w:r>
      <w:r>
        <w:rPr>
          <w:lang w:val="en-AU"/>
        </w:rPr>
        <w:t xml:space="preserve"> Arts and Museums </w:t>
      </w:r>
      <w:r w:rsidRPr="00CB1996">
        <w:rPr>
          <w:lang w:val="en-AU"/>
        </w:rPr>
        <w:t xml:space="preserve">has commented: </w:t>
      </w:r>
    </w:p>
    <w:p w:rsidR="00770A3C" w:rsidRDefault="00770A3C" w:rsidP="00770A3C">
      <w:pPr>
        <w:pStyle w:val="StyleAGRBodyCommentItalic"/>
      </w:pPr>
      <w:r>
        <w:t>I have reviewed the audit’s key findings and note that minimal issues apply to the Department of Arts and Museums, with only one item requiring action in relation to ensuring</w:t>
      </w:r>
      <w:r w:rsidR="00B01895">
        <w:t xml:space="preserve"> that</w:t>
      </w:r>
      <w:r>
        <w:t xml:space="preserve"> all fields in the Department’s Guarantees and Indemnities Register are fully completed.  As such, this has been actioned in accordance with the Treasurer’s Directions.</w:t>
      </w:r>
    </w:p>
    <w:p w:rsidR="00D3086A" w:rsidRPr="00CB1996" w:rsidRDefault="00D3086A" w:rsidP="00D3086A">
      <w:pPr>
        <w:pStyle w:val="AGRHeadingComment"/>
        <w:rPr>
          <w:lang w:val="en-AU"/>
        </w:rPr>
      </w:pPr>
      <w:r>
        <w:rPr>
          <w:lang w:val="en-AU"/>
        </w:rPr>
        <w:t>The Northern Territory Police, Fire and Emergency Services</w:t>
      </w:r>
      <w:r w:rsidRPr="00CB1996">
        <w:rPr>
          <w:lang w:val="en-AU"/>
        </w:rPr>
        <w:t xml:space="preserve"> has commented: </w:t>
      </w:r>
    </w:p>
    <w:p w:rsidR="00D3086A" w:rsidRDefault="00D3086A" w:rsidP="00D3086A">
      <w:pPr>
        <w:pStyle w:val="StyleAGRBodyCommentItalic"/>
      </w:pPr>
      <w:r>
        <w:t>Northern Territory Police, Fire and Emergency Services notes the report’s findings and is taking the necessary remedial action to address identified issues.</w:t>
      </w:r>
    </w:p>
    <w:p w:rsidR="00D3086A" w:rsidRDefault="00D3086A" w:rsidP="00D3086A">
      <w:pPr>
        <w:pStyle w:val="StyleAGRBodyCommentItalic"/>
      </w:pPr>
      <w:r>
        <w:t>The agency carefully monitors and maintains internal controls on an ongoing basis and will continue to make improvements wherever possible.</w:t>
      </w:r>
    </w:p>
    <w:p w:rsidR="008F353F" w:rsidRDefault="008F353F" w:rsidP="002F4F0B">
      <w:pPr>
        <w:pStyle w:val="AGRBodyText"/>
      </w:pPr>
    </w:p>
    <w:p w:rsidR="00FF4D25" w:rsidRDefault="008A580E">
      <w:pPr>
        <w:keepLines w:val="0"/>
        <w:spacing w:after="0" w:line="240" w:lineRule="auto"/>
        <w:ind w:left="0"/>
        <w:rPr>
          <w:rFonts w:cs="Arial"/>
          <w:sz w:val="20"/>
          <w:szCs w:val="20"/>
          <w:lang w:val="en-US"/>
        </w:rPr>
      </w:pPr>
      <w:r>
        <w:br w:type="page"/>
      </w:r>
    </w:p>
    <w:p w:rsidR="00BB1EAA" w:rsidRDefault="00BB1EAA" w:rsidP="00BB1EAA">
      <w:pPr>
        <w:pStyle w:val="AGRHeading1"/>
      </w:pPr>
      <w:bookmarkStart w:id="45" w:name="PIA"/>
      <w:r>
        <w:t xml:space="preserve">Matters Referred to Auditor-General Pursuant to Section 6 of </w:t>
      </w:r>
      <w:r w:rsidR="00CF60C8">
        <w:t xml:space="preserve">the </w:t>
      </w:r>
      <w:r>
        <w:t>Public Information Act</w:t>
      </w:r>
      <w:bookmarkEnd w:id="45"/>
    </w:p>
    <w:p w:rsidR="00592B9C" w:rsidRDefault="00592B9C" w:rsidP="00592B9C">
      <w:pPr>
        <w:pStyle w:val="AGRHeading2"/>
      </w:pPr>
      <w:r w:rsidRPr="0065394D">
        <w:t>The Referral of a Complaint to the Auditor-General</w:t>
      </w:r>
    </w:p>
    <w:p w:rsidR="00592B9C" w:rsidRDefault="00592B9C" w:rsidP="00592B9C">
      <w:pPr>
        <w:pStyle w:val="AGRBodyText"/>
      </w:pPr>
      <w:r w:rsidRPr="0065394D">
        <w:t xml:space="preserve">On </w:t>
      </w:r>
      <w:r>
        <w:t>1 August 2013</w:t>
      </w:r>
      <w:r w:rsidRPr="0065394D">
        <w:t xml:space="preserve"> a Member of the Legislative Assembly referred to me, pursuant to section 6(1) of the </w:t>
      </w:r>
      <w:r w:rsidRPr="008347AA">
        <w:rPr>
          <w:i/>
        </w:rPr>
        <w:t>Public Information Act</w:t>
      </w:r>
      <w:r>
        <w:t xml:space="preserve"> (the </w:t>
      </w:r>
      <w:r w:rsidRPr="0065394D">
        <w:t>Act</w:t>
      </w:r>
      <w:r>
        <w:t>)</w:t>
      </w:r>
      <w:r w:rsidRPr="0065394D">
        <w:t xml:space="preserve">, a copy of </w:t>
      </w:r>
      <w:r>
        <w:t>a letter</w:t>
      </w:r>
      <w:r w:rsidRPr="0065394D">
        <w:t xml:space="preserve"> that </w:t>
      </w:r>
      <w:r>
        <w:t xml:space="preserve">had been sent to Northern Territory households and </w:t>
      </w:r>
      <w:r w:rsidRPr="0065394D">
        <w:t xml:space="preserve">alleged that the contents of the letter </w:t>
      </w:r>
      <w:r>
        <w:t xml:space="preserve">may have </w:t>
      </w:r>
      <w:r w:rsidRPr="0065394D">
        <w:t xml:space="preserve">breached the principles laid down in the Act.  </w:t>
      </w:r>
      <w:r>
        <w:t xml:space="preserve">The letter in question outlined the reasons behind the Northern Territory Government’s decision to decline the offer from the Commonwealth with regards to a new school funding formula. </w:t>
      </w:r>
    </w:p>
    <w:p w:rsidR="00592B9C" w:rsidRDefault="00592B9C" w:rsidP="00592B9C">
      <w:pPr>
        <w:pStyle w:val="AGRHeading2"/>
      </w:pPr>
      <w:r w:rsidRPr="0065394D">
        <w:t>Review of the Allegations</w:t>
      </w:r>
    </w:p>
    <w:p w:rsidR="00592B9C" w:rsidRPr="00592B9C" w:rsidRDefault="00592B9C" w:rsidP="00592B9C">
      <w:pPr>
        <w:pStyle w:val="AGRBodyText"/>
      </w:pPr>
      <w:r w:rsidRPr="00592B9C">
        <w:t>I reviewed the contents of the letter and concluded that the Act was not contravened.  I arrived at that conclusion because I did not consider that the letter:</w:t>
      </w:r>
    </w:p>
    <w:p w:rsidR="00592B9C" w:rsidRPr="00411865" w:rsidRDefault="00592B9C" w:rsidP="00592B9C">
      <w:pPr>
        <w:pStyle w:val="AGRBulletText"/>
      </w:pPr>
      <w:r w:rsidRPr="00411865">
        <w:t>include</w:t>
      </w:r>
      <w:r>
        <w:t>d</w:t>
      </w:r>
      <w:r w:rsidRPr="00411865">
        <w:t xml:space="preserve"> any overt statements that might be construed as promoting a particular political party’s interests;</w:t>
      </w:r>
    </w:p>
    <w:p w:rsidR="00592B9C" w:rsidRPr="00411865" w:rsidRDefault="00592B9C" w:rsidP="00592B9C">
      <w:pPr>
        <w:pStyle w:val="AGRBulletText"/>
      </w:pPr>
      <w:r w:rsidRPr="00411865">
        <w:t>include</w:t>
      </w:r>
      <w:r>
        <w:t>d</w:t>
      </w:r>
      <w:r w:rsidRPr="00411865">
        <w:t xml:space="preserve"> statements that were misleading or factually inaccurate; or</w:t>
      </w:r>
    </w:p>
    <w:p w:rsidR="00592B9C" w:rsidRDefault="00592B9C" w:rsidP="00592B9C">
      <w:pPr>
        <w:pStyle w:val="AGRBulletText"/>
      </w:pPr>
      <w:r>
        <w:t>confused</w:t>
      </w:r>
      <w:r w:rsidRPr="00411865">
        <w:t xml:space="preserve"> statement</w:t>
      </w:r>
      <w:r>
        <w:t xml:space="preserve">s of </w:t>
      </w:r>
      <w:r w:rsidRPr="00411865">
        <w:t>facts from statement</w:t>
      </w:r>
      <w:r>
        <w:t>s</w:t>
      </w:r>
      <w:r w:rsidRPr="00411865">
        <w:t xml:space="preserve"> of comments.</w:t>
      </w:r>
    </w:p>
    <w:p w:rsidR="00592B9C" w:rsidRDefault="00592B9C" w:rsidP="00592B9C">
      <w:pPr>
        <w:pStyle w:val="AGRBodyText"/>
      </w:pPr>
      <w:r>
        <w:t xml:space="preserve">The statements made in the letter and, in particular, the table that was included as part of the letter were, in my opinion, based on data that </w:t>
      </w:r>
      <w:r w:rsidR="002A7641">
        <w:t>are</w:t>
      </w:r>
      <w:r>
        <w:t xml:space="preserve"> verifiable.  The figures contained in the table represent the difference between what the schools listed might expect to receive over a six year period under existing funding arrangements and what they might expect to receive under the funding model proposed by the Commonwealth if not for the safety net included by the Commonwealth to ensure no school received less </w:t>
      </w:r>
      <w:r w:rsidR="002A7641">
        <w:t>than</w:t>
      </w:r>
      <w:r>
        <w:t xml:space="preserve"> it did previously.  In essence, schools that currently receive funding that is greater than the Commonwealth’s Schooling Resource Standard (SRS) will be limited to nominal annual funding increases of 3 per cent until such time as their real funding levels have declined to match the SRS.  In contrast, schools that are funded at levels that are below the SRS will receive real funding increases until such time as they reach the SRS level.  While the data set out in the table was confined to schools that might expect to face real declines in funding I formed the view that the intention of the letter was to demonstrate the extent to which some schools might be disadvantaged under the proposed Commonwealth funding model.</w:t>
      </w:r>
    </w:p>
    <w:p w:rsidR="00592B9C" w:rsidRDefault="00592B9C" w:rsidP="00592B9C">
      <w:pPr>
        <w:pStyle w:val="AGRHeading1"/>
      </w:pPr>
      <w:r>
        <w:t xml:space="preserve">Matters Referred to Auditor-General Pursuant to Section 6 of </w:t>
      </w:r>
      <w:r w:rsidR="00CF60C8">
        <w:t xml:space="preserve">the </w:t>
      </w:r>
      <w:r>
        <w:t>Public Information Act cont…</w:t>
      </w:r>
    </w:p>
    <w:p w:rsidR="00592B9C" w:rsidRPr="00592B9C" w:rsidRDefault="00592B9C" w:rsidP="00592B9C">
      <w:pPr>
        <w:pStyle w:val="AGRHeading2"/>
      </w:pPr>
      <w:r w:rsidRPr="008A6A1B">
        <w:t>Conclusions</w:t>
      </w:r>
    </w:p>
    <w:p w:rsidR="00592B9C" w:rsidRPr="008819AE" w:rsidRDefault="00592B9C" w:rsidP="00592B9C">
      <w:pPr>
        <w:rPr>
          <w:rFonts w:cs="Arial"/>
        </w:rPr>
      </w:pPr>
      <w:r>
        <w:rPr>
          <w:rFonts w:cs="Arial"/>
        </w:rPr>
        <w:t xml:space="preserve">As a result of my review </w:t>
      </w:r>
      <w:r w:rsidRPr="0065394D">
        <w:rPr>
          <w:rFonts w:cs="Arial"/>
        </w:rPr>
        <w:t>I concluded that</w:t>
      </w:r>
      <w:r>
        <w:rPr>
          <w:rFonts w:cs="Arial"/>
        </w:rPr>
        <w:t xml:space="preserve"> </w:t>
      </w:r>
      <w:r w:rsidRPr="008819AE">
        <w:rPr>
          <w:rFonts w:cs="Arial"/>
        </w:rPr>
        <w:t xml:space="preserve">a contravention of the </w:t>
      </w:r>
      <w:r w:rsidRPr="008819AE">
        <w:rPr>
          <w:rFonts w:cs="Arial"/>
          <w:i/>
        </w:rPr>
        <w:t>Public Information Act</w:t>
      </w:r>
      <w:r w:rsidRPr="008819AE">
        <w:rPr>
          <w:rFonts w:cs="Arial"/>
        </w:rPr>
        <w:t xml:space="preserve"> did not occur in that: </w:t>
      </w:r>
    </w:p>
    <w:p w:rsidR="00592B9C" w:rsidRPr="008868A2" w:rsidRDefault="00592B9C" w:rsidP="00592B9C">
      <w:pPr>
        <w:pStyle w:val="AGRBulletText"/>
      </w:pPr>
      <w:r>
        <w:t>statements of comment in the letter were distinguishable from statements of fact</w:t>
      </w:r>
      <w:r w:rsidRPr="008868A2">
        <w:t>;</w:t>
      </w:r>
    </w:p>
    <w:p w:rsidR="00592B9C" w:rsidRDefault="00592B9C" w:rsidP="00592B9C">
      <w:pPr>
        <w:pStyle w:val="AGRBulletText"/>
      </w:pPr>
      <w:r w:rsidRPr="008868A2">
        <w:t xml:space="preserve">the </w:t>
      </w:r>
      <w:r>
        <w:t>letter</w:t>
      </w:r>
      <w:r w:rsidRPr="008868A2">
        <w:t xml:space="preserve"> </w:t>
      </w:r>
      <w:r>
        <w:t xml:space="preserve">did not </w:t>
      </w:r>
      <w:r w:rsidRPr="008868A2">
        <w:t xml:space="preserve">contain comments that might be construed by a reasonable person as </w:t>
      </w:r>
      <w:r>
        <w:t>misleading or factually inaccurate; and</w:t>
      </w:r>
    </w:p>
    <w:p w:rsidR="00592B9C" w:rsidRDefault="00592B9C" w:rsidP="00592B9C">
      <w:pPr>
        <w:pStyle w:val="AGRBulletText"/>
      </w:pPr>
      <w:r>
        <w:t>the letter did not include statements that a reasonable person might consider as comment on the views, policies or actions intended to promote the interests of a particular political party.</w:t>
      </w:r>
    </w:p>
    <w:p w:rsidR="00592B9C" w:rsidRDefault="00592B9C" w:rsidP="00592B9C">
      <w:pPr>
        <w:pStyle w:val="AGRHeading2"/>
      </w:pPr>
      <w:r w:rsidRPr="0065394D">
        <w:t>Recommendation</w:t>
      </w:r>
    </w:p>
    <w:p w:rsidR="00592B9C" w:rsidRPr="0065394D" w:rsidRDefault="00592B9C" w:rsidP="00592B9C">
      <w:pPr>
        <w:pStyle w:val="AGRBodyText"/>
      </w:pPr>
      <w:r w:rsidRPr="0065394D">
        <w:t>Section 8(3) of the Act permits me to make recommendations.  However, any recommendations under that section are limited to:</w:t>
      </w:r>
    </w:p>
    <w:p w:rsidR="00592B9C" w:rsidRPr="0065394D" w:rsidRDefault="00592B9C" w:rsidP="00592B9C">
      <w:pPr>
        <w:pStyle w:val="AGRBulletText"/>
      </w:pPr>
      <w:r w:rsidRPr="0065394D">
        <w:t>the withdrawal of the public information; or</w:t>
      </w:r>
    </w:p>
    <w:p w:rsidR="00592B9C" w:rsidRDefault="00592B9C" w:rsidP="00592B9C">
      <w:pPr>
        <w:pStyle w:val="AGRBulletText"/>
      </w:pPr>
      <w:r w:rsidRPr="0065394D">
        <w:t>that specified changes be made to the content of the public information.</w:t>
      </w:r>
    </w:p>
    <w:p w:rsidR="00592B9C" w:rsidRDefault="00592B9C" w:rsidP="00592B9C">
      <w:pPr>
        <w:pStyle w:val="AGRBodyText"/>
      </w:pPr>
      <w:r>
        <w:t>Given my conclusions, above, I made no recommendations in relation to this letter</w:t>
      </w:r>
      <w:r w:rsidRPr="0065394D">
        <w:t>.</w:t>
      </w:r>
    </w:p>
    <w:p w:rsidR="00BB1EAA" w:rsidRDefault="00BB1EAA" w:rsidP="008970FB">
      <w:pPr>
        <w:spacing w:after="0" w:line="240" w:lineRule="auto"/>
        <w:sectPr w:rsidR="00BB1EAA" w:rsidSect="00BB1EAA">
          <w:headerReference w:type="even" r:id="rId38"/>
          <w:headerReference w:type="default" r:id="rId39"/>
          <w:headerReference w:type="first" r:id="rId40"/>
          <w:pgSz w:w="11906" w:h="16838" w:code="9"/>
          <w:pgMar w:top="3119" w:right="1418" w:bottom="1134" w:left="1418" w:header="340" w:footer="567" w:gutter="284"/>
          <w:cols w:space="708"/>
          <w:docGrid w:linePitch="360"/>
        </w:sectPr>
      </w:pPr>
    </w:p>
    <w:p w:rsidR="00D73ABE" w:rsidRPr="00732782" w:rsidRDefault="0035002A" w:rsidP="00526DBD">
      <w:pPr>
        <w:pStyle w:val="AGRHeading1"/>
        <w:jc w:val="center"/>
      </w:pPr>
      <w:r w:rsidRPr="00732782">
        <w:t>Appendices</w:t>
      </w:r>
    </w:p>
    <w:p w:rsidR="0035002A" w:rsidRPr="00732782" w:rsidRDefault="0035002A" w:rsidP="00526DBD">
      <w:pPr>
        <w:pStyle w:val="AGRHeading1"/>
        <w:jc w:val="center"/>
        <w:sectPr w:rsidR="0035002A" w:rsidRPr="00732782" w:rsidSect="00444AA6">
          <w:headerReference w:type="even" r:id="rId41"/>
          <w:headerReference w:type="default" r:id="rId42"/>
          <w:headerReference w:type="first" r:id="rId43"/>
          <w:pgSz w:w="11906" w:h="16838" w:code="9"/>
          <w:pgMar w:top="1287" w:right="1418" w:bottom="1134" w:left="1418" w:header="340" w:footer="567" w:gutter="284"/>
          <w:cols w:space="708"/>
          <w:vAlign w:val="center"/>
          <w:docGrid w:linePitch="360"/>
        </w:sectPr>
      </w:pPr>
    </w:p>
    <w:p w:rsidR="0035002A" w:rsidRPr="00926C72" w:rsidRDefault="00F5017F" w:rsidP="0083183F">
      <w:pPr>
        <w:pStyle w:val="AGRHeading1"/>
      </w:pPr>
      <w:r>
        <w:rPr>
          <w:noProof/>
          <w:w w:val="100"/>
          <w:lang w:eastAsia="en-AU"/>
        </w:rPr>
        <mc:AlternateContent>
          <mc:Choice Requires="wps">
            <w:drawing>
              <wp:anchor distT="0" distB="0" distL="114300" distR="114300" simplePos="0" relativeHeight="251657216" behindDoc="0" locked="0" layoutInCell="1" allowOverlap="1" wp14:anchorId="2BF0850A" wp14:editId="452C8EC0">
                <wp:simplePos x="0" y="0"/>
                <wp:positionH relativeFrom="page">
                  <wp:align>center</wp:align>
                </wp:positionH>
                <wp:positionV relativeFrom="page">
                  <wp:align>center</wp:align>
                </wp:positionV>
                <wp:extent cx="1837055" cy="292735"/>
                <wp:effectExtent l="1905"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E4C2C" w:rsidRDefault="009E4C2C" w:rsidP="0035002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0;margin-top:0;width:144.65pt;height:23.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j7fQIAAP8E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BhBUj7fQIAAP8EAAAO&#10;AAAAAAAAAAAAAAAAAC4CAABkcnMvZTJvRG9jLnhtbFBLAQItABQABgAIAAAAIQBAtcdy2gAAAAQB&#10;AAAPAAAAAAAAAAAAAAAAANcEAABkcnMvZG93bnJldi54bWxQSwUGAAAAAAQABADzAAAA3gUAAAAA&#10;" stroked="f" strokeweight="1pt">
                <v:textbox inset="0,0,0,0">
                  <w:txbxContent>
                    <w:p w:rsidR="009E4C2C" w:rsidRDefault="009E4C2C" w:rsidP="0035002A">
                      <w:pPr>
                        <w:pStyle w:val="AGRTableText"/>
                      </w:pPr>
                      <w:r>
                        <w:t>This page deliberately left blank.</w:t>
                      </w:r>
                    </w:p>
                  </w:txbxContent>
                </v:textbox>
                <w10:wrap anchorx="page" anchory="page"/>
              </v:rect>
            </w:pict>
          </mc:Fallback>
        </mc:AlternateContent>
      </w:r>
    </w:p>
    <w:p w:rsidR="00CE3C75" w:rsidRDefault="00CE3C75" w:rsidP="0083183F">
      <w:pPr>
        <w:pStyle w:val="AGRHeading1"/>
      </w:pPr>
      <w:bookmarkStart w:id="46" w:name="appendix_1_short"/>
      <w:bookmarkStart w:id="47" w:name="appendix_1"/>
      <w:r w:rsidRPr="00732782">
        <w:t>Appendix 1</w:t>
      </w:r>
      <w:bookmarkEnd w:id="46"/>
      <w:r w:rsidRPr="00732782">
        <w:t xml:space="preserve">: Audit Opinion </w:t>
      </w:r>
      <w:r w:rsidR="006E2C29">
        <w:t>R</w:t>
      </w:r>
      <w:r w:rsidRPr="00732782">
        <w:t xml:space="preserve">eports </w:t>
      </w:r>
      <w:r w:rsidR="006E2C29">
        <w:t>I</w:t>
      </w:r>
      <w:r w:rsidR="004A41C8">
        <w:t xml:space="preserve">ssued </w:t>
      </w:r>
      <w:r w:rsidR="006E2C29">
        <w:t>S</w:t>
      </w:r>
      <w:r w:rsidR="00B51735" w:rsidRPr="00732782">
        <w:t>i</w:t>
      </w:r>
      <w:r w:rsidR="007F13E1" w:rsidRPr="00732782">
        <w:t>nc</w:t>
      </w:r>
      <w:r w:rsidRPr="00732782">
        <w:t xml:space="preserve">e 31 December </w:t>
      </w:r>
      <w:r w:rsidR="00313635">
        <w:t>20</w:t>
      </w:r>
      <w:r w:rsidR="00036669">
        <w:t>12</w:t>
      </w:r>
      <w:bookmarkEnd w:id="47"/>
    </w:p>
    <w:p w:rsidR="00E14F07" w:rsidRPr="00293C4C" w:rsidRDefault="00E14F07" w:rsidP="00E14F07">
      <w:pPr>
        <w:pStyle w:val="AGRHeading2"/>
        <w:ind w:left="0"/>
      </w:pPr>
      <w:r>
        <w:t>Financial Statements for the year ended 30 June 2012</w:t>
      </w:r>
    </w:p>
    <w:tbl>
      <w:tblPr>
        <w:tblW w:w="9108" w:type="dxa"/>
        <w:tblLayout w:type="fixed"/>
        <w:tblLook w:val="01E0" w:firstRow="1" w:lastRow="1" w:firstColumn="1" w:lastColumn="1" w:noHBand="0" w:noVBand="0"/>
      </w:tblPr>
      <w:tblGrid>
        <w:gridCol w:w="3708"/>
        <w:gridCol w:w="1800"/>
        <w:gridCol w:w="1800"/>
        <w:gridCol w:w="1800"/>
      </w:tblGrid>
      <w:tr w:rsidR="00E14F07" w:rsidRPr="00732782" w:rsidTr="00387B93">
        <w:tc>
          <w:tcPr>
            <w:tcW w:w="3708" w:type="dxa"/>
            <w:tcBorders>
              <w:bottom w:val="single" w:sz="4" w:space="0" w:color="auto"/>
            </w:tcBorders>
            <w:vAlign w:val="bottom"/>
          </w:tcPr>
          <w:p w:rsidR="00E14F07" w:rsidRPr="00732782" w:rsidRDefault="00E14F07" w:rsidP="00190059">
            <w:pPr>
              <w:pStyle w:val="AGRTOC"/>
            </w:pPr>
          </w:p>
        </w:tc>
        <w:tc>
          <w:tcPr>
            <w:tcW w:w="1800" w:type="dxa"/>
            <w:tcBorders>
              <w:bottom w:val="single" w:sz="4" w:space="0" w:color="auto"/>
            </w:tcBorders>
            <w:vAlign w:val="bottom"/>
          </w:tcPr>
          <w:p w:rsidR="00E14F07" w:rsidRPr="00732782" w:rsidRDefault="00E14F07" w:rsidP="00190059">
            <w:pPr>
              <w:pStyle w:val="AGRTableText"/>
              <w:jc w:val="center"/>
            </w:pPr>
            <w:r w:rsidRPr="00732782">
              <w:t xml:space="preserve">Date </w:t>
            </w:r>
            <w:r>
              <w:t>2012</w:t>
            </w:r>
            <w:r w:rsidRPr="00732782">
              <w:t xml:space="preserve"> Financial Statements tabled to Legislative Assembly</w:t>
            </w:r>
          </w:p>
        </w:tc>
        <w:tc>
          <w:tcPr>
            <w:tcW w:w="1800" w:type="dxa"/>
            <w:tcBorders>
              <w:bottom w:val="single" w:sz="4" w:space="0" w:color="auto"/>
            </w:tcBorders>
            <w:vAlign w:val="bottom"/>
          </w:tcPr>
          <w:p w:rsidR="00E14F07" w:rsidRPr="00732782" w:rsidRDefault="00E14F07" w:rsidP="00E14F07">
            <w:pPr>
              <w:pStyle w:val="AGRTableText"/>
              <w:jc w:val="center"/>
            </w:pPr>
            <w:r w:rsidRPr="00732782">
              <w:t xml:space="preserve">Date of Audit report Year ended </w:t>
            </w:r>
            <w:r>
              <w:t>30 June 2012</w:t>
            </w:r>
          </w:p>
        </w:tc>
        <w:tc>
          <w:tcPr>
            <w:tcW w:w="1800" w:type="dxa"/>
            <w:tcBorders>
              <w:bottom w:val="single" w:sz="4" w:space="0" w:color="auto"/>
            </w:tcBorders>
            <w:vAlign w:val="bottom"/>
          </w:tcPr>
          <w:p w:rsidR="00E14F07" w:rsidRPr="00732782" w:rsidRDefault="00E14F07" w:rsidP="00E14F07">
            <w:pPr>
              <w:pStyle w:val="AGRTableText"/>
              <w:jc w:val="center"/>
            </w:pPr>
            <w:r w:rsidRPr="00732782">
              <w:t xml:space="preserve">Date of Audit report Year ended </w:t>
            </w:r>
            <w:r>
              <w:t>30 June 2011</w:t>
            </w:r>
          </w:p>
        </w:tc>
      </w:tr>
      <w:tr w:rsidR="00A54CF7" w:rsidRPr="00732782" w:rsidTr="00387B93">
        <w:tc>
          <w:tcPr>
            <w:tcW w:w="3708" w:type="dxa"/>
          </w:tcPr>
          <w:p w:rsidR="00A54CF7" w:rsidRPr="00732782" w:rsidRDefault="00A54CF7" w:rsidP="001D7A16">
            <w:pPr>
              <w:pStyle w:val="AGRTableText"/>
            </w:pPr>
            <w:r>
              <w:t>Cobourg Peninsula Sanctuary and Marine Park Board</w:t>
            </w:r>
          </w:p>
        </w:tc>
        <w:tc>
          <w:tcPr>
            <w:tcW w:w="1800" w:type="dxa"/>
            <w:tcBorders>
              <w:top w:val="single" w:sz="4" w:space="0" w:color="auto"/>
            </w:tcBorders>
            <w:shd w:val="clear" w:color="auto" w:fill="auto"/>
            <w:vAlign w:val="bottom"/>
          </w:tcPr>
          <w:p w:rsidR="00A54CF7" w:rsidRPr="00732782" w:rsidRDefault="00387B93" w:rsidP="001D7A16">
            <w:pPr>
              <w:pStyle w:val="AGRTableNumbers"/>
              <w:jc w:val="right"/>
            </w:pPr>
            <w:r>
              <w:t>Not yet tabled</w:t>
            </w:r>
          </w:p>
        </w:tc>
        <w:tc>
          <w:tcPr>
            <w:tcW w:w="1800" w:type="dxa"/>
            <w:vAlign w:val="bottom"/>
          </w:tcPr>
          <w:p w:rsidR="00A54CF7" w:rsidRPr="00732782" w:rsidRDefault="006557D9" w:rsidP="001D7A16">
            <w:pPr>
              <w:pStyle w:val="AGRTableNumbers"/>
              <w:jc w:val="right"/>
            </w:pPr>
            <w:r>
              <w:t>20 May 13</w:t>
            </w:r>
          </w:p>
        </w:tc>
        <w:tc>
          <w:tcPr>
            <w:tcW w:w="1800" w:type="dxa"/>
            <w:vAlign w:val="bottom"/>
          </w:tcPr>
          <w:p w:rsidR="00A54CF7" w:rsidRDefault="00A54CF7" w:rsidP="001D7A16">
            <w:pPr>
              <w:pStyle w:val="AGRTableNumbers"/>
              <w:jc w:val="right"/>
            </w:pPr>
            <w:r>
              <w:t>21 November 11</w:t>
            </w:r>
          </w:p>
        </w:tc>
      </w:tr>
      <w:tr w:rsidR="00E14F07" w:rsidRPr="00732782" w:rsidTr="00190059">
        <w:tc>
          <w:tcPr>
            <w:tcW w:w="3708" w:type="dxa"/>
            <w:tcBorders>
              <w:bottom w:val="single" w:sz="4" w:space="0" w:color="auto"/>
            </w:tcBorders>
          </w:tcPr>
          <w:p w:rsidR="00E14F07" w:rsidRPr="00732782" w:rsidRDefault="00E14F07" w:rsidP="00190059">
            <w:pPr>
              <w:pStyle w:val="AGRTableText"/>
            </w:pPr>
            <w:r w:rsidRPr="00E14F07">
              <w:t>Northern Territory Major Events Company Pty</w:t>
            </w:r>
            <w:r w:rsidR="0056351C">
              <w:t xml:space="preserve"> Ltd</w:t>
            </w:r>
          </w:p>
        </w:tc>
        <w:tc>
          <w:tcPr>
            <w:tcW w:w="1800" w:type="dxa"/>
            <w:tcBorders>
              <w:bottom w:val="single" w:sz="4" w:space="0" w:color="auto"/>
            </w:tcBorders>
            <w:vAlign w:val="bottom"/>
          </w:tcPr>
          <w:p w:rsidR="00E14F07" w:rsidRPr="00732782" w:rsidRDefault="00387B93" w:rsidP="00190059">
            <w:pPr>
              <w:pStyle w:val="AGRTableNumbers"/>
              <w:jc w:val="right"/>
            </w:pPr>
            <w:r>
              <w:t>Not required</w:t>
            </w:r>
          </w:p>
        </w:tc>
        <w:tc>
          <w:tcPr>
            <w:tcW w:w="1800" w:type="dxa"/>
            <w:tcBorders>
              <w:bottom w:val="single" w:sz="4" w:space="0" w:color="auto"/>
            </w:tcBorders>
            <w:vAlign w:val="bottom"/>
          </w:tcPr>
          <w:p w:rsidR="00E14F07" w:rsidRPr="00732782" w:rsidRDefault="00A54CF7" w:rsidP="00A54CF7">
            <w:pPr>
              <w:pStyle w:val="AGRTableNumbers"/>
              <w:jc w:val="right"/>
            </w:pPr>
            <w:r>
              <w:t xml:space="preserve">26 March </w:t>
            </w:r>
            <w:r w:rsidR="00E14F07">
              <w:t>13</w:t>
            </w:r>
          </w:p>
        </w:tc>
        <w:tc>
          <w:tcPr>
            <w:tcW w:w="1800" w:type="dxa"/>
            <w:tcBorders>
              <w:bottom w:val="single" w:sz="4" w:space="0" w:color="auto"/>
            </w:tcBorders>
            <w:vAlign w:val="bottom"/>
          </w:tcPr>
          <w:p w:rsidR="00E14F07" w:rsidRPr="00732782" w:rsidRDefault="00A54CF7" w:rsidP="00190059">
            <w:pPr>
              <w:pStyle w:val="AGRTableNumbers"/>
              <w:jc w:val="right"/>
            </w:pPr>
            <w:r>
              <w:t xml:space="preserve">12 January </w:t>
            </w:r>
            <w:r w:rsidR="008A127F">
              <w:t>12</w:t>
            </w:r>
          </w:p>
        </w:tc>
      </w:tr>
    </w:tbl>
    <w:p w:rsidR="00E14F07" w:rsidRDefault="00E14F07" w:rsidP="00293C4C">
      <w:pPr>
        <w:pStyle w:val="AGRHeading2"/>
        <w:ind w:left="0"/>
      </w:pPr>
    </w:p>
    <w:p w:rsidR="00293C4C" w:rsidRPr="00293C4C" w:rsidRDefault="00293C4C" w:rsidP="00293C4C">
      <w:pPr>
        <w:pStyle w:val="AGRHeading2"/>
        <w:ind w:left="0"/>
      </w:pPr>
      <w:r>
        <w:t xml:space="preserve">Financial Statements for the year ended 31 December </w:t>
      </w:r>
      <w:r w:rsidR="00313635">
        <w:t>201</w:t>
      </w:r>
      <w:r w:rsidR="00036669">
        <w:t>2</w:t>
      </w:r>
    </w:p>
    <w:tbl>
      <w:tblPr>
        <w:tblW w:w="9108" w:type="dxa"/>
        <w:tblLayout w:type="fixed"/>
        <w:tblLook w:val="01E0" w:firstRow="1" w:lastRow="1" w:firstColumn="1" w:lastColumn="1" w:noHBand="0" w:noVBand="0"/>
      </w:tblPr>
      <w:tblGrid>
        <w:gridCol w:w="3708"/>
        <w:gridCol w:w="1800"/>
        <w:gridCol w:w="1800"/>
        <w:gridCol w:w="1800"/>
      </w:tblGrid>
      <w:tr w:rsidR="00293C4C" w:rsidRPr="00732782" w:rsidTr="00387B93">
        <w:tc>
          <w:tcPr>
            <w:tcW w:w="3708" w:type="dxa"/>
            <w:tcBorders>
              <w:bottom w:val="single" w:sz="4" w:space="0" w:color="auto"/>
            </w:tcBorders>
            <w:vAlign w:val="bottom"/>
          </w:tcPr>
          <w:p w:rsidR="00293C4C" w:rsidRPr="00732782" w:rsidRDefault="00293C4C" w:rsidP="00293C4C">
            <w:pPr>
              <w:pStyle w:val="AGRTOC"/>
            </w:pPr>
          </w:p>
        </w:tc>
        <w:tc>
          <w:tcPr>
            <w:tcW w:w="1800" w:type="dxa"/>
            <w:tcBorders>
              <w:bottom w:val="single" w:sz="4" w:space="0" w:color="auto"/>
            </w:tcBorders>
            <w:vAlign w:val="bottom"/>
          </w:tcPr>
          <w:p w:rsidR="00293C4C" w:rsidRPr="00732782" w:rsidRDefault="00293C4C" w:rsidP="00036669">
            <w:pPr>
              <w:pStyle w:val="AGRTableText"/>
              <w:jc w:val="center"/>
            </w:pPr>
            <w:r w:rsidRPr="00732782">
              <w:t xml:space="preserve">Date </w:t>
            </w:r>
            <w:r w:rsidR="00313635">
              <w:t>201</w:t>
            </w:r>
            <w:r w:rsidR="00036669">
              <w:t>2</w:t>
            </w:r>
            <w:r w:rsidRPr="00732782">
              <w:t xml:space="preserve"> Financial Statements tabled to Legislative Assembly</w:t>
            </w:r>
          </w:p>
        </w:tc>
        <w:tc>
          <w:tcPr>
            <w:tcW w:w="1800" w:type="dxa"/>
            <w:tcBorders>
              <w:bottom w:val="single" w:sz="4" w:space="0" w:color="auto"/>
            </w:tcBorders>
            <w:vAlign w:val="bottom"/>
          </w:tcPr>
          <w:p w:rsidR="00293C4C" w:rsidRPr="00732782" w:rsidRDefault="00293C4C" w:rsidP="00036669">
            <w:pPr>
              <w:pStyle w:val="AGRTableText"/>
              <w:jc w:val="center"/>
            </w:pPr>
            <w:r w:rsidRPr="00732782">
              <w:t xml:space="preserve">Date of Audit report Year ended 31 December </w:t>
            </w:r>
            <w:r w:rsidR="00313635">
              <w:t>201</w:t>
            </w:r>
            <w:r w:rsidR="00036669">
              <w:t>2</w:t>
            </w:r>
          </w:p>
        </w:tc>
        <w:tc>
          <w:tcPr>
            <w:tcW w:w="1800" w:type="dxa"/>
            <w:tcBorders>
              <w:bottom w:val="single" w:sz="4" w:space="0" w:color="auto"/>
            </w:tcBorders>
            <w:vAlign w:val="bottom"/>
          </w:tcPr>
          <w:p w:rsidR="00293C4C" w:rsidRPr="00732782" w:rsidRDefault="00293C4C" w:rsidP="00036669">
            <w:pPr>
              <w:pStyle w:val="AGRTableText"/>
              <w:jc w:val="center"/>
            </w:pPr>
            <w:r w:rsidRPr="00732782">
              <w:t xml:space="preserve">Date of Audit report Year ended 31 December </w:t>
            </w:r>
            <w:r w:rsidR="00982C76">
              <w:t>201</w:t>
            </w:r>
            <w:r w:rsidR="00036669">
              <w:t>1</w:t>
            </w:r>
          </w:p>
        </w:tc>
      </w:tr>
      <w:tr w:rsidR="00036669" w:rsidRPr="00732782" w:rsidTr="00387B93">
        <w:tc>
          <w:tcPr>
            <w:tcW w:w="3708" w:type="dxa"/>
          </w:tcPr>
          <w:p w:rsidR="00036669" w:rsidRPr="00732782" w:rsidRDefault="00036669" w:rsidP="00293C4C">
            <w:pPr>
              <w:pStyle w:val="AGRTableText"/>
            </w:pPr>
            <w:r w:rsidRPr="00732782">
              <w:t>Batchelor Institute of Indigenous Tertiary Education</w:t>
            </w:r>
          </w:p>
        </w:tc>
        <w:tc>
          <w:tcPr>
            <w:tcW w:w="1800" w:type="dxa"/>
            <w:tcBorders>
              <w:top w:val="single" w:sz="4" w:space="0" w:color="auto"/>
            </w:tcBorders>
            <w:shd w:val="clear" w:color="auto" w:fill="auto"/>
            <w:vAlign w:val="bottom"/>
          </w:tcPr>
          <w:p w:rsidR="00036669" w:rsidRPr="00387B93" w:rsidRDefault="00387B93" w:rsidP="00293C4C">
            <w:pPr>
              <w:pStyle w:val="AGRTableNumbers"/>
              <w:jc w:val="right"/>
            </w:pPr>
            <w:r w:rsidRPr="00387B93">
              <w:t>Not yet tabled</w:t>
            </w:r>
          </w:p>
        </w:tc>
        <w:tc>
          <w:tcPr>
            <w:tcW w:w="1800" w:type="dxa"/>
            <w:tcBorders>
              <w:top w:val="single" w:sz="4" w:space="0" w:color="auto"/>
            </w:tcBorders>
            <w:shd w:val="clear" w:color="auto" w:fill="auto"/>
            <w:vAlign w:val="bottom"/>
          </w:tcPr>
          <w:p w:rsidR="00036669" w:rsidRPr="00387B93" w:rsidRDefault="00880D0C" w:rsidP="00293C4C">
            <w:pPr>
              <w:pStyle w:val="AGRTableNumbers"/>
              <w:jc w:val="right"/>
            </w:pPr>
            <w:r w:rsidRPr="00387B93">
              <w:t>31 May 13</w:t>
            </w:r>
          </w:p>
        </w:tc>
        <w:tc>
          <w:tcPr>
            <w:tcW w:w="1800" w:type="dxa"/>
            <w:vAlign w:val="bottom"/>
          </w:tcPr>
          <w:p w:rsidR="00036669" w:rsidRPr="00732782" w:rsidRDefault="00036669" w:rsidP="00B94157">
            <w:pPr>
              <w:pStyle w:val="AGRTableNumbers"/>
              <w:jc w:val="right"/>
            </w:pPr>
            <w:r>
              <w:t>26 June 12</w:t>
            </w:r>
          </w:p>
        </w:tc>
      </w:tr>
      <w:tr w:rsidR="004B3E0E" w:rsidRPr="00732782" w:rsidTr="00387B93">
        <w:tc>
          <w:tcPr>
            <w:tcW w:w="3708" w:type="dxa"/>
          </w:tcPr>
          <w:p w:rsidR="004B3E0E" w:rsidRPr="00732782" w:rsidRDefault="004B3E0E" w:rsidP="00293C4C">
            <w:pPr>
              <w:pStyle w:val="AGRTableText"/>
            </w:pPr>
            <w:r w:rsidRPr="00732782">
              <w:t>CDU Amenities Limited</w:t>
            </w:r>
          </w:p>
        </w:tc>
        <w:tc>
          <w:tcPr>
            <w:tcW w:w="1800" w:type="dxa"/>
            <w:shd w:val="clear" w:color="auto" w:fill="auto"/>
            <w:vAlign w:val="bottom"/>
          </w:tcPr>
          <w:p w:rsidR="004B3E0E" w:rsidRPr="00387B93" w:rsidRDefault="00387B93" w:rsidP="001D7A16">
            <w:pPr>
              <w:pStyle w:val="AGRTableNumbers"/>
              <w:jc w:val="right"/>
            </w:pPr>
            <w:r w:rsidRPr="00387B93">
              <w:t>Not required</w:t>
            </w:r>
          </w:p>
        </w:tc>
        <w:tc>
          <w:tcPr>
            <w:tcW w:w="1800" w:type="dxa"/>
            <w:shd w:val="clear" w:color="auto" w:fill="auto"/>
            <w:vAlign w:val="bottom"/>
          </w:tcPr>
          <w:p w:rsidR="004B3E0E" w:rsidRPr="00387B93" w:rsidRDefault="006557D9" w:rsidP="00293C4C">
            <w:pPr>
              <w:pStyle w:val="AGRTableNumbers"/>
              <w:jc w:val="right"/>
            </w:pPr>
            <w:r w:rsidRPr="00387B93">
              <w:t>22 May 13</w:t>
            </w:r>
          </w:p>
        </w:tc>
        <w:tc>
          <w:tcPr>
            <w:tcW w:w="1800" w:type="dxa"/>
            <w:vAlign w:val="bottom"/>
          </w:tcPr>
          <w:p w:rsidR="004B3E0E" w:rsidRPr="00732782" w:rsidRDefault="004B3E0E" w:rsidP="00B94157">
            <w:pPr>
              <w:pStyle w:val="AGRTableNumbers"/>
              <w:jc w:val="right"/>
            </w:pPr>
            <w:r>
              <w:t>4 May 12</w:t>
            </w:r>
          </w:p>
        </w:tc>
      </w:tr>
      <w:tr w:rsidR="004B3E0E" w:rsidRPr="00732782" w:rsidTr="00387B93">
        <w:tc>
          <w:tcPr>
            <w:tcW w:w="3708" w:type="dxa"/>
          </w:tcPr>
          <w:p w:rsidR="004B3E0E" w:rsidRPr="00732782" w:rsidRDefault="004B3E0E" w:rsidP="00293C4C">
            <w:pPr>
              <w:pStyle w:val="AGRTableText"/>
            </w:pPr>
            <w:r w:rsidRPr="00732782">
              <w:t>Charles Darwin University</w:t>
            </w:r>
          </w:p>
        </w:tc>
        <w:tc>
          <w:tcPr>
            <w:tcW w:w="1800" w:type="dxa"/>
            <w:shd w:val="clear" w:color="auto" w:fill="auto"/>
            <w:vAlign w:val="bottom"/>
          </w:tcPr>
          <w:p w:rsidR="004B3E0E" w:rsidRPr="00387B93" w:rsidRDefault="00387B93" w:rsidP="00A03618">
            <w:pPr>
              <w:pStyle w:val="AGRTableNumbers"/>
              <w:jc w:val="right"/>
            </w:pPr>
            <w:r w:rsidRPr="00387B93">
              <w:t>Not yet tabled</w:t>
            </w:r>
          </w:p>
        </w:tc>
        <w:tc>
          <w:tcPr>
            <w:tcW w:w="1800" w:type="dxa"/>
            <w:shd w:val="clear" w:color="auto" w:fill="auto"/>
            <w:vAlign w:val="bottom"/>
          </w:tcPr>
          <w:p w:rsidR="004B3E0E" w:rsidRPr="00387B93" w:rsidRDefault="006557D9" w:rsidP="00293C4C">
            <w:pPr>
              <w:pStyle w:val="AGRTableNumbers"/>
              <w:jc w:val="right"/>
            </w:pPr>
            <w:r w:rsidRPr="00387B93">
              <w:t>28 May 13</w:t>
            </w:r>
          </w:p>
        </w:tc>
        <w:tc>
          <w:tcPr>
            <w:tcW w:w="1800" w:type="dxa"/>
            <w:vAlign w:val="bottom"/>
          </w:tcPr>
          <w:p w:rsidR="004B3E0E" w:rsidRPr="00732782" w:rsidRDefault="004B3E0E" w:rsidP="00B94157">
            <w:pPr>
              <w:pStyle w:val="AGRTableNumbers"/>
              <w:jc w:val="right"/>
            </w:pPr>
            <w:r>
              <w:t>29 May 12</w:t>
            </w:r>
          </w:p>
        </w:tc>
      </w:tr>
      <w:tr w:rsidR="004B3E0E" w:rsidRPr="00732782" w:rsidTr="004B3E0E">
        <w:tc>
          <w:tcPr>
            <w:tcW w:w="3708" w:type="dxa"/>
          </w:tcPr>
          <w:p w:rsidR="004B3E0E" w:rsidRPr="00732782" w:rsidRDefault="004B3E0E" w:rsidP="00293C4C">
            <w:pPr>
              <w:pStyle w:val="AGRTableText"/>
            </w:pPr>
            <w:r w:rsidRPr="00732782">
              <w:t xml:space="preserve">Charles </w:t>
            </w:r>
            <w:r>
              <w:t xml:space="preserve">Darwin University Foundation </w:t>
            </w:r>
            <w:r>
              <w:br/>
              <w:t>(</w:t>
            </w:r>
            <w:r w:rsidRPr="00732782">
              <w:t>a company limited by guarantee)</w:t>
            </w:r>
          </w:p>
        </w:tc>
        <w:tc>
          <w:tcPr>
            <w:tcW w:w="1800" w:type="dxa"/>
            <w:shd w:val="clear" w:color="auto" w:fill="auto"/>
            <w:vAlign w:val="bottom"/>
          </w:tcPr>
          <w:p w:rsidR="004B3E0E" w:rsidRPr="00387B93" w:rsidRDefault="00387B93" w:rsidP="001D7A16">
            <w:pPr>
              <w:pStyle w:val="AGRTableNumbers"/>
              <w:jc w:val="right"/>
            </w:pPr>
            <w:r w:rsidRPr="00387B93">
              <w:t>Not required</w:t>
            </w:r>
          </w:p>
        </w:tc>
        <w:tc>
          <w:tcPr>
            <w:tcW w:w="1800" w:type="dxa"/>
            <w:vAlign w:val="bottom"/>
          </w:tcPr>
          <w:p w:rsidR="004B3E0E" w:rsidRPr="00387B93" w:rsidRDefault="006557D9" w:rsidP="00293C4C">
            <w:pPr>
              <w:pStyle w:val="AGRTableNumbers"/>
              <w:jc w:val="right"/>
            </w:pPr>
            <w:r w:rsidRPr="00387B93">
              <w:t>3 May 13</w:t>
            </w:r>
          </w:p>
        </w:tc>
        <w:tc>
          <w:tcPr>
            <w:tcW w:w="1800" w:type="dxa"/>
            <w:vAlign w:val="bottom"/>
          </w:tcPr>
          <w:p w:rsidR="004B3E0E" w:rsidRPr="00732782" w:rsidRDefault="004B3E0E" w:rsidP="00B94157">
            <w:pPr>
              <w:pStyle w:val="AGRTableNumbers"/>
              <w:jc w:val="right"/>
            </w:pPr>
            <w:r>
              <w:t>16 April 12</w:t>
            </w:r>
          </w:p>
        </w:tc>
      </w:tr>
      <w:tr w:rsidR="004B3E0E" w:rsidRPr="00732782" w:rsidTr="004B3E0E">
        <w:tc>
          <w:tcPr>
            <w:tcW w:w="3708" w:type="dxa"/>
          </w:tcPr>
          <w:p w:rsidR="004B3E0E" w:rsidRPr="00732782" w:rsidRDefault="004B3E0E" w:rsidP="00293C4C">
            <w:pPr>
              <w:pStyle w:val="AGRTableText"/>
            </w:pPr>
            <w:r w:rsidRPr="00732782">
              <w:t>Charles Darwin University Foundation Trust</w:t>
            </w:r>
          </w:p>
        </w:tc>
        <w:tc>
          <w:tcPr>
            <w:tcW w:w="1800" w:type="dxa"/>
            <w:shd w:val="clear" w:color="auto" w:fill="auto"/>
            <w:vAlign w:val="bottom"/>
          </w:tcPr>
          <w:p w:rsidR="004B3E0E" w:rsidRPr="00732782" w:rsidRDefault="00387B93" w:rsidP="001D7A16">
            <w:pPr>
              <w:pStyle w:val="AGRTableNumbers"/>
              <w:jc w:val="right"/>
            </w:pPr>
            <w:r>
              <w:t>Not required</w:t>
            </w:r>
          </w:p>
        </w:tc>
        <w:tc>
          <w:tcPr>
            <w:tcW w:w="1800" w:type="dxa"/>
            <w:vAlign w:val="bottom"/>
          </w:tcPr>
          <w:p w:rsidR="004B3E0E" w:rsidRPr="00732782" w:rsidRDefault="006557D9" w:rsidP="00293C4C">
            <w:pPr>
              <w:pStyle w:val="AGRTableNumbers"/>
              <w:jc w:val="right"/>
            </w:pPr>
            <w:r>
              <w:t>3 May 13</w:t>
            </w:r>
          </w:p>
        </w:tc>
        <w:tc>
          <w:tcPr>
            <w:tcW w:w="1800" w:type="dxa"/>
            <w:vAlign w:val="bottom"/>
          </w:tcPr>
          <w:p w:rsidR="004B3E0E" w:rsidRPr="00732782" w:rsidRDefault="004B3E0E" w:rsidP="00B94157">
            <w:pPr>
              <w:pStyle w:val="AGRTableNumbers"/>
              <w:jc w:val="right"/>
            </w:pPr>
            <w:r>
              <w:t>16 April 12</w:t>
            </w:r>
          </w:p>
        </w:tc>
      </w:tr>
      <w:tr w:rsidR="004B3E0E" w:rsidRPr="00732782" w:rsidTr="004B3E0E">
        <w:tc>
          <w:tcPr>
            <w:tcW w:w="3708" w:type="dxa"/>
            <w:tcBorders>
              <w:bottom w:val="single" w:sz="4" w:space="0" w:color="auto"/>
            </w:tcBorders>
          </w:tcPr>
          <w:p w:rsidR="004B3E0E" w:rsidRPr="00732782" w:rsidRDefault="004B3E0E" w:rsidP="00293C4C">
            <w:pPr>
              <w:pStyle w:val="AGRTableText"/>
            </w:pPr>
            <w:r w:rsidRPr="00732782">
              <w:t>Menzies School of Health Research</w:t>
            </w:r>
          </w:p>
        </w:tc>
        <w:tc>
          <w:tcPr>
            <w:tcW w:w="1800" w:type="dxa"/>
            <w:tcBorders>
              <w:bottom w:val="single" w:sz="4" w:space="0" w:color="auto"/>
            </w:tcBorders>
            <w:shd w:val="clear" w:color="auto" w:fill="auto"/>
            <w:vAlign w:val="bottom"/>
          </w:tcPr>
          <w:p w:rsidR="004B3E0E" w:rsidRPr="00732782" w:rsidRDefault="00387B93" w:rsidP="001D7A16">
            <w:pPr>
              <w:pStyle w:val="AGRTableNumbers"/>
              <w:jc w:val="right"/>
            </w:pPr>
            <w:r>
              <w:t>Not required</w:t>
            </w:r>
          </w:p>
        </w:tc>
        <w:tc>
          <w:tcPr>
            <w:tcW w:w="1800" w:type="dxa"/>
            <w:tcBorders>
              <w:bottom w:val="single" w:sz="4" w:space="0" w:color="auto"/>
            </w:tcBorders>
            <w:vAlign w:val="bottom"/>
          </w:tcPr>
          <w:p w:rsidR="004B3E0E" w:rsidRPr="00732782" w:rsidRDefault="004B3E0E" w:rsidP="00293C4C">
            <w:pPr>
              <w:pStyle w:val="AGRTableNumbers"/>
              <w:jc w:val="right"/>
            </w:pPr>
            <w:r>
              <w:t>13 May 13</w:t>
            </w:r>
          </w:p>
        </w:tc>
        <w:tc>
          <w:tcPr>
            <w:tcW w:w="1800" w:type="dxa"/>
            <w:tcBorders>
              <w:bottom w:val="single" w:sz="4" w:space="0" w:color="auto"/>
            </w:tcBorders>
            <w:vAlign w:val="bottom"/>
          </w:tcPr>
          <w:p w:rsidR="004B3E0E" w:rsidRPr="00732782" w:rsidRDefault="004B3E0E" w:rsidP="00B94157">
            <w:pPr>
              <w:pStyle w:val="AGRTableNumbers"/>
              <w:jc w:val="right"/>
            </w:pPr>
            <w:r>
              <w:t>9 May 12</w:t>
            </w:r>
          </w:p>
        </w:tc>
      </w:tr>
    </w:tbl>
    <w:p w:rsidR="00EC75C3" w:rsidRDefault="00387B93" w:rsidP="002F4F0B">
      <w:pPr>
        <w:pStyle w:val="AGRBodyText"/>
      </w:pPr>
      <w:r>
        <w:t>Not required</w:t>
      </w:r>
      <w:r w:rsidRPr="00EC75C3">
        <w:t xml:space="preserve"> </w:t>
      </w:r>
      <w:r w:rsidR="00EC75C3" w:rsidRPr="00EC75C3">
        <w:t xml:space="preserve">– </w:t>
      </w:r>
      <w:r>
        <w:t>Financial statements are not required to be tabled</w:t>
      </w:r>
    </w:p>
    <w:p w:rsidR="00387B93" w:rsidRPr="00EC75C3" w:rsidRDefault="00387B93" w:rsidP="002F4F0B">
      <w:pPr>
        <w:pStyle w:val="AGRBodyText"/>
      </w:pPr>
      <w:r>
        <w:t>Not yet tabled – as at 30 July 2013</w:t>
      </w:r>
    </w:p>
    <w:p w:rsidR="00293C4C" w:rsidRDefault="00293C4C" w:rsidP="002F4F0B">
      <w:pPr>
        <w:pStyle w:val="AGRBodyText"/>
      </w:pPr>
    </w:p>
    <w:p w:rsidR="00FE30FB" w:rsidRDefault="00FE30FB" w:rsidP="0083183F">
      <w:pPr>
        <w:pStyle w:val="AGRHeading1"/>
      </w:pPr>
      <w:r w:rsidRPr="00732782">
        <w:t>App</w:t>
      </w:r>
      <w:r w:rsidR="006E2C29">
        <w:t>endix 1: Audit Opinion R</w:t>
      </w:r>
      <w:r w:rsidR="003D21F8">
        <w:t xml:space="preserve">eports </w:t>
      </w:r>
      <w:r w:rsidR="006E2C29">
        <w:t>Issued S</w:t>
      </w:r>
      <w:r w:rsidR="00B51735" w:rsidRPr="00732782">
        <w:t>i</w:t>
      </w:r>
      <w:r w:rsidR="007F13E1" w:rsidRPr="00732782">
        <w:t>nc</w:t>
      </w:r>
      <w:r w:rsidRPr="00732782">
        <w:t xml:space="preserve">e </w:t>
      </w:r>
      <w:r w:rsidR="00C90BF2">
        <w:t xml:space="preserve">31 December </w:t>
      </w:r>
      <w:r w:rsidR="00313635">
        <w:t>201</w:t>
      </w:r>
      <w:r w:rsidR="00036669">
        <w:t>2</w:t>
      </w:r>
      <w:r w:rsidRPr="00732782">
        <w:t xml:space="preserve"> cont…</w:t>
      </w:r>
    </w:p>
    <w:p w:rsidR="00A57158" w:rsidRPr="00A57158" w:rsidRDefault="00A57158" w:rsidP="00A57158">
      <w:pPr>
        <w:pStyle w:val="AGRHeading2"/>
        <w:ind w:left="0"/>
      </w:pPr>
      <w:r w:rsidRPr="00A57158">
        <w:t>Acquittals or other returns – for the year ended 31 December 2012</w:t>
      </w:r>
    </w:p>
    <w:tbl>
      <w:tblPr>
        <w:tblW w:w="9108" w:type="dxa"/>
        <w:tblLayout w:type="fixed"/>
        <w:tblLook w:val="01E0" w:firstRow="1" w:lastRow="1" w:firstColumn="1" w:lastColumn="1" w:noHBand="0" w:noVBand="0"/>
      </w:tblPr>
      <w:tblGrid>
        <w:gridCol w:w="3708"/>
        <w:gridCol w:w="1800"/>
        <w:gridCol w:w="1800"/>
        <w:gridCol w:w="1800"/>
      </w:tblGrid>
      <w:tr w:rsidR="00A57158" w:rsidRPr="00A57158" w:rsidTr="001D7A16">
        <w:tc>
          <w:tcPr>
            <w:tcW w:w="3708" w:type="dxa"/>
            <w:tcBorders>
              <w:bottom w:val="single" w:sz="4" w:space="0" w:color="auto"/>
            </w:tcBorders>
            <w:vAlign w:val="bottom"/>
          </w:tcPr>
          <w:p w:rsidR="00A57158" w:rsidRPr="00A57158" w:rsidRDefault="00A57158" w:rsidP="001D7A16">
            <w:pPr>
              <w:pStyle w:val="AGRTOC"/>
            </w:pPr>
          </w:p>
        </w:tc>
        <w:tc>
          <w:tcPr>
            <w:tcW w:w="1800" w:type="dxa"/>
            <w:tcBorders>
              <w:bottom w:val="single" w:sz="4" w:space="0" w:color="auto"/>
            </w:tcBorders>
            <w:vAlign w:val="bottom"/>
          </w:tcPr>
          <w:p w:rsidR="00A57158" w:rsidRPr="00A57158" w:rsidRDefault="00A57158" w:rsidP="001D7A16">
            <w:pPr>
              <w:pStyle w:val="AGRTableText"/>
              <w:jc w:val="center"/>
            </w:pPr>
            <w:r w:rsidRPr="00A57158">
              <w:t>Deadline for submission of Audited Financial Statements</w:t>
            </w:r>
          </w:p>
        </w:tc>
        <w:tc>
          <w:tcPr>
            <w:tcW w:w="1800" w:type="dxa"/>
            <w:tcBorders>
              <w:bottom w:val="single" w:sz="4" w:space="0" w:color="auto"/>
            </w:tcBorders>
            <w:vAlign w:val="bottom"/>
          </w:tcPr>
          <w:p w:rsidR="00A57158" w:rsidRPr="00A57158" w:rsidRDefault="00A57158" w:rsidP="00353AA4">
            <w:pPr>
              <w:pStyle w:val="AGRTableText"/>
              <w:jc w:val="center"/>
            </w:pPr>
            <w:r w:rsidRPr="00A57158">
              <w:t>Date of</w:t>
            </w:r>
            <w:r w:rsidRPr="00A57158">
              <w:br/>
              <w:t>Audit Report</w:t>
            </w:r>
            <w:r w:rsidRPr="00A57158">
              <w:br/>
              <w:t>Year ended</w:t>
            </w:r>
            <w:r w:rsidRPr="00A57158">
              <w:br/>
            </w:r>
            <w:r w:rsidR="00353AA4">
              <w:t>31 December</w:t>
            </w:r>
            <w:r w:rsidRPr="00A57158">
              <w:t xml:space="preserve"> 2012</w:t>
            </w:r>
          </w:p>
        </w:tc>
        <w:tc>
          <w:tcPr>
            <w:tcW w:w="1800" w:type="dxa"/>
            <w:tcBorders>
              <w:bottom w:val="single" w:sz="4" w:space="0" w:color="auto"/>
            </w:tcBorders>
            <w:vAlign w:val="bottom"/>
          </w:tcPr>
          <w:p w:rsidR="00A57158" w:rsidRPr="00A57158" w:rsidRDefault="00A57158" w:rsidP="00353AA4">
            <w:pPr>
              <w:pStyle w:val="AGRTableText"/>
              <w:jc w:val="center"/>
            </w:pPr>
            <w:r w:rsidRPr="00A57158">
              <w:t>Date of</w:t>
            </w:r>
            <w:r w:rsidRPr="00A57158">
              <w:br/>
              <w:t>Audit Report</w:t>
            </w:r>
            <w:r w:rsidRPr="00A57158">
              <w:br/>
              <w:t>Year ended</w:t>
            </w:r>
            <w:r w:rsidRPr="00A57158">
              <w:br/>
            </w:r>
            <w:r w:rsidR="00353AA4">
              <w:t>31 December</w:t>
            </w:r>
            <w:r w:rsidRPr="00A57158">
              <w:t xml:space="preserve"> 2011</w:t>
            </w:r>
          </w:p>
        </w:tc>
      </w:tr>
      <w:tr w:rsidR="00A57158" w:rsidRPr="00732782" w:rsidTr="001D7A16">
        <w:tc>
          <w:tcPr>
            <w:tcW w:w="3708" w:type="dxa"/>
            <w:tcBorders>
              <w:top w:val="single" w:sz="4" w:space="0" w:color="auto"/>
              <w:bottom w:val="single" w:sz="4" w:space="0" w:color="auto"/>
            </w:tcBorders>
          </w:tcPr>
          <w:p w:rsidR="00A57158" w:rsidRPr="00A57158" w:rsidRDefault="00A57158" w:rsidP="001D7A16">
            <w:pPr>
              <w:pStyle w:val="AGRTableText"/>
            </w:pPr>
            <w:r w:rsidRPr="00A57158">
              <w:t>Charles Darwin University Higher Education Research Data collection</w:t>
            </w:r>
          </w:p>
        </w:tc>
        <w:tc>
          <w:tcPr>
            <w:tcW w:w="1800" w:type="dxa"/>
            <w:tcBorders>
              <w:top w:val="single" w:sz="4" w:space="0" w:color="auto"/>
              <w:bottom w:val="single" w:sz="4" w:space="0" w:color="auto"/>
            </w:tcBorders>
            <w:vAlign w:val="bottom"/>
          </w:tcPr>
          <w:p w:rsidR="00A57158" w:rsidRPr="00A57158" w:rsidRDefault="00A57158" w:rsidP="001D7A16">
            <w:pPr>
              <w:pStyle w:val="AGRTableNumbers"/>
              <w:jc w:val="right"/>
            </w:pPr>
            <w:r w:rsidRPr="00A57158">
              <w:t>31 August 1</w:t>
            </w:r>
            <w:r>
              <w:t>3</w:t>
            </w:r>
          </w:p>
        </w:tc>
        <w:tc>
          <w:tcPr>
            <w:tcW w:w="1800" w:type="dxa"/>
            <w:tcBorders>
              <w:top w:val="single" w:sz="4" w:space="0" w:color="auto"/>
              <w:bottom w:val="single" w:sz="4" w:space="0" w:color="auto"/>
            </w:tcBorders>
            <w:vAlign w:val="bottom"/>
          </w:tcPr>
          <w:p w:rsidR="00A57158" w:rsidRPr="00A57158" w:rsidRDefault="00A57158" w:rsidP="001D7A16">
            <w:pPr>
              <w:pStyle w:val="AGRTableNumbers"/>
              <w:jc w:val="right"/>
            </w:pPr>
            <w:r w:rsidRPr="00A57158">
              <w:t>26 June 13</w:t>
            </w:r>
          </w:p>
        </w:tc>
        <w:tc>
          <w:tcPr>
            <w:tcW w:w="1800" w:type="dxa"/>
            <w:tcBorders>
              <w:top w:val="single" w:sz="4" w:space="0" w:color="auto"/>
              <w:bottom w:val="single" w:sz="4" w:space="0" w:color="auto"/>
            </w:tcBorders>
            <w:vAlign w:val="bottom"/>
          </w:tcPr>
          <w:p w:rsidR="00A57158" w:rsidRPr="00732782" w:rsidRDefault="00A57158" w:rsidP="001D7A16">
            <w:pPr>
              <w:pStyle w:val="AGRTableNumbers"/>
              <w:jc w:val="right"/>
            </w:pPr>
            <w:r w:rsidRPr="00A57158">
              <w:t>26 June 12</w:t>
            </w:r>
          </w:p>
        </w:tc>
      </w:tr>
    </w:tbl>
    <w:p w:rsidR="00A57158" w:rsidRPr="00732782" w:rsidRDefault="00A57158" w:rsidP="002F4F0B">
      <w:pPr>
        <w:pStyle w:val="AGRBodyText"/>
      </w:pPr>
    </w:p>
    <w:p w:rsidR="009712A7" w:rsidRPr="00732782" w:rsidRDefault="009712A7" w:rsidP="0083183F">
      <w:pPr>
        <w:pStyle w:val="AGRHeading1"/>
      </w:pPr>
      <w:bookmarkStart w:id="48" w:name="appendix_2_short"/>
      <w:bookmarkStart w:id="49" w:name="appendix_2"/>
      <w:bookmarkStart w:id="50" w:name="_Toc177533786"/>
      <w:bookmarkStart w:id="51" w:name="_Toc185213354"/>
      <w:bookmarkStart w:id="52" w:name="_Toc185325867"/>
      <w:r w:rsidRPr="00732782">
        <w:t>Appendix 2</w:t>
      </w:r>
      <w:bookmarkEnd w:id="48"/>
      <w:r w:rsidRPr="00732782">
        <w:t xml:space="preserve">: Status of Audits </w:t>
      </w:r>
      <w:r w:rsidR="00A04252">
        <w:t>w</w:t>
      </w:r>
      <w:r w:rsidRPr="00732782">
        <w:t xml:space="preserve">hich </w:t>
      </w:r>
      <w:r w:rsidR="006E2C29">
        <w:t>were Identified to be C</w:t>
      </w:r>
      <w:r w:rsidRPr="00732782">
        <w:t xml:space="preserve">onducted in the </w:t>
      </w:r>
      <w:r w:rsidR="006E2C29">
        <w:t>S</w:t>
      </w:r>
      <w:r w:rsidR="00A04252">
        <w:t xml:space="preserve">ix </w:t>
      </w:r>
      <w:r w:rsidR="006E2C29">
        <w:t>M</w:t>
      </w:r>
      <w:r w:rsidRPr="00732782">
        <w:t xml:space="preserve">onths to 30 June </w:t>
      </w:r>
      <w:r w:rsidR="00313635">
        <w:t>201</w:t>
      </w:r>
      <w:r w:rsidR="00036669">
        <w:t>3</w:t>
      </w:r>
      <w:r w:rsidRPr="00732782">
        <w:t xml:space="preserve"> </w:t>
      </w:r>
      <w:bookmarkEnd w:id="49"/>
      <w:bookmarkEnd w:id="50"/>
      <w:bookmarkEnd w:id="51"/>
      <w:bookmarkEnd w:id="52"/>
    </w:p>
    <w:p w:rsidR="009712A7" w:rsidRPr="00732782" w:rsidRDefault="009712A7" w:rsidP="002F4F0B">
      <w:pPr>
        <w:pStyle w:val="AGRBodyText"/>
      </w:pPr>
      <w:r w:rsidRPr="00732782">
        <w:t xml:space="preserve">In addition to the routine audits, primarily being end of financial year audits of Agencies and of financial statements, and follow-up of outstanding issues in previous audits, the following audits, were identified in Appendix </w:t>
      </w:r>
      <w:r w:rsidR="003A7669">
        <w:t>2</w:t>
      </w:r>
      <w:r w:rsidRPr="00732782">
        <w:t xml:space="preserve"> of the February </w:t>
      </w:r>
      <w:r w:rsidR="00313635">
        <w:t>201</w:t>
      </w:r>
      <w:r w:rsidR="001D6EE1">
        <w:t>3</w:t>
      </w:r>
      <w:r w:rsidRPr="00732782">
        <w:t xml:space="preserve"> as</w:t>
      </w:r>
      <w:r w:rsidR="008C461C">
        <w:t xml:space="preserve"> being scheduled for the period:</w:t>
      </w:r>
    </w:p>
    <w:tbl>
      <w:tblPr>
        <w:tblW w:w="8471" w:type="dxa"/>
        <w:tblInd w:w="851" w:type="dxa"/>
        <w:tblLook w:val="01E0" w:firstRow="1" w:lastRow="1" w:firstColumn="1" w:lastColumn="1" w:noHBand="0" w:noVBand="0"/>
      </w:tblPr>
      <w:tblGrid>
        <w:gridCol w:w="6345"/>
        <w:gridCol w:w="2126"/>
      </w:tblGrid>
      <w:tr w:rsidR="004376A1" w:rsidRPr="00C74B95" w:rsidTr="00816079">
        <w:tc>
          <w:tcPr>
            <w:tcW w:w="6345" w:type="dxa"/>
          </w:tcPr>
          <w:p w:rsidR="004376A1" w:rsidRPr="00C74B95" w:rsidRDefault="00AA4FEB" w:rsidP="00816079">
            <w:pPr>
              <w:pStyle w:val="AGRTableTextBold"/>
              <w:rPr>
                <w:w w:val="90"/>
                <w:sz w:val="28"/>
                <w:szCs w:val="28"/>
              </w:rPr>
            </w:pPr>
            <w:r w:rsidRPr="00C74B95">
              <w:rPr>
                <w:w w:val="90"/>
                <w:sz w:val="28"/>
                <w:szCs w:val="28"/>
              </w:rPr>
              <w:t xml:space="preserve">Department of </w:t>
            </w:r>
            <w:r w:rsidR="00816079" w:rsidRPr="00C74B95">
              <w:rPr>
                <w:w w:val="90"/>
                <w:sz w:val="28"/>
                <w:szCs w:val="28"/>
              </w:rPr>
              <w:t>Corporate and Information Services</w:t>
            </w:r>
          </w:p>
        </w:tc>
        <w:tc>
          <w:tcPr>
            <w:tcW w:w="2126" w:type="dxa"/>
            <w:vAlign w:val="bottom"/>
          </w:tcPr>
          <w:p w:rsidR="004376A1" w:rsidRPr="00C74B95" w:rsidRDefault="004376A1" w:rsidP="00C74B95">
            <w:pPr>
              <w:pStyle w:val="AGRTableTextBold"/>
              <w:rPr>
                <w:w w:val="90"/>
                <w:sz w:val="28"/>
                <w:szCs w:val="28"/>
              </w:rPr>
            </w:pPr>
          </w:p>
        </w:tc>
      </w:tr>
      <w:tr w:rsidR="00E55933" w:rsidRPr="00732782" w:rsidTr="00816079">
        <w:tc>
          <w:tcPr>
            <w:tcW w:w="6345" w:type="dxa"/>
          </w:tcPr>
          <w:p w:rsidR="00E55933" w:rsidRPr="00E80212" w:rsidRDefault="00816079" w:rsidP="00C9044F">
            <w:pPr>
              <w:pStyle w:val="AGRTableText"/>
              <w:tabs>
                <w:tab w:val="center" w:pos="570"/>
              </w:tabs>
            </w:pPr>
            <w:r>
              <w:t>Assessment of the adequacy of key controls around the NAB electronic funds transfer system</w:t>
            </w:r>
          </w:p>
        </w:tc>
        <w:tc>
          <w:tcPr>
            <w:tcW w:w="2126" w:type="dxa"/>
            <w:vAlign w:val="bottom"/>
          </w:tcPr>
          <w:p w:rsidR="00E55933" w:rsidRPr="00E80212" w:rsidRDefault="00816079" w:rsidP="00090A12">
            <w:pPr>
              <w:pStyle w:val="AGRTableText"/>
              <w:tabs>
                <w:tab w:val="center" w:pos="570"/>
              </w:tabs>
            </w:pPr>
            <w:r>
              <w:t xml:space="preserve">Refer page </w:t>
            </w:r>
            <w:r w:rsidR="00090A12">
              <w:fldChar w:fldCharType="begin"/>
            </w:r>
            <w:r w:rsidR="00090A12">
              <w:instrText xml:space="preserve"> PAGEREF  electronic_funds_transfer_system \h </w:instrText>
            </w:r>
            <w:r w:rsidR="00090A12">
              <w:fldChar w:fldCharType="separate"/>
            </w:r>
            <w:r w:rsidR="00B53DC5">
              <w:rPr>
                <w:noProof/>
              </w:rPr>
              <w:t>20</w:t>
            </w:r>
            <w:r w:rsidR="00090A12">
              <w:fldChar w:fldCharType="end"/>
            </w:r>
          </w:p>
        </w:tc>
      </w:tr>
      <w:tr w:rsidR="00816079" w:rsidRPr="00C74B95" w:rsidTr="00816079">
        <w:tc>
          <w:tcPr>
            <w:tcW w:w="6345" w:type="dxa"/>
          </w:tcPr>
          <w:p w:rsidR="00816079" w:rsidRPr="00C74B95" w:rsidRDefault="00816079" w:rsidP="00697169">
            <w:pPr>
              <w:pStyle w:val="AGRTableTextBold"/>
              <w:rPr>
                <w:w w:val="90"/>
                <w:sz w:val="28"/>
                <w:szCs w:val="28"/>
              </w:rPr>
            </w:pPr>
            <w:r w:rsidRPr="00C74B95">
              <w:rPr>
                <w:w w:val="90"/>
                <w:sz w:val="28"/>
                <w:szCs w:val="28"/>
              </w:rPr>
              <w:t>Department of Health</w:t>
            </w:r>
          </w:p>
        </w:tc>
        <w:tc>
          <w:tcPr>
            <w:tcW w:w="2126" w:type="dxa"/>
            <w:vAlign w:val="bottom"/>
          </w:tcPr>
          <w:p w:rsidR="00816079" w:rsidRPr="00C74B95" w:rsidRDefault="00816079" w:rsidP="00C74B95">
            <w:pPr>
              <w:pStyle w:val="AGRTableTextBold"/>
              <w:rPr>
                <w:w w:val="90"/>
                <w:sz w:val="28"/>
                <w:szCs w:val="28"/>
              </w:rPr>
            </w:pPr>
          </w:p>
        </w:tc>
      </w:tr>
      <w:tr w:rsidR="00816079" w:rsidRPr="00732782" w:rsidTr="00816079">
        <w:tc>
          <w:tcPr>
            <w:tcW w:w="6345" w:type="dxa"/>
          </w:tcPr>
          <w:p w:rsidR="00816079" w:rsidRPr="00E80212" w:rsidRDefault="00816079" w:rsidP="00697169">
            <w:pPr>
              <w:pStyle w:val="AGRTableText"/>
              <w:tabs>
                <w:tab w:val="center" w:pos="570"/>
              </w:tabs>
            </w:pPr>
            <w:r w:rsidRPr="00E80212">
              <w:t>Aero Medical Services Contract - CareFlight</w:t>
            </w:r>
          </w:p>
        </w:tc>
        <w:tc>
          <w:tcPr>
            <w:tcW w:w="2126" w:type="dxa"/>
            <w:vAlign w:val="bottom"/>
          </w:tcPr>
          <w:p w:rsidR="00816079" w:rsidRPr="00E80212" w:rsidRDefault="00904F1A" w:rsidP="001447C2">
            <w:pPr>
              <w:pStyle w:val="AGRTableText"/>
              <w:tabs>
                <w:tab w:val="center" w:pos="570"/>
              </w:tabs>
            </w:pPr>
            <w:r>
              <w:t xml:space="preserve">Refer page </w:t>
            </w:r>
            <w:r w:rsidR="001447C2">
              <w:fldChar w:fldCharType="begin"/>
            </w:r>
            <w:r w:rsidR="001447C2">
              <w:instrText xml:space="preserve"> PAGEREF  aero_medical_services \h </w:instrText>
            </w:r>
            <w:r w:rsidR="001447C2">
              <w:fldChar w:fldCharType="separate"/>
            </w:r>
            <w:r w:rsidR="00B53DC5">
              <w:rPr>
                <w:noProof/>
              </w:rPr>
              <w:t>23</w:t>
            </w:r>
            <w:r w:rsidR="001447C2">
              <w:fldChar w:fldCharType="end"/>
            </w:r>
          </w:p>
        </w:tc>
      </w:tr>
      <w:tr w:rsidR="00816079" w:rsidRPr="00C74B95" w:rsidTr="00697169">
        <w:tc>
          <w:tcPr>
            <w:tcW w:w="6345" w:type="dxa"/>
          </w:tcPr>
          <w:p w:rsidR="00816079" w:rsidRPr="00C74B95" w:rsidRDefault="00816079" w:rsidP="00697169">
            <w:pPr>
              <w:pStyle w:val="AGRTableTextBold"/>
              <w:rPr>
                <w:w w:val="90"/>
                <w:sz w:val="28"/>
                <w:szCs w:val="28"/>
              </w:rPr>
            </w:pPr>
            <w:r w:rsidRPr="00C74B95">
              <w:rPr>
                <w:w w:val="90"/>
                <w:sz w:val="28"/>
                <w:szCs w:val="28"/>
              </w:rPr>
              <w:t>Power and Water Corporation</w:t>
            </w:r>
          </w:p>
        </w:tc>
        <w:tc>
          <w:tcPr>
            <w:tcW w:w="2126" w:type="dxa"/>
            <w:vAlign w:val="bottom"/>
          </w:tcPr>
          <w:p w:rsidR="00816079" w:rsidRPr="00C74B95" w:rsidRDefault="00816079" w:rsidP="00C74B95">
            <w:pPr>
              <w:pStyle w:val="AGRTableTextBold"/>
              <w:rPr>
                <w:w w:val="90"/>
                <w:sz w:val="28"/>
                <w:szCs w:val="28"/>
              </w:rPr>
            </w:pPr>
          </w:p>
        </w:tc>
      </w:tr>
      <w:tr w:rsidR="00816079" w:rsidRPr="00732782" w:rsidTr="00697169">
        <w:tc>
          <w:tcPr>
            <w:tcW w:w="6345" w:type="dxa"/>
          </w:tcPr>
          <w:p w:rsidR="00816079" w:rsidRPr="00E80212" w:rsidRDefault="00816079" w:rsidP="00697169">
            <w:pPr>
              <w:pStyle w:val="AGRTableText"/>
              <w:tabs>
                <w:tab w:val="center" w:pos="570"/>
              </w:tabs>
            </w:pPr>
            <w:r>
              <w:t>Maximo</w:t>
            </w:r>
          </w:p>
        </w:tc>
        <w:tc>
          <w:tcPr>
            <w:tcW w:w="2126" w:type="dxa"/>
            <w:vAlign w:val="bottom"/>
          </w:tcPr>
          <w:p w:rsidR="00816079" w:rsidRPr="00E80212" w:rsidRDefault="00904F1A" w:rsidP="001447C2">
            <w:pPr>
              <w:pStyle w:val="AGRTableText"/>
              <w:tabs>
                <w:tab w:val="center" w:pos="570"/>
              </w:tabs>
            </w:pPr>
            <w:r>
              <w:t xml:space="preserve">Refer page </w:t>
            </w:r>
            <w:r w:rsidR="001447C2">
              <w:fldChar w:fldCharType="begin"/>
            </w:r>
            <w:r w:rsidR="001447C2">
              <w:instrText xml:space="preserve"> PAGEREF  maximo \h </w:instrText>
            </w:r>
            <w:r w:rsidR="001447C2">
              <w:fldChar w:fldCharType="separate"/>
            </w:r>
            <w:r w:rsidR="00B53DC5">
              <w:rPr>
                <w:noProof/>
              </w:rPr>
              <w:t>55</w:t>
            </w:r>
            <w:r w:rsidR="001447C2">
              <w:fldChar w:fldCharType="end"/>
            </w:r>
          </w:p>
        </w:tc>
      </w:tr>
      <w:tr w:rsidR="00816079" w:rsidRPr="00732782" w:rsidTr="00816079">
        <w:tc>
          <w:tcPr>
            <w:tcW w:w="6345" w:type="dxa"/>
          </w:tcPr>
          <w:p w:rsidR="00816079" w:rsidRPr="00E80212" w:rsidRDefault="00816079" w:rsidP="00C9044F">
            <w:pPr>
              <w:pStyle w:val="AGRTableText"/>
              <w:tabs>
                <w:tab w:val="center" w:pos="570"/>
              </w:tabs>
            </w:pPr>
            <w:r>
              <w:t>Post-implementation review of the Power and Water Corporation asset management system</w:t>
            </w:r>
          </w:p>
        </w:tc>
        <w:tc>
          <w:tcPr>
            <w:tcW w:w="2126" w:type="dxa"/>
            <w:vAlign w:val="bottom"/>
          </w:tcPr>
          <w:p w:rsidR="00C74B95" w:rsidRPr="00E80212" w:rsidRDefault="00816079" w:rsidP="001447C2">
            <w:pPr>
              <w:pStyle w:val="AGRTableText"/>
              <w:tabs>
                <w:tab w:val="center" w:pos="570"/>
              </w:tabs>
            </w:pPr>
            <w:r>
              <w:t xml:space="preserve">Refer page </w:t>
            </w:r>
            <w:r w:rsidR="001447C2">
              <w:fldChar w:fldCharType="begin"/>
            </w:r>
            <w:r w:rsidR="001447C2">
              <w:instrText xml:space="preserve"> PAGEREF  PWC_asset_management_system \h </w:instrText>
            </w:r>
            <w:r w:rsidR="001447C2">
              <w:fldChar w:fldCharType="separate"/>
            </w:r>
            <w:r w:rsidR="00B53DC5">
              <w:rPr>
                <w:noProof/>
              </w:rPr>
              <w:t>47</w:t>
            </w:r>
            <w:r w:rsidR="001447C2">
              <w:fldChar w:fldCharType="end"/>
            </w:r>
          </w:p>
        </w:tc>
      </w:tr>
    </w:tbl>
    <w:p w:rsidR="00C74B95" w:rsidRDefault="00C74B95" w:rsidP="002F4F0B">
      <w:pPr>
        <w:pStyle w:val="AGRBodyText"/>
      </w:pPr>
    </w:p>
    <w:p w:rsidR="0035002A" w:rsidRPr="00926C72" w:rsidRDefault="00F5017F" w:rsidP="0083183F">
      <w:pPr>
        <w:pStyle w:val="AGRHeading1"/>
      </w:pPr>
      <w:r>
        <w:rPr>
          <w:noProof/>
          <w:w w:val="100"/>
          <w:lang w:eastAsia="en-AU"/>
        </w:rPr>
        <mc:AlternateContent>
          <mc:Choice Requires="wps">
            <w:drawing>
              <wp:anchor distT="0" distB="0" distL="114300" distR="114300" simplePos="0" relativeHeight="251658240" behindDoc="0" locked="0" layoutInCell="1" allowOverlap="1" wp14:anchorId="596D257A" wp14:editId="4B43AF55">
                <wp:simplePos x="0" y="0"/>
                <wp:positionH relativeFrom="page">
                  <wp:align>center</wp:align>
                </wp:positionH>
                <wp:positionV relativeFrom="page">
                  <wp:align>center</wp:align>
                </wp:positionV>
                <wp:extent cx="1837055" cy="292735"/>
                <wp:effectExtent l="381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E4C2C" w:rsidRDefault="009E4C2C" w:rsidP="0035002A">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0;margin-top:0;width:144.65pt;height:23.0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t8fQIAAP8E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" stroked="f" strokeweight="1pt">
                <v:textbox inset="0,0,0,0">
                  <w:txbxContent>
                    <w:p w:rsidR="009E4C2C" w:rsidRDefault="009E4C2C" w:rsidP="0035002A">
                      <w:pPr>
                        <w:pStyle w:val="AGRTableText"/>
                      </w:pPr>
                      <w:r>
                        <w:t>This page deliberately left blank.</w:t>
                      </w:r>
                    </w:p>
                  </w:txbxContent>
                </v:textbox>
                <w10:wrap anchorx="page" anchory="page"/>
              </v:rect>
            </w:pict>
          </mc:Fallback>
        </mc:AlternateContent>
      </w:r>
    </w:p>
    <w:p w:rsidR="00C82743" w:rsidRPr="00732782" w:rsidRDefault="003C7E6D" w:rsidP="0083183F">
      <w:pPr>
        <w:pStyle w:val="AGRHeading1"/>
      </w:pPr>
      <w:bookmarkStart w:id="53" w:name="appendix_3_short"/>
      <w:bookmarkStart w:id="54" w:name="appendix_3"/>
      <w:r w:rsidRPr="00732782">
        <w:t>Appendix 3</w:t>
      </w:r>
      <w:bookmarkEnd w:id="53"/>
      <w:r w:rsidRPr="00732782">
        <w:t xml:space="preserve">: </w:t>
      </w:r>
      <w:r w:rsidR="006E2C29">
        <w:t>Proposed A</w:t>
      </w:r>
      <w:r w:rsidR="00F81D19">
        <w:t xml:space="preserve">udit </w:t>
      </w:r>
      <w:r w:rsidR="006E2C29">
        <w:t>A</w:t>
      </w:r>
      <w:r w:rsidR="00F81D19">
        <w:t xml:space="preserve">ctivity in the </w:t>
      </w:r>
      <w:r w:rsidR="006E2C29">
        <w:t>S</w:t>
      </w:r>
      <w:r w:rsidR="00F81D19">
        <w:t xml:space="preserve">ix </w:t>
      </w:r>
      <w:r w:rsidR="006E2C29">
        <w:t>M</w:t>
      </w:r>
      <w:r w:rsidRPr="00732782">
        <w:t xml:space="preserve">onths </w:t>
      </w:r>
      <w:r w:rsidR="006E2C29">
        <w:t>E</w:t>
      </w:r>
      <w:r w:rsidRPr="00732782">
        <w:t xml:space="preserve">nding 31 December </w:t>
      </w:r>
      <w:r w:rsidR="00313635">
        <w:t>20</w:t>
      </w:r>
      <w:r w:rsidR="00036669">
        <w:t>13</w:t>
      </w:r>
      <w:bookmarkEnd w:id="54"/>
    </w:p>
    <w:p w:rsidR="003C7E6D" w:rsidRPr="00732782" w:rsidRDefault="00C372D5" w:rsidP="002F4F0B">
      <w:pPr>
        <w:pStyle w:val="AGRBodyText"/>
      </w:pPr>
      <w:r w:rsidRPr="00732782">
        <w:t>In addition to the routine audits, primarily being end of financial year audits of Agencies and of financial statements, and follow-up of outstanding issues in previous audits the following audits have been scheduled for the period</w:t>
      </w:r>
      <w:r w:rsidR="00063010">
        <w:t>:</w:t>
      </w:r>
    </w:p>
    <w:p w:rsidR="000F6F9B" w:rsidRDefault="000F6F9B" w:rsidP="000F6F9B">
      <w:pPr>
        <w:pStyle w:val="AGRHeading2"/>
      </w:pPr>
      <w:r>
        <w:t>Department of Arts and Museums</w:t>
      </w:r>
    </w:p>
    <w:p w:rsidR="000F6F9B" w:rsidRDefault="000F6F9B" w:rsidP="002F4F0B">
      <w:pPr>
        <w:pStyle w:val="AGRBodyText"/>
      </w:pPr>
      <w:r>
        <w:t>Collections management</w:t>
      </w:r>
    </w:p>
    <w:p w:rsidR="000F6F9B" w:rsidRDefault="000F6F9B" w:rsidP="000F6F9B">
      <w:pPr>
        <w:pStyle w:val="AGRHeading2"/>
      </w:pPr>
      <w:r>
        <w:t>Department of Corporate and Information Services</w:t>
      </w:r>
    </w:p>
    <w:p w:rsidR="000F6F9B" w:rsidRDefault="000F6F9B" w:rsidP="002F4F0B">
      <w:pPr>
        <w:pStyle w:val="AGRBodyText"/>
      </w:pPr>
      <w:r>
        <w:t>IT Strategy and Governance</w:t>
      </w:r>
    </w:p>
    <w:p w:rsidR="000F6F9B" w:rsidRDefault="000F6F9B" w:rsidP="000F6F9B">
      <w:pPr>
        <w:pStyle w:val="AGRHeading2"/>
      </w:pPr>
      <w:r>
        <w:t>Department of Housing</w:t>
      </w:r>
    </w:p>
    <w:p w:rsidR="000F6F9B" w:rsidRDefault="000F6F9B" w:rsidP="002F4F0B">
      <w:pPr>
        <w:pStyle w:val="AGRBodyText"/>
      </w:pPr>
      <w:r>
        <w:t>Tenant Management System</w:t>
      </w:r>
    </w:p>
    <w:p w:rsidR="000F6F9B" w:rsidRDefault="000F6F9B" w:rsidP="000F6F9B">
      <w:pPr>
        <w:pStyle w:val="AGRHeading2"/>
      </w:pPr>
      <w:r>
        <w:t>Department of Transport</w:t>
      </w:r>
    </w:p>
    <w:p w:rsidR="000F6F9B" w:rsidRDefault="00267B6D" w:rsidP="002F4F0B">
      <w:pPr>
        <w:pStyle w:val="AGRBodyText"/>
      </w:pPr>
      <w:r>
        <w:t>IT review of the Motor Vehicle Registry System (</w:t>
      </w:r>
      <w:r w:rsidR="000F6F9B">
        <w:t>Movers</w:t>
      </w:r>
      <w:r>
        <w:t>)</w:t>
      </w:r>
    </w:p>
    <w:p w:rsidR="000F6F9B" w:rsidRDefault="000F6F9B" w:rsidP="000F6F9B">
      <w:pPr>
        <w:pStyle w:val="AGRHeading2"/>
      </w:pPr>
      <w:r>
        <w:t>Tourism NT</w:t>
      </w:r>
    </w:p>
    <w:p w:rsidR="000F6F9B" w:rsidRDefault="00267B6D" w:rsidP="002F4F0B">
      <w:pPr>
        <w:pStyle w:val="AGRBodyText"/>
      </w:pPr>
      <w:r>
        <w:t xml:space="preserve">IT audit of </w:t>
      </w:r>
      <w:r w:rsidR="000F6F9B">
        <w:t>Calypso</w:t>
      </w:r>
    </w:p>
    <w:p w:rsidR="000F6F9B" w:rsidRDefault="000F6F9B" w:rsidP="000F6F9B">
      <w:pPr>
        <w:pStyle w:val="AGRHeading2"/>
      </w:pPr>
      <w:r w:rsidRPr="00441E83">
        <w:t>Selected Agencies</w:t>
      </w:r>
    </w:p>
    <w:p w:rsidR="000F6F9B" w:rsidRDefault="000F6F9B" w:rsidP="002F4F0B">
      <w:pPr>
        <w:pStyle w:val="AGRBodyText"/>
      </w:pPr>
      <w:r>
        <w:t>Fuel cards</w:t>
      </w:r>
    </w:p>
    <w:p w:rsidR="000F6F9B" w:rsidRDefault="000F6F9B" w:rsidP="002F4F0B">
      <w:pPr>
        <w:pStyle w:val="AGRBodyText"/>
      </w:pPr>
    </w:p>
    <w:p w:rsidR="007A6DFB" w:rsidRPr="00F77ED6" w:rsidRDefault="007A6DFB" w:rsidP="002F4F0B">
      <w:pPr>
        <w:pStyle w:val="AGRBodyText"/>
      </w:pPr>
      <w:r>
        <w:br w:type="page"/>
      </w:r>
    </w:p>
    <w:p w:rsidR="003C7E6D" w:rsidRPr="00732782" w:rsidRDefault="00F5017F" w:rsidP="002F4F0B">
      <w:pPr>
        <w:pStyle w:val="AGRBodyText"/>
        <w:rPr>
          <w:highlight w:val="yellow"/>
        </w:rPr>
      </w:pPr>
      <w:r>
        <w:rPr>
          <w:noProof/>
          <w:lang w:val="en-AU" w:eastAsia="en-AU"/>
        </w:rPr>
        <mc:AlternateContent>
          <mc:Choice Requires="wps">
            <w:drawing>
              <wp:anchor distT="0" distB="0" distL="114300" distR="114300" simplePos="0" relativeHeight="251661312" behindDoc="0" locked="0" layoutInCell="1" allowOverlap="1" wp14:anchorId="7EAA2CF0" wp14:editId="618AE3F4">
                <wp:simplePos x="0" y="0"/>
                <wp:positionH relativeFrom="page">
                  <wp:align>center</wp:align>
                </wp:positionH>
                <wp:positionV relativeFrom="page">
                  <wp:align>center</wp:align>
                </wp:positionV>
                <wp:extent cx="1837055" cy="292735"/>
                <wp:effectExtent l="381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E4C2C" w:rsidRDefault="009E4C2C" w:rsidP="007A6DFB">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0;margin-top:0;width:144.65pt;height:23.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ZrRfv34CAAAABQAA&#10;DgAAAAAAAAAAAAAAAAAuAgAAZHJzL2Uyb0RvYy54bWxQSwECLQAUAAYACAAAACEAQLXHctoAAAAE&#10;AQAADwAAAAAAAAAAAAAAAADYBAAAZHJzL2Rvd25yZXYueG1sUEsFBgAAAAAEAAQA8wAAAN8FAAAA&#10;AA==&#10;" stroked="f" strokeweight="1pt">
                <v:textbox inset="0,0,0,0">
                  <w:txbxContent>
                    <w:p w:rsidR="009E4C2C" w:rsidRDefault="009E4C2C" w:rsidP="007A6DFB">
                      <w:pPr>
                        <w:pStyle w:val="AGRTableText"/>
                      </w:pPr>
                      <w:r>
                        <w:t>This page deliberately left blank.</w:t>
                      </w:r>
                    </w:p>
                  </w:txbxContent>
                </v:textbox>
                <w10:wrap anchorx="page" anchory="page"/>
              </v:rect>
            </w:pict>
          </mc:Fallback>
        </mc:AlternateContent>
      </w:r>
      <w:r w:rsidR="003C7E6D" w:rsidRPr="00732782">
        <w:br w:type="page"/>
      </w:r>
    </w:p>
    <w:p w:rsidR="003C7E6D" w:rsidRPr="00732782" w:rsidRDefault="003C7E6D" w:rsidP="0083183F">
      <w:pPr>
        <w:pStyle w:val="AGRHeading1"/>
      </w:pPr>
      <w:bookmarkStart w:id="55" w:name="appendix_4_short"/>
      <w:bookmarkStart w:id="56" w:name="appendix_4"/>
      <w:bookmarkStart w:id="57" w:name="_Toc185325871"/>
      <w:r w:rsidRPr="00732782">
        <w:t>Appendix 4</w:t>
      </w:r>
      <w:bookmarkEnd w:id="55"/>
      <w:r w:rsidR="006E2C29">
        <w:t>: Overview of the A</w:t>
      </w:r>
      <w:r w:rsidRPr="00732782">
        <w:t xml:space="preserve">pproach to </w:t>
      </w:r>
      <w:r w:rsidR="006E2C29">
        <w:t>A</w:t>
      </w:r>
      <w:r w:rsidRPr="00732782">
        <w:t xml:space="preserve">uditing the Public Account and </w:t>
      </w:r>
      <w:r w:rsidR="006E2C29">
        <w:t>Other A</w:t>
      </w:r>
      <w:r w:rsidRPr="00732782">
        <w:t>ccounts</w:t>
      </w:r>
      <w:bookmarkEnd w:id="56"/>
      <w:bookmarkEnd w:id="57"/>
    </w:p>
    <w:p w:rsidR="00260FD6" w:rsidRPr="00A04C56" w:rsidRDefault="00260FD6" w:rsidP="002F4F0B">
      <w:pPr>
        <w:pStyle w:val="AGRBodyText"/>
      </w:pPr>
      <w:r w:rsidRPr="00A04C56">
        <w:t xml:space="preserve">The requirements of the </w:t>
      </w:r>
      <w:r w:rsidRPr="0065061C">
        <w:rPr>
          <w:i/>
        </w:rPr>
        <w:t>Audit Act</w:t>
      </w:r>
      <w:r w:rsidRPr="00A04C56">
        <w:t xml:space="preserve"> in relation to Auditing the Public Account and </w:t>
      </w:r>
      <w:r>
        <w:t>O</w:t>
      </w:r>
      <w:r w:rsidRPr="00A04C56">
        <w:t xml:space="preserve">ther </w:t>
      </w:r>
      <w:r>
        <w:t>A</w:t>
      </w:r>
      <w:r w:rsidRPr="00A04C56">
        <w:t>ccounts are found in:</w:t>
      </w:r>
    </w:p>
    <w:p w:rsidR="00260FD6" w:rsidRPr="00A04C56" w:rsidRDefault="00260FD6" w:rsidP="002F4F0B">
      <w:pPr>
        <w:pStyle w:val="AGRBulletText"/>
        <w:numPr>
          <w:ilvl w:val="0"/>
          <w:numId w:val="38"/>
        </w:numPr>
      </w:pPr>
      <w:r w:rsidRPr="00A04C56">
        <w:t>Section 13, which requires the Auditor-General to audit the Public Account and other accounts, with regard to:</w:t>
      </w:r>
    </w:p>
    <w:p w:rsidR="00260FD6" w:rsidRPr="00A04C56" w:rsidRDefault="00260FD6" w:rsidP="002F4F0B">
      <w:pPr>
        <w:pStyle w:val="AGRBulletText"/>
        <w:numPr>
          <w:ilvl w:val="1"/>
          <w:numId w:val="38"/>
        </w:numPr>
      </w:pPr>
      <w:r w:rsidRPr="00A04C56">
        <w:t>the character and effectiveness of internal control</w:t>
      </w:r>
      <w:r>
        <w:t>;</w:t>
      </w:r>
      <w:r w:rsidRPr="00A04C56">
        <w:t xml:space="preserve"> and </w:t>
      </w:r>
    </w:p>
    <w:p w:rsidR="00260FD6" w:rsidRPr="00A04C56" w:rsidRDefault="00260FD6" w:rsidP="002F4F0B">
      <w:pPr>
        <w:pStyle w:val="AGRBulletText"/>
        <w:numPr>
          <w:ilvl w:val="1"/>
          <w:numId w:val="38"/>
        </w:numPr>
      </w:pPr>
      <w:r w:rsidRPr="00A04C56">
        <w:t>professional standards and practices.</w:t>
      </w:r>
    </w:p>
    <w:p w:rsidR="00260FD6" w:rsidRPr="00A04C56" w:rsidRDefault="00260FD6" w:rsidP="002F4F0B">
      <w:pPr>
        <w:pStyle w:val="AGRBulletText"/>
        <w:numPr>
          <w:ilvl w:val="0"/>
          <w:numId w:val="38"/>
        </w:numPr>
      </w:pPr>
      <w:r w:rsidRPr="00A04C56">
        <w:t>Section 25, which requires the Auditor-General to issue a report to the Treasurer on the Treasurer’s Annual Financial Statement.</w:t>
      </w:r>
    </w:p>
    <w:p w:rsidR="00260FD6" w:rsidRPr="00A04C56" w:rsidRDefault="00260FD6" w:rsidP="00260FD6">
      <w:pPr>
        <w:pStyle w:val="AGRHeading2"/>
      </w:pPr>
      <w:bookmarkStart w:id="58" w:name="_Toc185213361"/>
      <w:bookmarkStart w:id="59" w:name="_Toc185325872"/>
      <w:r w:rsidRPr="00A04C56">
        <w:t>What is the Public Account?</w:t>
      </w:r>
      <w:bookmarkEnd w:id="58"/>
      <w:bookmarkEnd w:id="59"/>
    </w:p>
    <w:p w:rsidR="00260FD6" w:rsidRPr="00A04C56" w:rsidRDefault="00260FD6" w:rsidP="002F4F0B">
      <w:pPr>
        <w:pStyle w:val="AGRBodyText"/>
      </w:pPr>
      <w:r w:rsidRPr="00A04C56">
        <w:t xml:space="preserve">The Public Account is defined in the </w:t>
      </w:r>
      <w:r w:rsidRPr="0065061C">
        <w:rPr>
          <w:i/>
        </w:rPr>
        <w:t>Financial Management Act</w:t>
      </w:r>
      <w:r w:rsidRPr="00A04C56">
        <w:t xml:space="preserve"> as:</w:t>
      </w:r>
    </w:p>
    <w:p w:rsidR="00260FD6" w:rsidRPr="00A04C56" w:rsidRDefault="00260FD6" w:rsidP="002F4F0B">
      <w:pPr>
        <w:pStyle w:val="AGRBulletText"/>
        <w:numPr>
          <w:ilvl w:val="0"/>
          <w:numId w:val="38"/>
        </w:numPr>
      </w:pPr>
      <w:r>
        <w:t>the Central Holding Authority;</w:t>
      </w:r>
      <w:r w:rsidRPr="00A04C56">
        <w:t xml:space="preserve"> and</w:t>
      </w:r>
    </w:p>
    <w:p w:rsidR="00260FD6" w:rsidRPr="00A04C56" w:rsidRDefault="00260FD6" w:rsidP="002F4F0B">
      <w:pPr>
        <w:pStyle w:val="AGRBulletText"/>
        <w:numPr>
          <w:ilvl w:val="0"/>
          <w:numId w:val="38"/>
        </w:numPr>
      </w:pPr>
      <w:r w:rsidRPr="00A04C56">
        <w:t>Operating accounts of Agencies and Government Business Divisions.</w:t>
      </w:r>
    </w:p>
    <w:p w:rsidR="00260FD6" w:rsidRPr="00A04C56" w:rsidRDefault="00260FD6" w:rsidP="00260FD6">
      <w:pPr>
        <w:pStyle w:val="AGRHeading2"/>
      </w:pPr>
      <w:bookmarkStart w:id="60" w:name="_Toc185213362"/>
      <w:bookmarkStart w:id="61" w:name="_Toc185325873"/>
      <w:r w:rsidRPr="00A04C56">
        <w:t>Audit of the Public Account</w:t>
      </w:r>
      <w:bookmarkEnd w:id="60"/>
      <w:bookmarkEnd w:id="61"/>
    </w:p>
    <w:p w:rsidR="00260FD6" w:rsidRPr="00A04C56" w:rsidRDefault="00260FD6" w:rsidP="002F4F0B">
      <w:pPr>
        <w:pStyle w:val="AGRBodyText"/>
      </w:pPr>
      <w:r w:rsidRPr="00A04C56">
        <w:t xml:space="preserve">Achievement of the requirements of section 13, </w:t>
      </w:r>
      <w:r w:rsidRPr="00A04C56">
        <w:softHyphen/>
        <w:t>including the reference to the character and effectiveness of internal control, as defined, can occur through:</w:t>
      </w:r>
    </w:p>
    <w:p w:rsidR="00260FD6" w:rsidRPr="00A04C56" w:rsidRDefault="00260FD6" w:rsidP="002F4F0B">
      <w:pPr>
        <w:pStyle w:val="AGRBulletText"/>
        <w:numPr>
          <w:ilvl w:val="0"/>
          <w:numId w:val="38"/>
        </w:numPr>
      </w:pPr>
      <w:r w:rsidRPr="00A04C56">
        <w:t xml:space="preserve">annual financial statement audits of entities defined to be within the Public Account, in particular Government Business Divisions, which have a requirement for such audits under the </w:t>
      </w:r>
      <w:r w:rsidRPr="0065061C">
        <w:rPr>
          <w:i/>
        </w:rPr>
        <w:t>Financial Management Act</w:t>
      </w:r>
      <w:r w:rsidRPr="00A04C56">
        <w:t>; and</w:t>
      </w:r>
    </w:p>
    <w:p w:rsidR="00260FD6" w:rsidRPr="00A04C56" w:rsidRDefault="00260FD6" w:rsidP="002F4F0B">
      <w:pPr>
        <w:pStyle w:val="AGRBulletText"/>
        <w:numPr>
          <w:ilvl w:val="0"/>
          <w:numId w:val="38"/>
        </w:numPr>
      </w:pPr>
      <w:r w:rsidRPr="00A04C56">
        <w:t xml:space="preserve">an audit approach which the Northern Territory Auditor-General’s Office terms the Agency Compliance Audit. This links the existence of the required standards of internal control over the funds administered within the Public Account, to the responsibilities for compliance with required standards as defined for Accountable Officers. </w:t>
      </w:r>
    </w:p>
    <w:p w:rsidR="003C7E6D" w:rsidRPr="00732782" w:rsidRDefault="003C7E6D" w:rsidP="0083183F">
      <w:pPr>
        <w:pStyle w:val="AGRHeading1"/>
      </w:pPr>
      <w:r w:rsidRPr="00732782">
        <w:t xml:space="preserve">Appendix 4: Overview of the </w:t>
      </w:r>
      <w:r w:rsidR="006E2C29">
        <w:t>A</w:t>
      </w:r>
      <w:r w:rsidRPr="00732782">
        <w:t xml:space="preserve">pproach to </w:t>
      </w:r>
      <w:r w:rsidR="006E2C29">
        <w:t>Auditing the Public Account and Other A</w:t>
      </w:r>
      <w:r w:rsidRPr="00732782">
        <w:t>ccounts cont…</w:t>
      </w:r>
    </w:p>
    <w:p w:rsidR="00260FD6" w:rsidRPr="00A04C56" w:rsidRDefault="00260FD6" w:rsidP="002F4F0B">
      <w:pPr>
        <w:pStyle w:val="AGRBodyText"/>
      </w:pPr>
      <w:r w:rsidRPr="00A04C56">
        <w:t>Areas of internal control requiring a more in-depth audit, because of materiality or risk, can also be addressed through:</w:t>
      </w:r>
    </w:p>
    <w:p w:rsidR="00260FD6" w:rsidRPr="00A04C56" w:rsidRDefault="00260FD6" w:rsidP="002F4F0B">
      <w:pPr>
        <w:pStyle w:val="AGRBulletText"/>
        <w:numPr>
          <w:ilvl w:val="0"/>
          <w:numId w:val="38"/>
        </w:numPr>
      </w:pPr>
      <w:r w:rsidRPr="00A04C56">
        <w:t>specific topic audits of the adequacy of compliance with prescribed internal control procedures. These can be initiated as a result of Agency Compliance Audits, or pre-selected because of the materiality or inherent risk of the activity; and</w:t>
      </w:r>
    </w:p>
    <w:p w:rsidR="00260FD6" w:rsidRPr="00A04C56" w:rsidRDefault="00260FD6" w:rsidP="002F4F0B">
      <w:pPr>
        <w:pStyle w:val="AGRBulletText"/>
        <w:numPr>
          <w:ilvl w:val="0"/>
          <w:numId w:val="38"/>
        </w:numPr>
      </w:pPr>
      <w:r w:rsidRPr="00A04C56">
        <w:t>reviews of the accounting processes used by selected Agencies at the end of the financial year, to detect if any unusual or irregular processes were adopted at that time.</w:t>
      </w:r>
    </w:p>
    <w:p w:rsidR="00260FD6" w:rsidRPr="00A04C56" w:rsidRDefault="00260FD6" w:rsidP="00260FD6">
      <w:pPr>
        <w:pStyle w:val="AGRHeading2"/>
      </w:pPr>
      <w:bookmarkStart w:id="62" w:name="_Toc185213363"/>
      <w:bookmarkStart w:id="63" w:name="_Toc185325874"/>
      <w:r w:rsidRPr="00A04C56">
        <w:t>Other accounts</w:t>
      </w:r>
      <w:bookmarkEnd w:id="62"/>
      <w:bookmarkEnd w:id="63"/>
    </w:p>
    <w:p w:rsidR="00260FD6" w:rsidRPr="00A04C56" w:rsidRDefault="00260FD6" w:rsidP="002F4F0B">
      <w:pPr>
        <w:pStyle w:val="AGRBodyText"/>
      </w:pPr>
      <w:r w:rsidRPr="00A04C56">
        <w:t>Although not specifically defined in the legislation, these would include financial statements of public entities not defined to be within the Public Account, as well as the Trust Accounts maintained by Agencies.</w:t>
      </w:r>
    </w:p>
    <w:p w:rsidR="00260FD6" w:rsidRPr="00A04C56" w:rsidRDefault="00260FD6" w:rsidP="00260FD6">
      <w:pPr>
        <w:pStyle w:val="AGRHeading2"/>
      </w:pPr>
      <w:bookmarkStart w:id="64" w:name="_Toc185213364"/>
      <w:bookmarkStart w:id="65" w:name="_Toc185325875"/>
      <w:r w:rsidRPr="00A04C56">
        <w:t>Audit of the Treasurer’s Annual Financial Statement</w:t>
      </w:r>
      <w:bookmarkEnd w:id="64"/>
      <w:bookmarkEnd w:id="65"/>
    </w:p>
    <w:p w:rsidR="00260FD6" w:rsidRPr="00A04C56" w:rsidRDefault="00260FD6" w:rsidP="002F4F0B">
      <w:pPr>
        <w:pStyle w:val="AGRBodyText"/>
      </w:pPr>
      <w:r w:rsidRPr="00A04C56">
        <w:t>Using information about the effectiveness of internal control</w:t>
      </w:r>
      <w:r>
        <w:t>s</w:t>
      </w:r>
      <w:r w:rsidRPr="00A04C56">
        <w:t xml:space="preserve"> identified in the overall control environment review, Agency Compliance Audits and financial statement audits, an audit approach is designed and implemented to substantiate balances disclosed in the Statement are in accordance with the disclosure requirements adopted by the Treasurer, and are within acceptable materiality standards.</w:t>
      </w:r>
    </w:p>
    <w:p w:rsidR="00260FD6" w:rsidRPr="00A04C56" w:rsidRDefault="00260FD6" w:rsidP="002F4F0B">
      <w:pPr>
        <w:pStyle w:val="AGRBodyText"/>
      </w:pPr>
      <w:r w:rsidRPr="00A04C56">
        <w:t>The audit report on the Statement is issued to the Treasurer. The Treasurer then tables the audited Statement to the Parliament, as a key component of the accountability of the Government to the Parliament.</w:t>
      </w:r>
    </w:p>
    <w:p w:rsidR="003C7E6D" w:rsidRPr="00732782" w:rsidRDefault="003C7E6D" w:rsidP="0083183F">
      <w:pPr>
        <w:pStyle w:val="AGRHeading1"/>
      </w:pPr>
      <w:bookmarkStart w:id="66" w:name="appendix_5_short"/>
      <w:bookmarkStart w:id="67" w:name="appendix_5"/>
      <w:r w:rsidRPr="00732782">
        <w:t>Appendix 5</w:t>
      </w:r>
      <w:bookmarkEnd w:id="66"/>
      <w:r w:rsidR="006E2C29">
        <w:t>: Overview of the Approach to A</w:t>
      </w:r>
      <w:r w:rsidRPr="00732782">
        <w:t xml:space="preserve">uditing </w:t>
      </w:r>
      <w:r w:rsidR="006E2C29">
        <w:t>P</w:t>
      </w:r>
      <w:r w:rsidRPr="00732782">
        <w:t xml:space="preserve">erformance </w:t>
      </w:r>
      <w:r w:rsidR="006E2C29">
        <w:t>Management S</w:t>
      </w:r>
      <w:r w:rsidRPr="00732782">
        <w:t>ystems</w:t>
      </w:r>
      <w:bookmarkEnd w:id="67"/>
    </w:p>
    <w:p w:rsidR="00260FD6" w:rsidRPr="00A04C56" w:rsidRDefault="00260FD6" w:rsidP="00260FD6">
      <w:pPr>
        <w:pStyle w:val="AGRHeading2"/>
      </w:pPr>
      <w:bookmarkStart w:id="68" w:name="_Toc185325877"/>
      <w:r w:rsidRPr="00A04C56">
        <w:t>Legislative Framework</w:t>
      </w:r>
      <w:bookmarkEnd w:id="68"/>
    </w:p>
    <w:p w:rsidR="00260FD6" w:rsidRPr="00A04C56" w:rsidRDefault="00260FD6" w:rsidP="002F4F0B">
      <w:pPr>
        <w:pStyle w:val="AGRBodyText"/>
      </w:pPr>
      <w:r w:rsidRPr="00A04C56">
        <w:t xml:space="preserve">A Chief Executive Officer is responsible to the appropriate Minister under section 23 of the </w:t>
      </w:r>
      <w:r w:rsidRPr="0065061C">
        <w:rPr>
          <w:i/>
        </w:rPr>
        <w:t>Public Sector Employment and Management Act</w:t>
      </w:r>
      <w:r w:rsidRPr="00A04C56">
        <w:t xml:space="preserve"> for the proper, efficient and economic administration of his or her agency.</w:t>
      </w:r>
      <w:r w:rsidR="003D5894">
        <w:t xml:space="preserve"> </w:t>
      </w:r>
      <w:r w:rsidRPr="00A04C56">
        <w:t xml:space="preserve"> Under section 13 (2)(b) of the </w:t>
      </w:r>
      <w:r w:rsidRPr="0065061C">
        <w:rPr>
          <w:i/>
        </w:rPr>
        <w:t>Financial Management Act</w:t>
      </w:r>
      <w:r w:rsidRPr="00A04C56">
        <w:t xml:space="preserve"> an Accountable Officer shall ensure that procedures “</w:t>
      </w:r>
      <w:r w:rsidRPr="0065061C">
        <w:rPr>
          <w:i/>
        </w:rPr>
        <w:t xml:space="preserve">in the agency are such as will at all times afford a proper internal control”. </w:t>
      </w:r>
      <w:r w:rsidR="003D5894">
        <w:rPr>
          <w:i/>
        </w:rPr>
        <w:t xml:space="preserve"> </w:t>
      </w:r>
      <w:r w:rsidRPr="0065061C">
        <w:t>Internal control is further defined in section 3 of the Act to include</w:t>
      </w:r>
      <w:r w:rsidRPr="0065061C">
        <w:rPr>
          <w:i/>
        </w:rPr>
        <w:t xml:space="preserve"> “the methods and procedures adopted within an agency to promote operational efficiency, effectiveness and economy</w:t>
      </w:r>
      <w:r w:rsidRPr="00A04C56">
        <w:t>”.</w:t>
      </w:r>
    </w:p>
    <w:p w:rsidR="00260FD6" w:rsidRPr="00A04C56" w:rsidRDefault="00260FD6" w:rsidP="002F4F0B">
      <w:pPr>
        <w:pStyle w:val="AGRBodyText"/>
      </w:pPr>
      <w:r w:rsidRPr="00A04C56">
        <w:t xml:space="preserve">Section 15 of the </w:t>
      </w:r>
      <w:r w:rsidRPr="0065061C">
        <w:rPr>
          <w:i/>
        </w:rPr>
        <w:t>Audit Act</w:t>
      </w:r>
      <w:r w:rsidRPr="00A04C56">
        <w:t xml:space="preserve"> complements the legislative requirements imposed on Chief Executive Officers by providing the Auditor-General with the power to audit performance management systems of any agency or other organisation in respect of the accounts of which the Auditor-General is required or permitted by a law of the Territory to conduct an audit.</w:t>
      </w:r>
    </w:p>
    <w:p w:rsidR="00260FD6" w:rsidRPr="00A04C56" w:rsidRDefault="00260FD6" w:rsidP="002F4F0B">
      <w:pPr>
        <w:pStyle w:val="AGRBodyText"/>
      </w:pPr>
      <w:r w:rsidRPr="00A04C56">
        <w:t>A performance management system is not defined in the legislation, bu</w:t>
      </w:r>
      <w:r>
        <w:t xml:space="preserve">t section 15 identifies that: </w:t>
      </w:r>
      <w:r w:rsidRPr="00EA762F">
        <w:rPr>
          <w:i/>
        </w:rPr>
        <w:t>“the object of an audit conducted under this section includes determining whether the performance management systems of an agency or organisation in respect of which the audit is being conducted enable the Agency or organisation to assess whether its objectives are being achieved economically, efficiently and effectively.”</w:t>
      </w:r>
    </w:p>
    <w:p w:rsidR="00260FD6" w:rsidRPr="00A04C56" w:rsidRDefault="00260FD6" w:rsidP="00260FD6">
      <w:pPr>
        <w:pStyle w:val="AGRHeading2"/>
      </w:pPr>
      <w:bookmarkStart w:id="69" w:name="_Toc185325878"/>
      <w:r w:rsidRPr="00A04C56">
        <w:t>Operational Framework</w:t>
      </w:r>
      <w:bookmarkEnd w:id="69"/>
    </w:p>
    <w:p w:rsidR="00260FD6" w:rsidRPr="00A04C56" w:rsidRDefault="00260FD6" w:rsidP="002F4F0B">
      <w:pPr>
        <w:pStyle w:val="AGRBodyText"/>
      </w:pPr>
      <w:r w:rsidRPr="00A04C56">
        <w:t>The Northern Territory Auditor-General’s Office has developed a framework for its approach to the conduct of performance management system audits, which is based on our opinion that an effective performance management system would contain the following elements:</w:t>
      </w:r>
    </w:p>
    <w:p w:rsidR="00260FD6" w:rsidRPr="00A04C56" w:rsidRDefault="00260FD6" w:rsidP="002F4F0B">
      <w:pPr>
        <w:pStyle w:val="AGRBulletText"/>
        <w:numPr>
          <w:ilvl w:val="0"/>
          <w:numId w:val="38"/>
        </w:numPr>
      </w:pPr>
      <w:r w:rsidRPr="00A04C56">
        <w:t>identification of the policy and corporate objectives of the entity;</w:t>
      </w:r>
    </w:p>
    <w:p w:rsidR="00260FD6" w:rsidRPr="00A04C56" w:rsidRDefault="00260FD6" w:rsidP="002F4F0B">
      <w:pPr>
        <w:pStyle w:val="AGRBulletText"/>
        <w:numPr>
          <w:ilvl w:val="0"/>
          <w:numId w:val="38"/>
        </w:numPr>
      </w:pPr>
      <w:r w:rsidRPr="00A04C56">
        <w:t>incorporation of those objectives in the entity’s corporate or strategic planning process and allocation of these to programs of the entity;</w:t>
      </w:r>
    </w:p>
    <w:p w:rsidR="00260FD6" w:rsidRPr="00A04C56" w:rsidRDefault="00260FD6" w:rsidP="002F4F0B">
      <w:pPr>
        <w:pStyle w:val="AGRBulletText"/>
        <w:numPr>
          <w:ilvl w:val="0"/>
          <w:numId w:val="38"/>
        </w:numPr>
      </w:pPr>
      <w:r w:rsidRPr="00A04C56">
        <w:t>identification of what successful achievement of those corporate objectives would look like, and recording of these as performance targets;</w:t>
      </w:r>
    </w:p>
    <w:p w:rsidR="008811AE" w:rsidRDefault="008811AE" w:rsidP="0083183F">
      <w:pPr>
        <w:pStyle w:val="AGRHeading1"/>
      </w:pPr>
      <w:r w:rsidRPr="00732782">
        <w:t>Appendix 5: Ov</w:t>
      </w:r>
      <w:r w:rsidR="00F913E2">
        <w:t>erview of the Approach to Auditing Performance Management S</w:t>
      </w:r>
      <w:r w:rsidRPr="00732782">
        <w:t>ystems cont…</w:t>
      </w:r>
    </w:p>
    <w:p w:rsidR="00260FD6" w:rsidRPr="00A04C56" w:rsidRDefault="00260FD6" w:rsidP="002F4F0B">
      <w:pPr>
        <w:pStyle w:val="AGRBulletText"/>
        <w:numPr>
          <w:ilvl w:val="0"/>
          <w:numId w:val="38"/>
        </w:numPr>
      </w:pPr>
      <w:r w:rsidRPr="00A04C56">
        <w:t>development of strategies for achievement of the desired performance outcomes;</w:t>
      </w:r>
    </w:p>
    <w:p w:rsidR="00260FD6" w:rsidRPr="00A04C56" w:rsidRDefault="00260FD6" w:rsidP="002F4F0B">
      <w:pPr>
        <w:pStyle w:val="AGRBulletText"/>
        <w:numPr>
          <w:ilvl w:val="0"/>
          <w:numId w:val="38"/>
        </w:numPr>
      </w:pPr>
      <w:r w:rsidRPr="00A04C56">
        <w:t>monitoring of the progress with that achievement;</w:t>
      </w:r>
    </w:p>
    <w:p w:rsidR="00260FD6" w:rsidRPr="00A04C56" w:rsidRDefault="00260FD6" w:rsidP="002F4F0B">
      <w:pPr>
        <w:pStyle w:val="AGRBulletText"/>
        <w:numPr>
          <w:ilvl w:val="0"/>
          <w:numId w:val="38"/>
        </w:numPr>
      </w:pPr>
      <w:r w:rsidRPr="00A04C56">
        <w:t>evaluation of the effectiveness of the final outcome against the intended objectives; and</w:t>
      </w:r>
    </w:p>
    <w:p w:rsidR="00260FD6" w:rsidRPr="00A04C56" w:rsidRDefault="00260FD6" w:rsidP="002F4F0B">
      <w:pPr>
        <w:pStyle w:val="AGRBulletText"/>
        <w:numPr>
          <w:ilvl w:val="0"/>
          <w:numId w:val="38"/>
        </w:numPr>
      </w:pPr>
      <w:r w:rsidRPr="00A04C56">
        <w:t>reporting on the outcomes, together with recommendations for subsequent improvement.</w:t>
      </w:r>
    </w:p>
    <w:p w:rsidR="00260FD6" w:rsidRDefault="00260FD6" w:rsidP="002F4F0B">
      <w:pPr>
        <w:pStyle w:val="AGRBodyText"/>
      </w:pPr>
      <w:r w:rsidRPr="00A04C56">
        <w:t xml:space="preserve">Performance management system audits can be conducted at a corporate level, a program level, or at a category of cost level, such as capital expenditure. </w:t>
      </w:r>
      <w:r w:rsidR="00715613">
        <w:t xml:space="preserve"> </w:t>
      </w:r>
      <w:r w:rsidRPr="00A04C56">
        <w:t>All that is necessary is that there be a need to define objectives for intended or desired performance.</w:t>
      </w:r>
    </w:p>
    <w:p w:rsidR="004A036F" w:rsidRPr="00732782" w:rsidRDefault="004A036F" w:rsidP="0083183F">
      <w:pPr>
        <w:pStyle w:val="AGRHeading1"/>
      </w:pPr>
      <w:bookmarkStart w:id="70" w:name="appendix_6"/>
      <w:r w:rsidRPr="00732782">
        <w:t>Appendix 6:</w:t>
      </w:r>
      <w:r w:rsidR="00FC49B7">
        <w:t xml:space="preserve"> Agencies not A</w:t>
      </w:r>
      <w:r w:rsidRPr="00732782">
        <w:t xml:space="preserve">udited in the year ended 30 June </w:t>
      </w:r>
      <w:r w:rsidR="00313635">
        <w:t>20</w:t>
      </w:r>
      <w:r w:rsidR="00036669">
        <w:t>13</w:t>
      </w:r>
      <w:bookmarkEnd w:id="70"/>
    </w:p>
    <w:p w:rsidR="004A036F" w:rsidRPr="00732782" w:rsidRDefault="004A036F" w:rsidP="002F4F0B">
      <w:pPr>
        <w:pStyle w:val="AGRBodyText"/>
      </w:pPr>
      <w:r w:rsidRPr="00732782">
        <w:t xml:space="preserve">Section 13(3) of the </w:t>
      </w:r>
      <w:r w:rsidRPr="00732782">
        <w:rPr>
          <w:i/>
        </w:rPr>
        <w:t>Audit Act</w:t>
      </w:r>
      <w:r w:rsidR="00390EEC">
        <w:t xml:space="preserve"> permits the Auditor-</w:t>
      </w:r>
      <w:r w:rsidRPr="00732782">
        <w:t>General to dispense with an audit of an Agency.</w:t>
      </w:r>
    </w:p>
    <w:p w:rsidR="009635E5" w:rsidRDefault="004A036F" w:rsidP="002F4F0B">
      <w:pPr>
        <w:pStyle w:val="AGRBodyText"/>
      </w:pPr>
      <w:r w:rsidRPr="00732782">
        <w:t xml:space="preserve">For activities relating to the financial year ended 30 June </w:t>
      </w:r>
      <w:r w:rsidR="00313635">
        <w:t>201</w:t>
      </w:r>
      <w:r w:rsidR="00036669">
        <w:t>3</w:t>
      </w:r>
      <w:r w:rsidR="00C372D5" w:rsidRPr="00732782">
        <w:t xml:space="preserve">, </w:t>
      </w:r>
      <w:r w:rsidRPr="00732782">
        <w:t>no audits were</w:t>
      </w:r>
      <w:r w:rsidR="00C372D5" w:rsidRPr="00732782">
        <w:t>, or are intended to be,</w:t>
      </w:r>
      <w:r w:rsidRPr="00732782">
        <w:t xml:space="preserve"> </w:t>
      </w:r>
      <w:r w:rsidR="00C372D5" w:rsidRPr="00732782">
        <w:t xml:space="preserve">conducted </w:t>
      </w:r>
      <w:r w:rsidRPr="00732782">
        <w:t>at the following Agencies:</w:t>
      </w:r>
    </w:p>
    <w:p w:rsidR="000A5EBE" w:rsidRPr="00390EEC" w:rsidRDefault="00390EEC" w:rsidP="002F4F0B">
      <w:pPr>
        <w:pStyle w:val="AGRBulletText"/>
      </w:pPr>
      <w:r w:rsidRPr="00390EEC">
        <w:t>Department of Mines and Energy</w:t>
      </w:r>
      <w:r w:rsidR="000A5EBE" w:rsidRPr="00390EEC">
        <w:t>;</w:t>
      </w:r>
    </w:p>
    <w:p w:rsidR="000A5EBE" w:rsidRPr="00390EEC" w:rsidRDefault="000A5EBE" w:rsidP="002F4F0B">
      <w:pPr>
        <w:pStyle w:val="AGRBulletText"/>
      </w:pPr>
      <w:r w:rsidRPr="00390EEC">
        <w:t xml:space="preserve">Department of </w:t>
      </w:r>
      <w:r w:rsidR="00390EEC" w:rsidRPr="00390EEC">
        <w:t>Primary Industry and Fisheries</w:t>
      </w:r>
      <w:r w:rsidRPr="00390EEC">
        <w:t>;</w:t>
      </w:r>
    </w:p>
    <w:p w:rsidR="00DB426E" w:rsidRPr="00390EEC" w:rsidRDefault="00DB426E" w:rsidP="002F4F0B">
      <w:pPr>
        <w:pStyle w:val="AGRBulletText"/>
      </w:pPr>
      <w:r w:rsidRPr="00390EEC">
        <w:t xml:space="preserve">Department of </w:t>
      </w:r>
      <w:r w:rsidR="00390EEC" w:rsidRPr="00390EEC">
        <w:t>Sport and Recreation</w:t>
      </w:r>
      <w:r w:rsidRPr="00390EEC">
        <w:t>;</w:t>
      </w:r>
    </w:p>
    <w:p w:rsidR="00390EEC" w:rsidRPr="00390EEC" w:rsidRDefault="00390EEC" w:rsidP="002F4F0B">
      <w:pPr>
        <w:pStyle w:val="AGRBulletText"/>
      </w:pPr>
      <w:r w:rsidRPr="00390EEC">
        <w:t>Northern Territory Electoral Commission;</w:t>
      </w:r>
    </w:p>
    <w:p w:rsidR="00390EEC" w:rsidRPr="00390EEC" w:rsidRDefault="00390EEC" w:rsidP="002F4F0B">
      <w:pPr>
        <w:pStyle w:val="AGRBulletText"/>
      </w:pPr>
      <w:r w:rsidRPr="00390EEC">
        <w:t>Office of the Commissioner for Public Employment;</w:t>
      </w:r>
    </w:p>
    <w:p w:rsidR="000A5EBE" w:rsidRPr="00390EEC" w:rsidRDefault="00390EEC" w:rsidP="002F4F0B">
      <w:pPr>
        <w:pStyle w:val="AGRBulletText"/>
      </w:pPr>
      <w:r w:rsidRPr="00390EEC">
        <w:t>Ombudsman’s Office</w:t>
      </w:r>
      <w:r w:rsidR="000A5EBE" w:rsidRPr="00390EEC">
        <w:t>.</w:t>
      </w:r>
    </w:p>
    <w:p w:rsidR="009635E5" w:rsidRDefault="004A036F" w:rsidP="002F4F0B">
      <w:pPr>
        <w:pStyle w:val="AGRBodyText"/>
      </w:pPr>
      <w:r w:rsidRPr="00732782">
        <w:t xml:space="preserve">The </w:t>
      </w:r>
      <w:r w:rsidR="00B51735" w:rsidRPr="00732782">
        <w:t>inc</w:t>
      </w:r>
      <w:r w:rsidRPr="00732782">
        <w:t xml:space="preserve">reasingly stringent requirements of Australian Accounting Standards, and Auditing and Assurance Standards has required that audit effort be directed towards financial audits of those Agencies that are deemed to represent greater materiality and greater risk.  It is proposed that each of the listed Agencies will be </w:t>
      </w:r>
      <w:r w:rsidR="00B51735" w:rsidRPr="00732782">
        <w:t>inc</w:t>
      </w:r>
      <w:r w:rsidRPr="00732782">
        <w:t>luded in audit coverage at least once every three years.</w:t>
      </w:r>
    </w:p>
    <w:p w:rsidR="00D51053" w:rsidRDefault="004A036F" w:rsidP="002F4F0B">
      <w:pPr>
        <w:pStyle w:val="AGRBodyText"/>
      </w:pPr>
      <w:r w:rsidRPr="00732782">
        <w:t xml:space="preserve">It is also noted that an independent auditor appointed under section 27 of the </w:t>
      </w:r>
      <w:r w:rsidRPr="00732782">
        <w:rPr>
          <w:i/>
        </w:rPr>
        <w:t>Audit Act</w:t>
      </w:r>
      <w:r w:rsidRPr="00732782">
        <w:t xml:space="preserve"> conducts an annual audit of the Auditor-General’s Office.</w:t>
      </w:r>
    </w:p>
    <w:p w:rsidR="00033FDD" w:rsidRDefault="00033FDD" w:rsidP="002F4F0B">
      <w:pPr>
        <w:pStyle w:val="AGRBodyText"/>
      </w:pPr>
    </w:p>
    <w:p w:rsidR="00033FDD" w:rsidRDefault="00033FDD" w:rsidP="002F4F0B">
      <w:pPr>
        <w:pStyle w:val="AGRBodyText"/>
        <w:sectPr w:rsidR="00033FDD" w:rsidSect="004B3E0E">
          <w:pgSz w:w="11906" w:h="16838" w:code="9"/>
          <w:pgMar w:top="3119" w:right="1418" w:bottom="1134" w:left="1418" w:header="340" w:footer="567" w:gutter="284"/>
          <w:cols w:space="708"/>
          <w:docGrid w:linePitch="360"/>
        </w:sectPr>
      </w:pPr>
    </w:p>
    <w:p w:rsidR="009635E5" w:rsidRDefault="00D51053" w:rsidP="002F4F0B">
      <w:pPr>
        <w:pStyle w:val="AGRBodyText"/>
      </w:pPr>
      <w:r>
        <w:rPr>
          <w:noProof/>
          <w:lang w:val="en-AU" w:eastAsia="en-AU"/>
        </w:rPr>
        <mc:AlternateContent>
          <mc:Choice Requires="wps">
            <w:drawing>
              <wp:anchor distT="0" distB="0" distL="114300" distR="114300" simplePos="0" relativeHeight="251693056" behindDoc="0" locked="0" layoutInCell="1" allowOverlap="1" wp14:anchorId="370A698C" wp14:editId="257FFF8B">
                <wp:simplePos x="0" y="0"/>
                <wp:positionH relativeFrom="page">
                  <wp:align>center</wp:align>
                </wp:positionH>
                <wp:positionV relativeFrom="page">
                  <wp:align>center</wp:align>
                </wp:positionV>
                <wp:extent cx="1837055" cy="292735"/>
                <wp:effectExtent l="0" t="0" r="0" b="381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E4C2C" w:rsidRDefault="009E4C2C" w:rsidP="00D51053">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0;margin-top:0;width:144.65pt;height:23.05pt;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z4fgIAAP8E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IBWM+H4CAAD/BAAA&#10;DgAAAAAAAAAAAAAAAAAuAgAAZHJzL2Uyb0RvYy54bWxQSwECLQAUAAYACAAAACEAQLXHctoAAAAE&#10;AQAADwAAAAAAAAAAAAAAAADYBAAAZHJzL2Rvd25yZXYueG1sUEsFBgAAAAAEAAQA8wAAAN8FAAAA&#10;AA==&#10;" stroked="f" strokeweight="1pt">
                <v:textbox inset="0,0,0,0">
                  <w:txbxContent>
                    <w:p w:rsidR="009E4C2C" w:rsidRDefault="009E4C2C" w:rsidP="00D51053">
                      <w:pPr>
                        <w:pStyle w:val="AGRTableText"/>
                      </w:pPr>
                      <w:r>
                        <w:t>This page deliberately left blank.</w:t>
                      </w:r>
                    </w:p>
                  </w:txbxContent>
                </v:textbox>
                <w10:wrap anchorx="page" anchory="page"/>
              </v:rect>
            </w:pict>
          </mc:Fallback>
        </mc:AlternateContent>
      </w:r>
    </w:p>
    <w:p w:rsidR="00C928CC" w:rsidRDefault="00C928CC" w:rsidP="00C928CC">
      <w:pPr>
        <w:pStyle w:val="AGRHeading1"/>
      </w:pPr>
      <w:bookmarkStart w:id="71" w:name="appendix_7"/>
      <w:r>
        <w:t>Appendix 7: Public Information Act</w:t>
      </w:r>
      <w:bookmarkEnd w:id="71"/>
    </w:p>
    <w:p w:rsidR="00C928CC" w:rsidRDefault="00C928CC" w:rsidP="00C928CC">
      <w:pPr>
        <w:pStyle w:val="AGRHeading2"/>
      </w:pPr>
      <w:r>
        <w:t>Background</w:t>
      </w:r>
    </w:p>
    <w:p w:rsidR="00C928CC" w:rsidRDefault="00C928CC" w:rsidP="00C928CC">
      <w:pPr>
        <w:pStyle w:val="AGRBodyText"/>
      </w:pPr>
      <w:r>
        <w:t xml:space="preserve">The </w:t>
      </w:r>
      <w:r w:rsidRPr="004C0929">
        <w:rPr>
          <w:i/>
        </w:rPr>
        <w:t>Public Information Act</w:t>
      </w:r>
      <w:r>
        <w:t xml:space="preserve">, which came into effect </w:t>
      </w:r>
      <w:r w:rsidR="00DE0303">
        <w:t>in</w:t>
      </w:r>
      <w:r>
        <w:t xml:space="preserve"> 2010, seeks to achieve a transparent and accountable mechanism for the review of public information produced by public authorities.  </w:t>
      </w:r>
      <w:r w:rsidR="00DE0303">
        <w:t>A</w:t>
      </w:r>
      <w:r>
        <w:t xml:space="preserve"> public authority is defined in section 6 of the Act and that definition is broad, capturing any:</w:t>
      </w:r>
    </w:p>
    <w:p w:rsidR="00C928CC" w:rsidRPr="00DE0303" w:rsidRDefault="00C928CC" w:rsidP="00DE0303">
      <w:pPr>
        <w:pStyle w:val="AGRBulletText"/>
      </w:pPr>
      <w:r w:rsidRPr="00DE0303">
        <w:t>Member of the Legislative Assembly or the holder of any office of the Legislative Assembly;</w:t>
      </w:r>
    </w:p>
    <w:p w:rsidR="00C928CC" w:rsidRPr="00DE0303" w:rsidRDefault="00C928CC" w:rsidP="00DE0303">
      <w:pPr>
        <w:pStyle w:val="AGRBulletText"/>
      </w:pPr>
      <w:r w:rsidRPr="00DE0303">
        <w:t>Agency or body corporate established under a law of the Territory;</w:t>
      </w:r>
    </w:p>
    <w:p w:rsidR="00C928CC" w:rsidRPr="00DE0303" w:rsidRDefault="00C928CC" w:rsidP="00DE0303">
      <w:pPr>
        <w:pStyle w:val="AGRBulletText"/>
      </w:pPr>
      <w:r w:rsidRPr="00DE0303">
        <w:t>body corporate that is held to be controlled by a public authority;</w:t>
      </w:r>
      <w:r w:rsidR="00DE0303">
        <w:t xml:space="preserve"> and</w:t>
      </w:r>
    </w:p>
    <w:p w:rsidR="00C928CC" w:rsidRPr="00DE0303" w:rsidRDefault="00C928CC" w:rsidP="00DE0303">
      <w:pPr>
        <w:pStyle w:val="AGRBulletText"/>
      </w:pPr>
      <w:r w:rsidRPr="00DE0303">
        <w:t>person appointed or engaged to perform work for a public authority.</w:t>
      </w:r>
    </w:p>
    <w:p w:rsidR="00C928CC" w:rsidRDefault="00C928CC" w:rsidP="008347AA">
      <w:pPr>
        <w:pStyle w:val="AGRBodyText"/>
      </w:pPr>
      <w:r>
        <w:t>Excluded from the definition are</w:t>
      </w:r>
      <w:r w:rsidR="008347AA">
        <w:t xml:space="preserve"> </w:t>
      </w:r>
      <w:r>
        <w:t>holders or occupiers of:</w:t>
      </w:r>
    </w:p>
    <w:p w:rsidR="00C928CC" w:rsidRDefault="00C928CC" w:rsidP="008347AA">
      <w:pPr>
        <w:pStyle w:val="AGRBulletText"/>
        <w:numPr>
          <w:ilvl w:val="0"/>
          <w:numId w:val="38"/>
        </w:numPr>
      </w:pPr>
      <w:r>
        <w:t>judicial office;</w:t>
      </w:r>
    </w:p>
    <w:p w:rsidR="00C928CC" w:rsidRDefault="00C928CC" w:rsidP="008347AA">
      <w:pPr>
        <w:pStyle w:val="AGRBulletText"/>
        <w:numPr>
          <w:ilvl w:val="0"/>
          <w:numId w:val="38"/>
        </w:numPr>
      </w:pPr>
      <w:r>
        <w:t>an office as a member of a tribunal established under a law of the Territory;</w:t>
      </w:r>
    </w:p>
    <w:p w:rsidR="00C928CC" w:rsidRDefault="00C928CC" w:rsidP="008347AA">
      <w:pPr>
        <w:pStyle w:val="AGRBulletText"/>
        <w:numPr>
          <w:ilvl w:val="0"/>
          <w:numId w:val="38"/>
        </w:numPr>
      </w:pPr>
      <w:r>
        <w:t>the Auditor-General;</w:t>
      </w:r>
    </w:p>
    <w:p w:rsidR="00C928CC" w:rsidRDefault="00C928CC" w:rsidP="00C928CC">
      <w:pPr>
        <w:pStyle w:val="AGRBulletText"/>
        <w:numPr>
          <w:ilvl w:val="0"/>
          <w:numId w:val="38"/>
        </w:numPr>
      </w:pPr>
      <w:r>
        <w:t xml:space="preserve">a council constituted pursuant to the </w:t>
      </w:r>
      <w:r w:rsidRPr="004C0929">
        <w:rPr>
          <w:i/>
        </w:rPr>
        <w:t>Local Government Act</w:t>
      </w:r>
      <w:r>
        <w:t>;</w:t>
      </w:r>
    </w:p>
    <w:p w:rsidR="00C928CC" w:rsidRDefault="00C928CC" w:rsidP="00C928CC">
      <w:pPr>
        <w:pStyle w:val="AGRBulletText"/>
        <w:numPr>
          <w:ilvl w:val="0"/>
          <w:numId w:val="38"/>
        </w:numPr>
      </w:pPr>
      <w:r>
        <w:t>the Territory Insurance Office;</w:t>
      </w:r>
    </w:p>
    <w:p w:rsidR="00C928CC" w:rsidRDefault="00C928CC" w:rsidP="00C928CC">
      <w:pPr>
        <w:pStyle w:val="AGRBulletText"/>
        <w:numPr>
          <w:ilvl w:val="0"/>
          <w:numId w:val="38"/>
        </w:numPr>
      </w:pPr>
      <w:r>
        <w:t>the Power and Water Corporation; and</w:t>
      </w:r>
    </w:p>
    <w:p w:rsidR="00C928CC" w:rsidRDefault="00C928CC" w:rsidP="00C928CC">
      <w:pPr>
        <w:pStyle w:val="AGRBulletText"/>
        <w:numPr>
          <w:ilvl w:val="0"/>
          <w:numId w:val="38"/>
        </w:numPr>
      </w:pPr>
      <w:r>
        <w:t>a person or body prescribed by regulation.</w:t>
      </w:r>
    </w:p>
    <w:p w:rsidR="00C928CC" w:rsidRDefault="00C928CC" w:rsidP="00C928CC">
      <w:pPr>
        <w:pStyle w:val="AGRBodyText"/>
      </w:pPr>
      <w:r>
        <w:t>The definition of what constitutes public information is equally broad and is defined as “</w:t>
      </w:r>
      <w:r w:rsidRPr="004C0929">
        <w:rPr>
          <w:i/>
        </w:rPr>
        <w:t>information given by a public authority to the public by using money or other property of the Territory…</w:t>
      </w:r>
      <w:r>
        <w:t>”.  Exemptions from this definition are:</w:t>
      </w:r>
    </w:p>
    <w:p w:rsidR="00C928CC" w:rsidRDefault="00C928CC" w:rsidP="00C928CC">
      <w:pPr>
        <w:pStyle w:val="AGRBulletText"/>
        <w:numPr>
          <w:ilvl w:val="0"/>
          <w:numId w:val="38"/>
        </w:numPr>
      </w:pPr>
      <w:r>
        <w:t>information provided by a Member of the Legislative Assembly to members of his or her electorate if the preparation and giving of the information is funded by an allowance payable to the member for the electorate under a law of the Territory;</w:t>
      </w:r>
    </w:p>
    <w:p w:rsidR="00C928CC" w:rsidRDefault="00C928CC" w:rsidP="00C928CC">
      <w:pPr>
        <w:pStyle w:val="AGRBulletText"/>
        <w:numPr>
          <w:ilvl w:val="0"/>
          <w:numId w:val="38"/>
        </w:numPr>
      </w:pPr>
      <w:r>
        <w:t>a media release of a Member of the Legislative Assembly; and</w:t>
      </w:r>
    </w:p>
    <w:p w:rsidR="00C928CC" w:rsidRDefault="00C928CC" w:rsidP="00C928CC">
      <w:pPr>
        <w:pStyle w:val="AGRBulletText"/>
        <w:numPr>
          <w:ilvl w:val="0"/>
          <w:numId w:val="38"/>
        </w:numPr>
      </w:pPr>
      <w:r>
        <w:t>information prescribed by regulation.</w:t>
      </w:r>
    </w:p>
    <w:p w:rsidR="00C928CC" w:rsidRDefault="00C928CC" w:rsidP="00C928CC">
      <w:pPr>
        <w:pStyle w:val="AGRHeading1"/>
      </w:pPr>
      <w:r>
        <w:t>Appendix 7: Public Information Act cont…</w:t>
      </w:r>
    </w:p>
    <w:p w:rsidR="00C928CC" w:rsidRDefault="00C928CC" w:rsidP="00C928CC">
      <w:pPr>
        <w:pStyle w:val="AGRBodyText"/>
      </w:pPr>
      <w:r>
        <w:t>Section 6(1) of the Act provides that the Auditor-General must, upon the receipt of a written request of a Member of the Legislative Assembly, conduct a review of that information to determine whether the provisions of the Act have been contravened.</w:t>
      </w:r>
      <w:r w:rsidR="00DE0303">
        <w:t xml:space="preserve">  </w:t>
      </w:r>
      <w:r>
        <w:t>The Auditor-General may determine that the Act has been contravened if the material that is the subject of the review contravenes section 6(2) of the Act in that it:</w:t>
      </w:r>
    </w:p>
    <w:p w:rsidR="00C928CC" w:rsidRDefault="00C928CC" w:rsidP="00C928CC">
      <w:pPr>
        <w:pStyle w:val="AGRBulletText"/>
        <w:numPr>
          <w:ilvl w:val="0"/>
          <w:numId w:val="38"/>
        </w:numPr>
      </w:pPr>
      <w:r>
        <w:t>promotes particular party interests;</w:t>
      </w:r>
    </w:p>
    <w:p w:rsidR="00C928CC" w:rsidRDefault="00C928CC" w:rsidP="00C928CC">
      <w:pPr>
        <w:pStyle w:val="AGRBulletText"/>
        <w:numPr>
          <w:ilvl w:val="0"/>
          <w:numId w:val="38"/>
        </w:numPr>
      </w:pPr>
      <w:r>
        <w:t>includes statements that are misleading or factually inaccurate; or</w:t>
      </w:r>
    </w:p>
    <w:p w:rsidR="00DE0303" w:rsidRDefault="00C928CC" w:rsidP="00DE0303">
      <w:pPr>
        <w:pStyle w:val="AGRBulletText"/>
        <w:numPr>
          <w:ilvl w:val="0"/>
          <w:numId w:val="38"/>
        </w:numPr>
      </w:pPr>
      <w:r>
        <w:t>does not clearly distinguish a statement of facts from a statement of comments.</w:t>
      </w:r>
    </w:p>
    <w:p w:rsidR="00DE0303" w:rsidRDefault="00DE0303" w:rsidP="00DE0303">
      <w:pPr>
        <w:rPr>
          <w:rStyle w:val="AGRBodyTextChar"/>
        </w:rPr>
      </w:pPr>
      <w:r w:rsidRPr="008347AA">
        <w:rPr>
          <w:rStyle w:val="AGRBodyTextChar"/>
        </w:rPr>
        <w:t>Section 6(3) of the Act states that the Auditor-General must have regard to the public information guidelines in making a determination under the Act.</w:t>
      </w:r>
    </w:p>
    <w:p w:rsidR="00DE0303" w:rsidRDefault="00DE0303" w:rsidP="008347AA">
      <w:pPr>
        <w:pStyle w:val="AGRHeading2"/>
      </w:pPr>
      <w:r w:rsidRPr="0065394D">
        <w:t>Public Information Guidelines</w:t>
      </w:r>
    </w:p>
    <w:p w:rsidR="00DE0303" w:rsidRDefault="00DE0303" w:rsidP="008347AA">
      <w:pPr>
        <w:pStyle w:val="AGRBodyText"/>
      </w:pPr>
      <w:r w:rsidRPr="0065394D">
        <w:t>Section 9 of the Act permits the Minister to make guidelines to provide for the matters to be taken into account by the Auditor-General in making a determination under the Act and I have referred to the Public Information Guidelines as part of my consideration of the request made to me pursuant to section 6 of the Act and which is the subject of this report.</w:t>
      </w:r>
    </w:p>
    <w:p w:rsidR="00DE0303" w:rsidRDefault="00DE0303" w:rsidP="008347AA">
      <w:pPr>
        <w:pStyle w:val="AGRBodyText"/>
      </w:pPr>
      <w:r w:rsidRPr="0065394D">
        <w:t xml:space="preserve">The guidelines establish standards for communication and these require </w:t>
      </w:r>
      <w:r w:rsidRPr="008A6A1B">
        <w:rPr>
          <w:i/>
        </w:rPr>
        <w:t>inter alia</w:t>
      </w:r>
      <w:r w:rsidRPr="0065394D">
        <w:t xml:space="preserve"> that information is factual and that public authorities not comment on the views, policies or actions of a political party or politician</w:t>
      </w:r>
      <w:r>
        <w:t>s.</w:t>
      </w:r>
    </w:p>
    <w:p w:rsidR="00DE0303" w:rsidRDefault="00DE0303" w:rsidP="008347AA">
      <w:pPr>
        <w:pStyle w:val="AGRBodyText"/>
      </w:pPr>
      <w:r>
        <w:t>The guidelines also require that communication utilising public funds must meet at least one of the following criteria:</w:t>
      </w:r>
    </w:p>
    <w:p w:rsidR="00DE0303" w:rsidRPr="0000558A" w:rsidRDefault="00DE0303" w:rsidP="008347AA">
      <w:pPr>
        <w:pStyle w:val="AGRBulletText"/>
      </w:pPr>
      <w:r w:rsidRPr="0000558A">
        <w:t>to maximise compliance with the law;</w:t>
      </w:r>
    </w:p>
    <w:p w:rsidR="00DE0303" w:rsidRPr="0000558A" w:rsidRDefault="00DE0303" w:rsidP="008347AA">
      <w:pPr>
        <w:pStyle w:val="AGRBulletText"/>
      </w:pPr>
      <w:r w:rsidRPr="0000558A">
        <w:t>to achieve awareness of a new o</w:t>
      </w:r>
      <w:r>
        <w:t>r</w:t>
      </w:r>
      <w:r w:rsidRPr="0000558A">
        <w:t xml:space="preserve"> </w:t>
      </w:r>
      <w:r>
        <w:t>a</w:t>
      </w:r>
      <w:r w:rsidRPr="0000558A">
        <w:t>mended law;</w:t>
      </w:r>
    </w:p>
    <w:p w:rsidR="00DE0303" w:rsidRPr="009A3BDE" w:rsidRDefault="00DE0303" w:rsidP="008347AA">
      <w:pPr>
        <w:pStyle w:val="AGRBulletText"/>
      </w:pPr>
      <w:r w:rsidRPr="009A3BDE">
        <w:t>to ensure public safety, personal security or encourage</w:t>
      </w:r>
      <w:r>
        <w:t xml:space="preserve"> </w:t>
      </w:r>
      <w:r w:rsidRPr="009A3BDE">
        <w:t>responsible</w:t>
      </w:r>
      <w:r>
        <w:t xml:space="preserve"> </w:t>
      </w:r>
      <w:r w:rsidRPr="009A3BDE">
        <w:t>behaviour;</w:t>
      </w:r>
    </w:p>
    <w:p w:rsidR="00DE0303" w:rsidRPr="0000558A" w:rsidRDefault="00DE0303" w:rsidP="008347AA">
      <w:pPr>
        <w:pStyle w:val="AGRBulletText"/>
      </w:pPr>
      <w:r w:rsidRPr="0000558A">
        <w:t>to assist in the preservation of order in the event of a crisis or emergency;</w:t>
      </w:r>
    </w:p>
    <w:p w:rsidR="00DE0303" w:rsidRPr="0000558A" w:rsidRDefault="00DE0303" w:rsidP="008347AA">
      <w:pPr>
        <w:pStyle w:val="AGRBulletText"/>
      </w:pPr>
      <w:r w:rsidRPr="0000558A">
        <w:t>to promote awareness of rights, responsibilities, duties or entitlements;</w:t>
      </w:r>
    </w:p>
    <w:p w:rsidR="00DE0303" w:rsidRPr="0000558A" w:rsidRDefault="00DE0303" w:rsidP="008347AA">
      <w:pPr>
        <w:pStyle w:val="AGRBulletText"/>
      </w:pPr>
      <w:r w:rsidRPr="0000558A">
        <w:t>to encourage</w:t>
      </w:r>
      <w:r>
        <w:t xml:space="preserve"> </w:t>
      </w:r>
      <w:r w:rsidRPr="0000558A">
        <w:t>usage of or familiarity with government products or services;</w:t>
      </w:r>
    </w:p>
    <w:p w:rsidR="00DE0303" w:rsidRPr="0000558A" w:rsidRDefault="00DE0303" w:rsidP="008347AA">
      <w:pPr>
        <w:pStyle w:val="AGRBulletText"/>
      </w:pPr>
      <w:r w:rsidRPr="0000558A">
        <w:t>to report on performance in relation to government undertakings;</w:t>
      </w:r>
    </w:p>
    <w:p w:rsidR="00DE0303" w:rsidRDefault="00DE0303" w:rsidP="008347AA">
      <w:pPr>
        <w:pStyle w:val="AGRHeading1"/>
      </w:pPr>
      <w:r>
        <w:t>Appendix 7: Public Information Act cont…</w:t>
      </w:r>
    </w:p>
    <w:p w:rsidR="00520280" w:rsidRDefault="00520280" w:rsidP="00520280">
      <w:pPr>
        <w:pStyle w:val="AGRBulletText"/>
      </w:pPr>
      <w:r w:rsidRPr="0000558A">
        <w:t>to communicate functions of government, e.g. education campaigns; recruitment, community engagement, expressions of interest,</w:t>
      </w:r>
      <w:r>
        <w:t xml:space="preserve"> </w:t>
      </w:r>
      <w:r w:rsidRPr="0000558A">
        <w:t>future plans;</w:t>
      </w:r>
    </w:p>
    <w:p w:rsidR="00033FDD" w:rsidRDefault="00DE0303" w:rsidP="00033FDD">
      <w:pPr>
        <w:pStyle w:val="AGRBulletText"/>
      </w:pPr>
      <w:r w:rsidRPr="0000558A">
        <w:t>to communicate on matt</w:t>
      </w:r>
      <w:r>
        <w:t>er</w:t>
      </w:r>
      <w:r w:rsidRPr="0000558A">
        <w:t xml:space="preserve"> (sic) of social cohesion, civic pride, community spirit and/or tolerance.</w:t>
      </w:r>
      <w:r w:rsidR="00033FDD" w:rsidRPr="00033FDD">
        <w:t xml:space="preserve"> </w:t>
      </w:r>
    </w:p>
    <w:p w:rsidR="00033FDD" w:rsidRDefault="00033FDD" w:rsidP="00033FDD">
      <w:pPr>
        <w:pStyle w:val="AGRBodyText"/>
      </w:pPr>
    </w:p>
    <w:p w:rsidR="00033FDD" w:rsidRDefault="00033FDD" w:rsidP="00033FDD">
      <w:pPr>
        <w:pStyle w:val="AGRBodyText"/>
        <w:sectPr w:rsidR="00033FDD" w:rsidSect="004B3E0E">
          <w:pgSz w:w="11906" w:h="16838" w:code="9"/>
          <w:pgMar w:top="3119" w:right="1418" w:bottom="1134" w:left="1418" w:header="340" w:footer="567" w:gutter="284"/>
          <w:cols w:space="708"/>
          <w:docGrid w:linePitch="360"/>
        </w:sectPr>
      </w:pPr>
    </w:p>
    <w:p w:rsidR="00DE0303" w:rsidRPr="0000558A" w:rsidRDefault="00033FDD" w:rsidP="00033FDD">
      <w:pPr>
        <w:pStyle w:val="AGRBodyText"/>
      </w:pPr>
      <w:r>
        <w:rPr>
          <w:noProof/>
          <w:lang w:val="en-AU" w:eastAsia="en-AU"/>
        </w:rPr>
        <mc:AlternateContent>
          <mc:Choice Requires="wps">
            <w:drawing>
              <wp:anchor distT="0" distB="0" distL="114300" distR="114300" simplePos="0" relativeHeight="251695104" behindDoc="0" locked="0" layoutInCell="1" allowOverlap="1" wp14:anchorId="4356A6E5" wp14:editId="6E4D8803">
                <wp:simplePos x="0" y="0"/>
                <wp:positionH relativeFrom="page">
                  <wp:align>center</wp:align>
                </wp:positionH>
                <wp:positionV relativeFrom="page">
                  <wp:align>center</wp:align>
                </wp:positionV>
                <wp:extent cx="1837055" cy="292735"/>
                <wp:effectExtent l="0" t="0" r="0" b="381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E4C2C" w:rsidRDefault="009E4C2C" w:rsidP="00033FDD">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0;margin-top:0;width:144.65pt;height:23.05pt;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" stroked="f" strokeweight="1pt">
                <v:textbox inset="0,0,0,0">
                  <w:txbxContent>
                    <w:p w:rsidR="009E4C2C" w:rsidRDefault="009E4C2C" w:rsidP="00033FDD">
                      <w:pPr>
                        <w:pStyle w:val="AGRTableText"/>
                      </w:pPr>
                      <w:r>
                        <w:t>This page deliberately left blank.</w:t>
                      </w:r>
                    </w:p>
                  </w:txbxContent>
                </v:textbox>
                <w10:wrap anchorx="page" anchory="page"/>
              </v:rect>
            </w:pict>
          </mc:Fallback>
        </mc:AlternateContent>
      </w:r>
    </w:p>
    <w:p w:rsidR="00B4664D" w:rsidRPr="00732782" w:rsidRDefault="004A036F" w:rsidP="0083183F">
      <w:pPr>
        <w:pStyle w:val="AGRHeading1"/>
      </w:pPr>
      <w:bookmarkStart w:id="72" w:name="appendix_8"/>
      <w:r w:rsidRPr="00732782">
        <w:t xml:space="preserve">Appendix </w:t>
      </w:r>
      <w:r w:rsidR="00C928CC">
        <w:t>8</w:t>
      </w:r>
      <w:r w:rsidRPr="00732782">
        <w:t>: Abbreviations</w:t>
      </w:r>
      <w:bookmarkEnd w:id="72"/>
    </w:p>
    <w:tbl>
      <w:tblPr>
        <w:tblW w:w="8789" w:type="dxa"/>
        <w:tblLayout w:type="fixed"/>
        <w:tblCellMar>
          <w:top w:w="57" w:type="dxa"/>
          <w:left w:w="0" w:type="dxa"/>
          <w:bottom w:w="57" w:type="dxa"/>
          <w:right w:w="0" w:type="dxa"/>
        </w:tblCellMar>
        <w:tblLook w:val="0000" w:firstRow="0" w:lastRow="0" w:firstColumn="0" w:lastColumn="0" w:noHBand="0" w:noVBand="0"/>
      </w:tblPr>
      <w:tblGrid>
        <w:gridCol w:w="1130"/>
        <w:gridCol w:w="7659"/>
      </w:tblGrid>
      <w:tr w:rsidR="00061C8B" w:rsidRPr="00B4664D" w:rsidTr="006F0B22">
        <w:tc>
          <w:tcPr>
            <w:tcW w:w="1130" w:type="dxa"/>
          </w:tcPr>
          <w:p w:rsidR="00061C8B" w:rsidRDefault="00061C8B" w:rsidP="006F0B22">
            <w:pPr>
              <w:pStyle w:val="AGRTableText"/>
            </w:pPr>
            <w:r>
              <w:t>ACIKE</w:t>
            </w:r>
          </w:p>
        </w:tc>
        <w:tc>
          <w:tcPr>
            <w:tcW w:w="7659" w:type="dxa"/>
          </w:tcPr>
          <w:p w:rsidR="00061C8B" w:rsidRDefault="00030C09" w:rsidP="00F50F6C">
            <w:pPr>
              <w:pStyle w:val="AGRTableText"/>
            </w:pPr>
            <w:r>
              <w:t>Australian Centre for Indigenous Knowledge and Education</w:t>
            </w:r>
          </w:p>
        </w:tc>
      </w:tr>
      <w:tr w:rsidR="00F50F6C" w:rsidRPr="00B4664D" w:rsidTr="006F0B22">
        <w:tc>
          <w:tcPr>
            <w:tcW w:w="1130" w:type="dxa"/>
          </w:tcPr>
          <w:p w:rsidR="00F50F6C" w:rsidRPr="00B4664D" w:rsidRDefault="00F50F6C" w:rsidP="006F0B22">
            <w:pPr>
              <w:pStyle w:val="AGRTableText"/>
            </w:pPr>
            <w:r>
              <w:t>AMC</w:t>
            </w:r>
          </w:p>
        </w:tc>
        <w:tc>
          <w:tcPr>
            <w:tcW w:w="7659" w:type="dxa"/>
          </w:tcPr>
          <w:p w:rsidR="00F50F6C" w:rsidRPr="00B4664D" w:rsidRDefault="00F50F6C" w:rsidP="00F50F6C">
            <w:pPr>
              <w:pStyle w:val="AGRTableText"/>
            </w:pPr>
            <w:r>
              <w:t>Asset Management Capability</w:t>
            </w:r>
          </w:p>
        </w:tc>
      </w:tr>
      <w:tr w:rsidR="00061C8B" w:rsidRPr="00B4664D" w:rsidTr="006F0B22">
        <w:tc>
          <w:tcPr>
            <w:tcW w:w="1130" w:type="dxa"/>
          </w:tcPr>
          <w:p w:rsidR="00061C8B" w:rsidRPr="00B4664D" w:rsidRDefault="00061C8B" w:rsidP="006F0B22">
            <w:pPr>
              <w:pStyle w:val="AGRTableText"/>
            </w:pPr>
            <w:r>
              <w:t>AMS</w:t>
            </w:r>
          </w:p>
        </w:tc>
        <w:tc>
          <w:tcPr>
            <w:tcW w:w="7659" w:type="dxa"/>
          </w:tcPr>
          <w:p w:rsidR="00061C8B" w:rsidRPr="00B4664D" w:rsidRDefault="00030C09" w:rsidP="006F0B22">
            <w:pPr>
              <w:pStyle w:val="AGRTableText"/>
            </w:pPr>
            <w:r>
              <w:t>Asset Management System</w:t>
            </w:r>
          </w:p>
        </w:tc>
      </w:tr>
      <w:tr w:rsidR="00B4664D" w:rsidRPr="00B4664D" w:rsidTr="006F0B22">
        <w:tc>
          <w:tcPr>
            <w:tcW w:w="1130" w:type="dxa"/>
          </w:tcPr>
          <w:p w:rsidR="00B4664D" w:rsidRPr="00B4664D" w:rsidRDefault="00B4664D" w:rsidP="006F0B22">
            <w:pPr>
              <w:pStyle w:val="AGRTableText"/>
            </w:pPr>
            <w:r w:rsidRPr="00B4664D">
              <w:t>CDU</w:t>
            </w:r>
          </w:p>
        </w:tc>
        <w:tc>
          <w:tcPr>
            <w:tcW w:w="7659" w:type="dxa"/>
          </w:tcPr>
          <w:p w:rsidR="00B4664D" w:rsidRPr="00B4664D" w:rsidRDefault="00B4664D" w:rsidP="006F0B22">
            <w:pPr>
              <w:pStyle w:val="AGRTableText"/>
            </w:pPr>
            <w:r w:rsidRPr="00B4664D">
              <w:t>Charles Darwin University</w:t>
            </w:r>
          </w:p>
        </w:tc>
      </w:tr>
      <w:tr w:rsidR="00B4664D" w:rsidRPr="00B4664D" w:rsidTr="00B4664D">
        <w:tc>
          <w:tcPr>
            <w:tcW w:w="1130" w:type="dxa"/>
          </w:tcPr>
          <w:p w:rsidR="00B4664D" w:rsidRPr="00B4664D" w:rsidRDefault="00B4664D" w:rsidP="00B4664D">
            <w:pPr>
              <w:pStyle w:val="AGRTableText"/>
            </w:pPr>
            <w:r w:rsidRPr="00B4664D">
              <w:t>CME</w:t>
            </w:r>
          </w:p>
        </w:tc>
        <w:tc>
          <w:tcPr>
            <w:tcW w:w="7659" w:type="dxa"/>
          </w:tcPr>
          <w:p w:rsidR="00B4664D" w:rsidRPr="00B4664D" w:rsidRDefault="00B4664D" w:rsidP="00B4664D">
            <w:pPr>
              <w:pStyle w:val="AGRTableText"/>
            </w:pPr>
            <w:r w:rsidRPr="00B4664D">
              <w:t>CareFlight Medical Escort</w:t>
            </w:r>
          </w:p>
        </w:tc>
      </w:tr>
      <w:tr w:rsidR="00061C8B" w:rsidRPr="00732782" w:rsidTr="006F0B22">
        <w:tc>
          <w:tcPr>
            <w:tcW w:w="1130" w:type="dxa"/>
          </w:tcPr>
          <w:p w:rsidR="00061C8B" w:rsidRPr="00B4664D" w:rsidRDefault="00030C09" w:rsidP="006F0B22">
            <w:pPr>
              <w:pStyle w:val="AGRTableText"/>
            </w:pPr>
            <w:r>
              <w:t>DCIS</w:t>
            </w:r>
          </w:p>
        </w:tc>
        <w:tc>
          <w:tcPr>
            <w:tcW w:w="7659" w:type="dxa"/>
          </w:tcPr>
          <w:p w:rsidR="00061C8B" w:rsidRPr="00B4664D" w:rsidRDefault="00030C09" w:rsidP="006F0B22">
            <w:pPr>
              <w:pStyle w:val="AGRTableText"/>
            </w:pPr>
            <w:r>
              <w:t>Department of Corporate and Information Services</w:t>
            </w:r>
          </w:p>
        </w:tc>
      </w:tr>
      <w:tr w:rsidR="003D5894" w:rsidRPr="00732782" w:rsidTr="006F0B22">
        <w:tc>
          <w:tcPr>
            <w:tcW w:w="1130" w:type="dxa"/>
          </w:tcPr>
          <w:p w:rsidR="003D5894" w:rsidRDefault="003D5894" w:rsidP="006F0B22">
            <w:pPr>
              <w:pStyle w:val="AGRTableText"/>
            </w:pPr>
            <w:r>
              <w:t>EFT</w:t>
            </w:r>
          </w:p>
        </w:tc>
        <w:tc>
          <w:tcPr>
            <w:tcW w:w="7659" w:type="dxa"/>
          </w:tcPr>
          <w:p w:rsidR="003D5894" w:rsidRDefault="003D5894" w:rsidP="006F0B22">
            <w:pPr>
              <w:pStyle w:val="AGRTableText"/>
            </w:pPr>
            <w:r>
              <w:t>Electronic Funds Transfer</w:t>
            </w:r>
          </w:p>
        </w:tc>
      </w:tr>
      <w:tr w:rsidR="00C92FAD" w:rsidRPr="00732782" w:rsidTr="006F0B22">
        <w:tc>
          <w:tcPr>
            <w:tcW w:w="1130" w:type="dxa"/>
          </w:tcPr>
          <w:p w:rsidR="00C92FAD" w:rsidRPr="00B4664D" w:rsidRDefault="00C92FAD" w:rsidP="006F0B22">
            <w:pPr>
              <w:pStyle w:val="AGRTableText"/>
            </w:pPr>
            <w:r>
              <w:t>FW</w:t>
            </w:r>
          </w:p>
        </w:tc>
        <w:tc>
          <w:tcPr>
            <w:tcW w:w="7659" w:type="dxa"/>
          </w:tcPr>
          <w:p w:rsidR="00C92FAD" w:rsidRPr="00B4664D" w:rsidRDefault="00C92FAD" w:rsidP="006F0B22">
            <w:pPr>
              <w:pStyle w:val="AGRTableText"/>
            </w:pPr>
            <w:r>
              <w:t>Fixed Wing</w:t>
            </w:r>
          </w:p>
        </w:tc>
      </w:tr>
      <w:tr w:rsidR="00B4664D" w:rsidRPr="00732782" w:rsidTr="006F0B22">
        <w:tc>
          <w:tcPr>
            <w:tcW w:w="1130" w:type="dxa"/>
          </w:tcPr>
          <w:p w:rsidR="00B4664D" w:rsidRPr="00B4664D" w:rsidRDefault="00B4664D" w:rsidP="006F0B22">
            <w:pPr>
              <w:pStyle w:val="AGRTableText"/>
            </w:pPr>
            <w:r w:rsidRPr="00B4664D">
              <w:t>GST</w:t>
            </w:r>
          </w:p>
        </w:tc>
        <w:tc>
          <w:tcPr>
            <w:tcW w:w="7659" w:type="dxa"/>
          </w:tcPr>
          <w:p w:rsidR="00B4664D" w:rsidRPr="00B4664D" w:rsidRDefault="00B4664D" w:rsidP="006F0B22">
            <w:pPr>
              <w:pStyle w:val="AGRTableText"/>
            </w:pPr>
            <w:r w:rsidRPr="00B4664D">
              <w:t>Goods and Services Tax</w:t>
            </w:r>
          </w:p>
        </w:tc>
      </w:tr>
      <w:tr w:rsidR="00061C8B" w:rsidRPr="00B4664D" w:rsidTr="00B4664D">
        <w:tc>
          <w:tcPr>
            <w:tcW w:w="1130" w:type="dxa"/>
          </w:tcPr>
          <w:p w:rsidR="00061C8B" w:rsidRDefault="00061C8B" w:rsidP="00B4664D">
            <w:pPr>
              <w:pStyle w:val="AGRTableText"/>
            </w:pPr>
            <w:r>
              <w:t>HECS</w:t>
            </w:r>
          </w:p>
        </w:tc>
        <w:tc>
          <w:tcPr>
            <w:tcW w:w="7659" w:type="dxa"/>
          </w:tcPr>
          <w:p w:rsidR="00061C8B" w:rsidRPr="00B4664D" w:rsidRDefault="00030C09" w:rsidP="00B4664D">
            <w:pPr>
              <w:pStyle w:val="AGRTableText"/>
            </w:pPr>
            <w:r>
              <w:t>Higher Education Contribution Scheme</w:t>
            </w:r>
          </w:p>
        </w:tc>
      </w:tr>
      <w:tr w:rsidR="007D44F0" w:rsidRPr="00B4664D" w:rsidTr="00B4664D">
        <w:tc>
          <w:tcPr>
            <w:tcW w:w="1130" w:type="dxa"/>
          </w:tcPr>
          <w:p w:rsidR="007D44F0" w:rsidRDefault="007D44F0" w:rsidP="00B4664D">
            <w:pPr>
              <w:pStyle w:val="AGRTableText"/>
            </w:pPr>
            <w:r>
              <w:t>IT</w:t>
            </w:r>
          </w:p>
        </w:tc>
        <w:tc>
          <w:tcPr>
            <w:tcW w:w="7659" w:type="dxa"/>
          </w:tcPr>
          <w:p w:rsidR="007D44F0" w:rsidRPr="00190059" w:rsidRDefault="007D44F0" w:rsidP="00B4664D">
            <w:pPr>
              <w:pStyle w:val="AGRTableText"/>
            </w:pPr>
            <w:r>
              <w:t>Information Technology</w:t>
            </w:r>
          </w:p>
        </w:tc>
      </w:tr>
      <w:tr w:rsidR="00061C8B" w:rsidRPr="00B4664D" w:rsidTr="00B4664D">
        <w:tc>
          <w:tcPr>
            <w:tcW w:w="1130" w:type="dxa"/>
          </w:tcPr>
          <w:p w:rsidR="00061C8B" w:rsidRDefault="00061C8B" w:rsidP="00B4664D">
            <w:pPr>
              <w:pStyle w:val="AGRTableText"/>
            </w:pPr>
            <w:r>
              <w:t>NACOG</w:t>
            </w:r>
          </w:p>
        </w:tc>
        <w:tc>
          <w:tcPr>
            <w:tcW w:w="7659" w:type="dxa"/>
          </w:tcPr>
          <w:p w:rsidR="00061C8B" w:rsidRPr="00B4664D" w:rsidRDefault="00030C09" w:rsidP="00B4664D">
            <w:pPr>
              <w:pStyle w:val="AGRTableText"/>
            </w:pPr>
            <w:r w:rsidRPr="00190059">
              <w:t>North Australian Centre for Oil and Gas</w:t>
            </w:r>
          </w:p>
        </w:tc>
      </w:tr>
      <w:tr w:rsidR="00061C8B" w:rsidRPr="00B4664D" w:rsidTr="00B4664D">
        <w:tc>
          <w:tcPr>
            <w:tcW w:w="1130" w:type="dxa"/>
          </w:tcPr>
          <w:p w:rsidR="00061C8B" w:rsidRPr="00B4664D" w:rsidRDefault="00061C8B" w:rsidP="00B4664D">
            <w:pPr>
              <w:pStyle w:val="AGRTableText"/>
            </w:pPr>
            <w:r>
              <w:t>NTAGO</w:t>
            </w:r>
          </w:p>
        </w:tc>
        <w:tc>
          <w:tcPr>
            <w:tcW w:w="7659" w:type="dxa"/>
          </w:tcPr>
          <w:p w:rsidR="00061C8B" w:rsidRPr="00B4664D" w:rsidRDefault="00030C09" w:rsidP="00B4664D">
            <w:pPr>
              <w:pStyle w:val="AGRTableText"/>
            </w:pPr>
            <w:r w:rsidRPr="00030C09">
              <w:t>Northern Territory Auditor-Generals Office</w:t>
            </w:r>
          </w:p>
        </w:tc>
      </w:tr>
      <w:tr w:rsidR="00B4664D" w:rsidRPr="00B4664D" w:rsidTr="00B4664D">
        <w:tc>
          <w:tcPr>
            <w:tcW w:w="1130" w:type="dxa"/>
          </w:tcPr>
          <w:p w:rsidR="00B4664D" w:rsidRPr="00B4664D" w:rsidRDefault="00B4664D" w:rsidP="00B4664D">
            <w:pPr>
              <w:pStyle w:val="AGRTableText"/>
            </w:pPr>
            <w:r w:rsidRPr="00B4664D">
              <w:t>NTAMS</w:t>
            </w:r>
          </w:p>
        </w:tc>
        <w:tc>
          <w:tcPr>
            <w:tcW w:w="7659" w:type="dxa"/>
          </w:tcPr>
          <w:p w:rsidR="00B4664D" w:rsidRPr="00B4664D" w:rsidRDefault="00B4664D" w:rsidP="00B4664D">
            <w:pPr>
              <w:pStyle w:val="AGRTableText"/>
            </w:pPr>
            <w:r w:rsidRPr="00B4664D">
              <w:t>Northern Territory Aero Medical Service</w:t>
            </w:r>
          </w:p>
        </w:tc>
      </w:tr>
      <w:tr w:rsidR="00061C8B" w:rsidRPr="00B4664D" w:rsidTr="00B4664D">
        <w:tc>
          <w:tcPr>
            <w:tcW w:w="1130" w:type="dxa"/>
          </w:tcPr>
          <w:p w:rsidR="00061C8B" w:rsidRPr="00B4664D" w:rsidRDefault="00061C8B" w:rsidP="00B4664D">
            <w:pPr>
              <w:pStyle w:val="AGRTableText"/>
            </w:pPr>
            <w:r>
              <w:t>PCIS</w:t>
            </w:r>
          </w:p>
        </w:tc>
        <w:tc>
          <w:tcPr>
            <w:tcW w:w="7659" w:type="dxa"/>
          </w:tcPr>
          <w:p w:rsidR="00061C8B" w:rsidRPr="00B4664D" w:rsidRDefault="00030C09" w:rsidP="00B4664D">
            <w:pPr>
              <w:pStyle w:val="AGRTableText"/>
            </w:pPr>
            <w:r>
              <w:t>Primary Care Information System</w:t>
            </w:r>
          </w:p>
        </w:tc>
      </w:tr>
      <w:tr w:rsidR="00061C8B" w:rsidRPr="00B4664D" w:rsidTr="00B4664D">
        <w:tc>
          <w:tcPr>
            <w:tcW w:w="1130" w:type="dxa"/>
          </w:tcPr>
          <w:p w:rsidR="00061C8B" w:rsidRPr="00B4664D" w:rsidRDefault="00061C8B" w:rsidP="00B4664D">
            <w:pPr>
              <w:pStyle w:val="AGRTableText"/>
            </w:pPr>
            <w:r>
              <w:t>RDH</w:t>
            </w:r>
          </w:p>
        </w:tc>
        <w:tc>
          <w:tcPr>
            <w:tcW w:w="7659" w:type="dxa"/>
          </w:tcPr>
          <w:p w:rsidR="00061C8B" w:rsidRPr="00B4664D" w:rsidRDefault="00030C09" w:rsidP="00B4664D">
            <w:pPr>
              <w:pStyle w:val="AGRTableText"/>
            </w:pPr>
            <w:r w:rsidRPr="00877389">
              <w:t>Royal Darwin Hospital</w:t>
            </w:r>
          </w:p>
        </w:tc>
      </w:tr>
      <w:tr w:rsidR="00B4664D" w:rsidRPr="00B4664D" w:rsidTr="00B4664D">
        <w:tc>
          <w:tcPr>
            <w:tcW w:w="1130" w:type="dxa"/>
          </w:tcPr>
          <w:p w:rsidR="00B4664D" w:rsidRPr="00B4664D" w:rsidRDefault="00B4664D" w:rsidP="00B4664D">
            <w:pPr>
              <w:pStyle w:val="AGRTableText"/>
            </w:pPr>
            <w:r w:rsidRPr="00B4664D">
              <w:t>RMS</w:t>
            </w:r>
          </w:p>
        </w:tc>
        <w:tc>
          <w:tcPr>
            <w:tcW w:w="7659" w:type="dxa"/>
          </w:tcPr>
          <w:p w:rsidR="00B4664D" w:rsidRPr="00B4664D" w:rsidRDefault="00B4664D" w:rsidP="00B4664D">
            <w:pPr>
              <w:pStyle w:val="AGRTableText"/>
            </w:pPr>
            <w:r w:rsidRPr="00B4664D">
              <w:t>Risk Management Services</w:t>
            </w:r>
          </w:p>
        </w:tc>
      </w:tr>
      <w:tr w:rsidR="00C92FAD" w:rsidTr="00B4664D">
        <w:tc>
          <w:tcPr>
            <w:tcW w:w="1130" w:type="dxa"/>
          </w:tcPr>
          <w:p w:rsidR="00C92FAD" w:rsidRPr="00B4664D" w:rsidRDefault="00C92FAD" w:rsidP="00B4664D">
            <w:pPr>
              <w:pStyle w:val="AGRTableText"/>
            </w:pPr>
            <w:r>
              <w:t>RW</w:t>
            </w:r>
          </w:p>
        </w:tc>
        <w:tc>
          <w:tcPr>
            <w:tcW w:w="7659" w:type="dxa"/>
          </w:tcPr>
          <w:p w:rsidR="00C92FAD" w:rsidRPr="00B4664D" w:rsidRDefault="00C92FAD" w:rsidP="00B4664D">
            <w:pPr>
              <w:pStyle w:val="AGRTableText"/>
            </w:pPr>
            <w:r>
              <w:t>Rotary Wing</w:t>
            </w:r>
          </w:p>
        </w:tc>
      </w:tr>
      <w:tr w:rsidR="00B4664D" w:rsidTr="00B4664D">
        <w:tc>
          <w:tcPr>
            <w:tcW w:w="1130" w:type="dxa"/>
          </w:tcPr>
          <w:p w:rsidR="00B4664D" w:rsidRPr="00B4664D" w:rsidRDefault="00B4664D" w:rsidP="00B4664D">
            <w:pPr>
              <w:pStyle w:val="AGRTableText"/>
            </w:pPr>
            <w:r w:rsidRPr="00B4664D">
              <w:t>TEMRS</w:t>
            </w:r>
          </w:p>
        </w:tc>
        <w:tc>
          <w:tcPr>
            <w:tcW w:w="7659" w:type="dxa"/>
          </w:tcPr>
          <w:p w:rsidR="00B4664D" w:rsidRPr="00B4664D" w:rsidRDefault="00B4664D" w:rsidP="00B4664D">
            <w:pPr>
              <w:pStyle w:val="AGRTableText"/>
            </w:pPr>
            <w:r w:rsidRPr="00B4664D">
              <w:t>Top End Medical Retrieval Service</w:t>
            </w:r>
          </w:p>
        </w:tc>
      </w:tr>
      <w:tr w:rsidR="00061C8B" w:rsidRPr="00732782" w:rsidTr="00E324F4">
        <w:tc>
          <w:tcPr>
            <w:tcW w:w="1130" w:type="dxa"/>
          </w:tcPr>
          <w:p w:rsidR="00061C8B" w:rsidRPr="007E491E" w:rsidRDefault="00061C8B" w:rsidP="00E324F4">
            <w:pPr>
              <w:pStyle w:val="AGRTableText"/>
            </w:pPr>
            <w:r>
              <w:t>VET</w:t>
            </w:r>
          </w:p>
        </w:tc>
        <w:tc>
          <w:tcPr>
            <w:tcW w:w="7659" w:type="dxa"/>
          </w:tcPr>
          <w:p w:rsidR="00061C8B" w:rsidRPr="007E491E" w:rsidRDefault="00030C09" w:rsidP="00030C09">
            <w:pPr>
              <w:pStyle w:val="AGRTableText"/>
            </w:pPr>
            <w:r>
              <w:t>V</w:t>
            </w:r>
            <w:r w:rsidRPr="00732782">
              <w:t xml:space="preserve">ocational </w:t>
            </w:r>
            <w:r>
              <w:t>E</w:t>
            </w:r>
            <w:r w:rsidRPr="00732782">
              <w:t xml:space="preserve">ducation and </w:t>
            </w:r>
            <w:r>
              <w:t>T</w:t>
            </w:r>
            <w:r w:rsidRPr="00732782">
              <w:t>raining</w:t>
            </w:r>
          </w:p>
        </w:tc>
      </w:tr>
      <w:tr w:rsidR="00B3138B" w:rsidRPr="00732782" w:rsidTr="00E324F4">
        <w:tc>
          <w:tcPr>
            <w:tcW w:w="1130" w:type="dxa"/>
          </w:tcPr>
          <w:p w:rsidR="00B3138B" w:rsidRPr="007E491E" w:rsidRDefault="00B3138B" w:rsidP="00E324F4">
            <w:pPr>
              <w:pStyle w:val="AGRTableText"/>
            </w:pPr>
            <w:r w:rsidRPr="007E491E">
              <w:t>WIMS</w:t>
            </w:r>
          </w:p>
        </w:tc>
        <w:tc>
          <w:tcPr>
            <w:tcW w:w="7659" w:type="dxa"/>
          </w:tcPr>
          <w:p w:rsidR="00B3138B" w:rsidRPr="007E491E" w:rsidRDefault="007E491E" w:rsidP="007E491E">
            <w:pPr>
              <w:pStyle w:val="AGRTableText"/>
            </w:pPr>
            <w:r w:rsidRPr="007E491E">
              <w:t>Work Information Management System</w:t>
            </w:r>
          </w:p>
        </w:tc>
      </w:tr>
    </w:tbl>
    <w:p w:rsidR="00E55BF0" w:rsidRPr="00F77ED6" w:rsidRDefault="00E55BF0" w:rsidP="00E55BF0">
      <w:pPr>
        <w:pStyle w:val="AGRBodyText"/>
      </w:pPr>
      <w:r>
        <w:br w:type="page"/>
      </w:r>
    </w:p>
    <w:p w:rsidR="00E55BF0" w:rsidRPr="00732782" w:rsidRDefault="00E55BF0" w:rsidP="00E55BF0">
      <w:pPr>
        <w:pStyle w:val="AGRBodyText"/>
      </w:pPr>
      <w:r>
        <w:rPr>
          <w:noProof/>
          <w:lang w:val="en-AU" w:eastAsia="en-AU"/>
        </w:rPr>
        <mc:AlternateContent>
          <mc:Choice Requires="wps">
            <w:drawing>
              <wp:anchor distT="0" distB="0" distL="114300" distR="114300" simplePos="0" relativeHeight="251681792" behindDoc="0" locked="0" layoutInCell="1" allowOverlap="1" wp14:anchorId="2E3E4B8B" wp14:editId="26E4D489">
                <wp:simplePos x="0" y="0"/>
                <wp:positionH relativeFrom="page">
                  <wp:align>center</wp:align>
                </wp:positionH>
                <wp:positionV relativeFrom="page">
                  <wp:align>center</wp:align>
                </wp:positionV>
                <wp:extent cx="1837055" cy="292735"/>
                <wp:effectExtent l="0" t="0" r="0" b="381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2927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E4C2C" w:rsidRDefault="009E4C2C" w:rsidP="00E55BF0">
                            <w:pPr>
                              <w:pStyle w:val="AGRTableText"/>
                            </w:pPr>
                            <w:r>
                              <w:t>This page deliberately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0;margin-top:0;width:144.65pt;height:23.05pt;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" stroked="f" strokeweight="1pt">
                <v:textbox inset="0,0,0,0">
                  <w:txbxContent>
                    <w:p w:rsidR="009E4C2C" w:rsidRDefault="009E4C2C" w:rsidP="00E55BF0">
                      <w:pPr>
                        <w:pStyle w:val="AGRTableText"/>
                      </w:pPr>
                      <w:r>
                        <w:t>This page deliberately left blank.</w:t>
                      </w:r>
                    </w:p>
                  </w:txbxContent>
                </v:textbox>
                <w10:wrap anchorx="page" anchory="page"/>
              </v:rect>
            </w:pict>
          </mc:Fallback>
        </mc:AlternateContent>
      </w:r>
    </w:p>
    <w:p w:rsidR="004A036F" w:rsidRPr="00732782" w:rsidRDefault="00FC49B7" w:rsidP="0083183F">
      <w:pPr>
        <w:pStyle w:val="AGRHeading1"/>
      </w:pPr>
      <w:bookmarkStart w:id="73" w:name="Index_of_matters_reported"/>
      <w:r>
        <w:t>Index of M</w:t>
      </w:r>
      <w:r w:rsidR="004A036F" w:rsidRPr="00732782">
        <w:t xml:space="preserve">atters </w:t>
      </w:r>
      <w:r>
        <w:t>R</w:t>
      </w:r>
      <w:r w:rsidR="004A036F" w:rsidRPr="00732782">
        <w:t>eported</w:t>
      </w:r>
      <w:bookmarkEnd w:id="73"/>
    </w:p>
    <w:tbl>
      <w:tblPr>
        <w:tblW w:w="8806" w:type="dxa"/>
        <w:tblLayout w:type="fixed"/>
        <w:tblLook w:val="01E0" w:firstRow="1" w:lastRow="1" w:firstColumn="1" w:lastColumn="1" w:noHBand="0" w:noVBand="0"/>
      </w:tblPr>
      <w:tblGrid>
        <w:gridCol w:w="7817"/>
        <w:gridCol w:w="989"/>
      </w:tblGrid>
      <w:tr w:rsidR="004A036F" w:rsidRPr="00502FE2" w:rsidTr="00B014B3">
        <w:tc>
          <w:tcPr>
            <w:tcW w:w="7817" w:type="dxa"/>
            <w:vAlign w:val="bottom"/>
          </w:tcPr>
          <w:p w:rsidR="004A036F" w:rsidRPr="00732782" w:rsidRDefault="004A036F" w:rsidP="00B014B3">
            <w:pPr>
              <w:pStyle w:val="AGRTOC"/>
            </w:pPr>
          </w:p>
        </w:tc>
        <w:tc>
          <w:tcPr>
            <w:tcW w:w="989" w:type="dxa"/>
          </w:tcPr>
          <w:p w:rsidR="004A036F" w:rsidRPr="00502FE2" w:rsidRDefault="004A036F" w:rsidP="00B014B3">
            <w:pPr>
              <w:pStyle w:val="AGRTableText"/>
            </w:pPr>
            <w:r w:rsidRPr="00502FE2">
              <w:t>Page</w:t>
            </w:r>
          </w:p>
        </w:tc>
      </w:tr>
      <w:tr w:rsidR="007E10BD" w:rsidRPr="00502FE2" w:rsidTr="00BB1EAA">
        <w:tc>
          <w:tcPr>
            <w:tcW w:w="7817" w:type="dxa"/>
          </w:tcPr>
          <w:p w:rsidR="007E10BD" w:rsidRPr="00502FE2" w:rsidRDefault="007E10BD" w:rsidP="00BB1EAA">
            <w:pPr>
              <w:pStyle w:val="AGRTOC"/>
            </w:pPr>
            <w:r>
              <w:fldChar w:fldCharType="begin"/>
            </w:r>
            <w:r>
              <w:instrText xml:space="preserve"> REF  AAPA \h  \* MERGEFORMAT </w:instrText>
            </w:r>
            <w:r>
              <w:fldChar w:fldCharType="separate"/>
            </w:r>
            <w:r w:rsidR="00B53DC5" w:rsidRPr="00A31F90">
              <w:t>Aboriginal Areas Protection Authority</w:t>
            </w:r>
            <w:r>
              <w:fldChar w:fldCharType="end"/>
            </w:r>
            <w:r w:rsidRPr="00502FE2">
              <w:t xml:space="preserve"> </w:t>
            </w:r>
          </w:p>
        </w:tc>
        <w:tc>
          <w:tcPr>
            <w:tcW w:w="989" w:type="dxa"/>
            <w:vAlign w:val="bottom"/>
          </w:tcPr>
          <w:p w:rsidR="007E10BD" w:rsidRPr="00502FE2" w:rsidRDefault="007E10BD" w:rsidP="00BB1EAA">
            <w:pPr>
              <w:pStyle w:val="AGRTOCNumbers-notbold"/>
              <w:tabs>
                <w:tab w:val="clear" w:pos="643"/>
                <w:tab w:val="decimal" w:pos="432"/>
              </w:tabs>
            </w:pPr>
          </w:p>
        </w:tc>
      </w:tr>
      <w:tr w:rsidR="007E10BD" w:rsidRPr="00502FE2" w:rsidTr="00BB1EAA">
        <w:tc>
          <w:tcPr>
            <w:tcW w:w="7817" w:type="dxa"/>
            <w:tcBorders>
              <w:top w:val="nil"/>
              <w:left w:val="nil"/>
              <w:bottom w:val="nil"/>
              <w:right w:val="nil"/>
            </w:tcBorders>
          </w:tcPr>
          <w:p w:rsidR="007E10BD" w:rsidRPr="00502FE2" w:rsidRDefault="007E10BD"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7E10BD" w:rsidRPr="00502FE2" w:rsidRDefault="007E10BD"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BB20D6" w:rsidRPr="00502FE2" w:rsidTr="005C71C1">
        <w:tc>
          <w:tcPr>
            <w:tcW w:w="7817" w:type="dxa"/>
          </w:tcPr>
          <w:p w:rsidR="00BB20D6" w:rsidRPr="00502FE2" w:rsidRDefault="00694433" w:rsidP="00BB20D6">
            <w:pPr>
              <w:pStyle w:val="AGRTOC"/>
            </w:pPr>
            <w:r w:rsidRPr="00502FE2">
              <w:fldChar w:fldCharType="begin"/>
            </w:r>
            <w:r w:rsidR="004B7FC7" w:rsidRPr="00502FE2">
              <w:instrText xml:space="preserve"> REF batchelor \h  \* MERGEFORMAT </w:instrText>
            </w:r>
            <w:r w:rsidRPr="00502FE2">
              <w:fldChar w:fldCharType="separate"/>
            </w:r>
            <w:proofErr w:type="spellStart"/>
            <w:r w:rsidR="00B53DC5" w:rsidRPr="00732782">
              <w:t>Batchelor</w:t>
            </w:r>
            <w:proofErr w:type="spellEnd"/>
            <w:r w:rsidR="00B53DC5" w:rsidRPr="00732782">
              <w:t xml:space="preserve"> Institute of Indigenous Tertiary Education</w:t>
            </w:r>
            <w:r w:rsidRPr="00502FE2">
              <w:fldChar w:fldCharType="end"/>
            </w:r>
            <w:r w:rsidR="00BB20D6" w:rsidRPr="00502FE2">
              <w:t xml:space="preserve"> </w:t>
            </w:r>
          </w:p>
        </w:tc>
        <w:tc>
          <w:tcPr>
            <w:tcW w:w="989" w:type="dxa"/>
            <w:vAlign w:val="bottom"/>
          </w:tcPr>
          <w:p w:rsidR="00BB20D6" w:rsidRPr="00502FE2" w:rsidRDefault="00BB20D6" w:rsidP="005C71C1">
            <w:pPr>
              <w:pStyle w:val="AGRTOCNumbers-notbold"/>
              <w:tabs>
                <w:tab w:val="clear" w:pos="643"/>
                <w:tab w:val="decimal" w:pos="432"/>
              </w:tabs>
            </w:pPr>
          </w:p>
        </w:tc>
      </w:tr>
      <w:tr w:rsidR="005C71C1" w:rsidRPr="00502FE2" w:rsidTr="005C71C1">
        <w:tc>
          <w:tcPr>
            <w:tcW w:w="7817" w:type="dxa"/>
            <w:tcBorders>
              <w:top w:val="nil"/>
              <w:left w:val="nil"/>
              <w:bottom w:val="nil"/>
              <w:right w:val="nil"/>
            </w:tcBorders>
          </w:tcPr>
          <w:p w:rsidR="005C71C1" w:rsidRPr="00502FE2" w:rsidRDefault="00D8075A" w:rsidP="002F4F0B">
            <w:pPr>
              <w:pStyle w:val="AGRBodyText"/>
            </w:pPr>
            <w:r>
              <w:fldChar w:fldCharType="begin"/>
            </w:r>
            <w:r>
              <w:instrText xml:space="preserve"> REF  batchelor_audit_title \h  \* MERGEFORMAT </w:instrText>
            </w:r>
            <w:r>
              <w:fldChar w:fldCharType="separate"/>
            </w:r>
            <w:r w:rsidR="00B53DC5" w:rsidRPr="00732782">
              <w:t xml:space="preserve">Audit findings and </w:t>
            </w:r>
            <w:r w:rsidR="00B53DC5">
              <w:t>a</w:t>
            </w:r>
            <w:r w:rsidR="00B53DC5" w:rsidRPr="00732782">
              <w:t xml:space="preserve">nalysis of the financial statements for the year ended </w:t>
            </w:r>
            <w:r w:rsidR="00B53DC5">
              <w:t>31 December 2012</w:t>
            </w:r>
            <w:r>
              <w:fldChar w:fldCharType="end"/>
            </w:r>
          </w:p>
        </w:tc>
        <w:tc>
          <w:tcPr>
            <w:tcW w:w="989" w:type="dxa"/>
            <w:tcBorders>
              <w:top w:val="nil"/>
              <w:left w:val="nil"/>
              <w:bottom w:val="nil"/>
              <w:right w:val="nil"/>
            </w:tcBorders>
            <w:vAlign w:val="bottom"/>
          </w:tcPr>
          <w:p w:rsidR="005C71C1" w:rsidRPr="00502FE2" w:rsidRDefault="00694433" w:rsidP="005C71C1">
            <w:pPr>
              <w:pStyle w:val="AGRTOCNumbers-notbold"/>
              <w:tabs>
                <w:tab w:val="clear" w:pos="643"/>
                <w:tab w:val="decimal" w:pos="432"/>
              </w:tabs>
            </w:pPr>
            <w:r w:rsidRPr="00502FE2">
              <w:fldChar w:fldCharType="begin"/>
            </w:r>
            <w:r w:rsidR="005C71C1" w:rsidRPr="00502FE2">
              <w:instrText xml:space="preserve"> PAGEREF batchelor \h </w:instrText>
            </w:r>
            <w:r w:rsidRPr="00502FE2">
              <w:fldChar w:fldCharType="separate"/>
            </w:r>
            <w:r w:rsidR="00B53DC5">
              <w:rPr>
                <w:noProof/>
              </w:rPr>
              <w:t>11</w:t>
            </w:r>
            <w:r w:rsidRPr="00502FE2">
              <w:fldChar w:fldCharType="end"/>
            </w:r>
          </w:p>
        </w:tc>
      </w:tr>
      <w:tr w:rsidR="005C71C1" w:rsidRPr="00502FE2" w:rsidTr="005C71C1">
        <w:tc>
          <w:tcPr>
            <w:tcW w:w="7817" w:type="dxa"/>
            <w:tcBorders>
              <w:top w:val="nil"/>
              <w:left w:val="nil"/>
              <w:bottom w:val="nil"/>
              <w:right w:val="nil"/>
            </w:tcBorders>
          </w:tcPr>
          <w:p w:rsidR="005C71C1" w:rsidRPr="00502FE2" w:rsidRDefault="00036669" w:rsidP="00BB20D6">
            <w:pPr>
              <w:pStyle w:val="AGRTOC"/>
            </w:pPr>
            <w:r w:rsidRPr="00502FE2">
              <w:fldChar w:fldCharType="begin"/>
            </w:r>
            <w:r w:rsidRPr="00502FE2">
              <w:instrText xml:space="preserve"> REF cdu \h  \* MERGEFORMAT </w:instrText>
            </w:r>
            <w:r w:rsidRPr="00502FE2">
              <w:fldChar w:fldCharType="separate"/>
            </w:r>
            <w:r w:rsidR="00B53DC5" w:rsidRPr="00732782">
              <w:t>Charles Darwin University</w:t>
            </w:r>
            <w:r w:rsidRPr="00502FE2">
              <w:fldChar w:fldCharType="end"/>
            </w:r>
          </w:p>
        </w:tc>
        <w:tc>
          <w:tcPr>
            <w:tcW w:w="989" w:type="dxa"/>
            <w:tcBorders>
              <w:top w:val="nil"/>
              <w:left w:val="nil"/>
              <w:bottom w:val="nil"/>
              <w:right w:val="nil"/>
            </w:tcBorders>
            <w:vAlign w:val="bottom"/>
          </w:tcPr>
          <w:p w:rsidR="005C71C1" w:rsidRPr="00502FE2" w:rsidRDefault="005C71C1" w:rsidP="005C71C1">
            <w:pPr>
              <w:pStyle w:val="AGRTOCNumbers-notbold"/>
              <w:tabs>
                <w:tab w:val="clear" w:pos="643"/>
                <w:tab w:val="decimal" w:pos="432"/>
              </w:tabs>
            </w:pPr>
          </w:p>
        </w:tc>
      </w:tr>
      <w:tr w:rsidR="005C71C1" w:rsidRPr="00502FE2" w:rsidTr="005C71C1">
        <w:tc>
          <w:tcPr>
            <w:tcW w:w="7817" w:type="dxa"/>
            <w:tcBorders>
              <w:top w:val="nil"/>
              <w:left w:val="nil"/>
              <w:bottom w:val="nil"/>
              <w:right w:val="nil"/>
            </w:tcBorders>
          </w:tcPr>
          <w:p w:rsidR="005C71C1" w:rsidRPr="00502FE2" w:rsidRDefault="00D8075A" w:rsidP="002F4F0B">
            <w:pPr>
              <w:pStyle w:val="AGRBodyText"/>
            </w:pPr>
            <w:r>
              <w:fldChar w:fldCharType="begin"/>
            </w:r>
            <w:r>
              <w:instrText xml:space="preserve"> REF  cdu_audit_title \h  \* MERGEFORMAT </w:instrText>
            </w:r>
            <w:r>
              <w:fldChar w:fldCharType="separate"/>
            </w:r>
            <w:r w:rsidR="00B53DC5" w:rsidRPr="00732782">
              <w:t xml:space="preserve">Audit findings and </w:t>
            </w:r>
            <w:r w:rsidR="00B53DC5">
              <w:t>a</w:t>
            </w:r>
            <w:r w:rsidR="00B53DC5" w:rsidRPr="00732782">
              <w:t xml:space="preserve">nalysis of the financial statements for the year ended </w:t>
            </w:r>
            <w:r w:rsidR="00B53DC5">
              <w:t>31 December 2012</w:t>
            </w:r>
            <w:r>
              <w:fldChar w:fldCharType="end"/>
            </w:r>
          </w:p>
        </w:tc>
        <w:tc>
          <w:tcPr>
            <w:tcW w:w="989" w:type="dxa"/>
            <w:tcBorders>
              <w:top w:val="nil"/>
              <w:left w:val="nil"/>
              <w:bottom w:val="nil"/>
              <w:right w:val="nil"/>
            </w:tcBorders>
            <w:vAlign w:val="bottom"/>
          </w:tcPr>
          <w:p w:rsidR="005C71C1" w:rsidRPr="00502FE2" w:rsidRDefault="00694433" w:rsidP="005C71C1">
            <w:pPr>
              <w:pStyle w:val="AGRTOCNumbers-notbold"/>
              <w:tabs>
                <w:tab w:val="clear" w:pos="643"/>
                <w:tab w:val="decimal" w:pos="432"/>
              </w:tabs>
            </w:pPr>
            <w:r w:rsidRPr="00502FE2">
              <w:fldChar w:fldCharType="begin"/>
            </w:r>
            <w:r w:rsidR="005C71C1" w:rsidRPr="00502FE2">
              <w:instrText xml:space="preserve"> PAGEREF cdu \h </w:instrText>
            </w:r>
            <w:r w:rsidRPr="00502FE2">
              <w:fldChar w:fldCharType="separate"/>
            </w:r>
            <w:r w:rsidR="00B53DC5">
              <w:rPr>
                <w:noProof/>
              </w:rPr>
              <w:t>14</w:t>
            </w:r>
            <w:r w:rsidRPr="00502FE2">
              <w:fldChar w:fldCharType="end"/>
            </w:r>
          </w:p>
        </w:tc>
      </w:tr>
      <w:tr w:rsidR="005C71C1" w:rsidRPr="00502FE2" w:rsidTr="005C71C1">
        <w:tc>
          <w:tcPr>
            <w:tcW w:w="7817" w:type="dxa"/>
            <w:tcBorders>
              <w:top w:val="nil"/>
              <w:left w:val="nil"/>
              <w:bottom w:val="nil"/>
              <w:right w:val="nil"/>
            </w:tcBorders>
          </w:tcPr>
          <w:p w:rsidR="005C71C1" w:rsidRPr="00502FE2" w:rsidRDefault="00036669" w:rsidP="00BB20D6">
            <w:pPr>
              <w:pStyle w:val="AGRTOC"/>
            </w:pPr>
            <w:r w:rsidRPr="00502FE2">
              <w:fldChar w:fldCharType="begin"/>
            </w:r>
            <w:r w:rsidRPr="00502FE2">
              <w:instrText xml:space="preserve"> REF cdu_foundation \h  \* MERGEFORMAT </w:instrText>
            </w:r>
            <w:r w:rsidRPr="00502FE2">
              <w:fldChar w:fldCharType="separate"/>
            </w:r>
            <w:r w:rsidR="00B53DC5" w:rsidRPr="00732782">
              <w:t>Charles Darwin University Foundation</w:t>
            </w:r>
            <w:r w:rsidRPr="00502FE2">
              <w:fldChar w:fldCharType="end"/>
            </w:r>
          </w:p>
        </w:tc>
        <w:tc>
          <w:tcPr>
            <w:tcW w:w="989" w:type="dxa"/>
            <w:tcBorders>
              <w:top w:val="nil"/>
              <w:left w:val="nil"/>
              <w:bottom w:val="nil"/>
              <w:right w:val="nil"/>
            </w:tcBorders>
            <w:vAlign w:val="bottom"/>
          </w:tcPr>
          <w:p w:rsidR="005C71C1" w:rsidRPr="00502FE2" w:rsidRDefault="005C71C1" w:rsidP="005C71C1">
            <w:pPr>
              <w:pStyle w:val="AGRTOCNumbers-notbold"/>
              <w:tabs>
                <w:tab w:val="clear" w:pos="643"/>
                <w:tab w:val="decimal" w:pos="432"/>
              </w:tabs>
            </w:pPr>
          </w:p>
        </w:tc>
      </w:tr>
      <w:tr w:rsidR="005C71C1" w:rsidRPr="00502FE2" w:rsidTr="005C71C1">
        <w:tc>
          <w:tcPr>
            <w:tcW w:w="7817" w:type="dxa"/>
          </w:tcPr>
          <w:p w:rsidR="005C71C1" w:rsidRPr="00502FE2" w:rsidRDefault="00D8075A" w:rsidP="002F4F0B">
            <w:pPr>
              <w:pStyle w:val="AGRBodyText"/>
            </w:pPr>
            <w:r>
              <w:fldChar w:fldCharType="begin"/>
            </w:r>
            <w:r>
              <w:instrText xml:space="preserve"> REF  cdu_foundation_audit_title \h  \* MERGEFORMAT </w:instrText>
            </w:r>
            <w:r>
              <w:fldChar w:fldCharType="separate"/>
            </w:r>
            <w:r w:rsidR="00B53DC5" w:rsidRPr="00732782">
              <w:t xml:space="preserve">Audit findings and </w:t>
            </w:r>
            <w:r w:rsidR="00B53DC5">
              <w:t>a</w:t>
            </w:r>
            <w:r w:rsidR="00B53DC5" w:rsidRPr="00732782">
              <w:t xml:space="preserve">nalysis of the financial statements for the year ended </w:t>
            </w:r>
            <w:r w:rsidR="00B53DC5">
              <w:t>31 December 2012</w:t>
            </w:r>
            <w:r>
              <w:fldChar w:fldCharType="end"/>
            </w:r>
          </w:p>
        </w:tc>
        <w:tc>
          <w:tcPr>
            <w:tcW w:w="989" w:type="dxa"/>
            <w:vAlign w:val="bottom"/>
          </w:tcPr>
          <w:p w:rsidR="005C71C1" w:rsidRPr="00502FE2" w:rsidRDefault="00694433" w:rsidP="005C71C1">
            <w:pPr>
              <w:pStyle w:val="AGRTOCNumbers-notbold"/>
              <w:tabs>
                <w:tab w:val="clear" w:pos="643"/>
                <w:tab w:val="decimal" w:pos="432"/>
              </w:tabs>
            </w:pPr>
            <w:r w:rsidRPr="00502FE2">
              <w:fldChar w:fldCharType="begin"/>
            </w:r>
            <w:r w:rsidR="005C71C1" w:rsidRPr="00502FE2">
              <w:instrText xml:space="preserve"> PAGEREF cdu_foundation \h </w:instrText>
            </w:r>
            <w:r w:rsidRPr="00502FE2">
              <w:fldChar w:fldCharType="separate"/>
            </w:r>
            <w:r w:rsidR="00B53DC5">
              <w:rPr>
                <w:noProof/>
              </w:rPr>
              <w:t>17</w:t>
            </w:r>
            <w:r w:rsidRPr="00502FE2">
              <w:fldChar w:fldCharType="end"/>
            </w:r>
          </w:p>
        </w:tc>
      </w:tr>
      <w:tr w:rsidR="007E10BD" w:rsidRPr="00502FE2" w:rsidTr="00BB1EAA">
        <w:tc>
          <w:tcPr>
            <w:tcW w:w="7817" w:type="dxa"/>
            <w:tcBorders>
              <w:top w:val="nil"/>
              <w:left w:val="nil"/>
              <w:bottom w:val="nil"/>
              <w:right w:val="nil"/>
            </w:tcBorders>
          </w:tcPr>
          <w:p w:rsidR="007E10BD" w:rsidRPr="00502FE2" w:rsidRDefault="007E10BD" w:rsidP="00BB1EAA">
            <w:pPr>
              <w:pStyle w:val="AGRTOC"/>
            </w:pPr>
            <w:r>
              <w:fldChar w:fldCharType="begin"/>
            </w:r>
            <w:r>
              <w:instrText xml:space="preserve"> REF  Arts_Museums \h  \* MERGEFORMAT </w:instrText>
            </w:r>
            <w:r>
              <w:fldChar w:fldCharType="separate"/>
            </w:r>
            <w:r w:rsidR="00B53DC5" w:rsidRPr="00A31F90">
              <w:t>Department of Arts and Museums</w:t>
            </w:r>
            <w:r>
              <w:fldChar w:fldCharType="end"/>
            </w:r>
          </w:p>
        </w:tc>
        <w:tc>
          <w:tcPr>
            <w:tcW w:w="989" w:type="dxa"/>
            <w:tcBorders>
              <w:top w:val="nil"/>
              <w:left w:val="nil"/>
              <w:bottom w:val="nil"/>
              <w:right w:val="nil"/>
            </w:tcBorders>
            <w:vAlign w:val="bottom"/>
          </w:tcPr>
          <w:p w:rsidR="007E10BD" w:rsidRPr="00502FE2" w:rsidRDefault="007E10BD" w:rsidP="00BB1EAA">
            <w:pPr>
              <w:pStyle w:val="AGRTOCNumbers-notbold"/>
              <w:tabs>
                <w:tab w:val="clear" w:pos="643"/>
                <w:tab w:val="decimal" w:pos="432"/>
              </w:tabs>
            </w:pPr>
          </w:p>
        </w:tc>
      </w:tr>
      <w:tr w:rsidR="007E10BD" w:rsidRPr="00502FE2" w:rsidTr="00BB1EAA">
        <w:tc>
          <w:tcPr>
            <w:tcW w:w="7817" w:type="dxa"/>
            <w:tcBorders>
              <w:top w:val="nil"/>
              <w:left w:val="nil"/>
              <w:bottom w:val="nil"/>
              <w:right w:val="nil"/>
            </w:tcBorders>
          </w:tcPr>
          <w:p w:rsidR="007E10BD" w:rsidRPr="00502FE2" w:rsidRDefault="007E10BD"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7E10BD" w:rsidRPr="00502FE2" w:rsidRDefault="007E10BD"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CA1A42" w:rsidRPr="00502FE2" w:rsidTr="00BB1EAA">
        <w:tc>
          <w:tcPr>
            <w:tcW w:w="7817" w:type="dxa"/>
            <w:tcBorders>
              <w:top w:val="nil"/>
              <w:left w:val="nil"/>
              <w:bottom w:val="nil"/>
              <w:right w:val="nil"/>
            </w:tcBorders>
          </w:tcPr>
          <w:p w:rsidR="00CA1A42" w:rsidRPr="00502FE2" w:rsidRDefault="00CA1A42" w:rsidP="00BB1EAA">
            <w:pPr>
              <w:pStyle w:val="AGRTOC"/>
            </w:pPr>
            <w:r>
              <w:fldChar w:fldCharType="begin"/>
            </w:r>
            <w:r>
              <w:instrText xml:space="preserve"> REF  Business \h  \* MERGEFORMAT </w:instrText>
            </w:r>
            <w:r>
              <w:fldChar w:fldCharType="separate"/>
            </w:r>
            <w:r w:rsidR="00B53DC5" w:rsidRPr="00A31F90">
              <w:t>Department of Business</w:t>
            </w:r>
            <w:r>
              <w:fldChar w:fldCharType="end"/>
            </w:r>
          </w:p>
        </w:tc>
        <w:tc>
          <w:tcPr>
            <w:tcW w:w="989" w:type="dxa"/>
            <w:tcBorders>
              <w:top w:val="nil"/>
              <w:left w:val="nil"/>
              <w:bottom w:val="nil"/>
              <w:right w:val="nil"/>
            </w:tcBorders>
            <w:vAlign w:val="bottom"/>
          </w:tcPr>
          <w:p w:rsidR="00CA1A42" w:rsidRPr="00502FE2" w:rsidRDefault="00CA1A42" w:rsidP="00BB1EAA">
            <w:pPr>
              <w:pStyle w:val="AGRTOCNumbers-notbold"/>
              <w:tabs>
                <w:tab w:val="clear" w:pos="643"/>
                <w:tab w:val="decimal" w:pos="432"/>
              </w:tabs>
            </w:pPr>
          </w:p>
        </w:tc>
      </w:tr>
      <w:tr w:rsidR="00CA1A42" w:rsidRPr="00502FE2" w:rsidTr="00BB1EAA">
        <w:tc>
          <w:tcPr>
            <w:tcW w:w="7817" w:type="dxa"/>
            <w:tcBorders>
              <w:top w:val="nil"/>
              <w:left w:val="nil"/>
              <w:bottom w:val="nil"/>
              <w:right w:val="nil"/>
            </w:tcBorders>
          </w:tcPr>
          <w:p w:rsidR="00CA1A42" w:rsidRPr="00502FE2" w:rsidRDefault="00CA1A42"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CA1A42" w:rsidRPr="00502FE2" w:rsidRDefault="00CA1A42"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D8075A" w:rsidRPr="00502FE2" w:rsidTr="00BB1EAA">
        <w:tc>
          <w:tcPr>
            <w:tcW w:w="7817" w:type="dxa"/>
            <w:tcBorders>
              <w:top w:val="nil"/>
              <w:left w:val="nil"/>
              <w:bottom w:val="nil"/>
              <w:right w:val="nil"/>
            </w:tcBorders>
          </w:tcPr>
          <w:p w:rsidR="00D8075A" w:rsidRPr="00502FE2" w:rsidRDefault="00D8075A" w:rsidP="00BB1EAA">
            <w:pPr>
              <w:pStyle w:val="AGRTOC"/>
            </w:pPr>
            <w:r>
              <w:fldChar w:fldCharType="begin"/>
            </w:r>
            <w:r>
              <w:instrText xml:space="preserve"> REF  DCIS \h  \* MERGEFORMAT </w:instrText>
            </w:r>
            <w:r>
              <w:fldChar w:fldCharType="separate"/>
            </w:r>
            <w:r w:rsidR="00B53DC5">
              <w:t>Department of Corporate and Information Systems</w:t>
            </w:r>
            <w:r>
              <w:fldChar w:fldCharType="end"/>
            </w:r>
          </w:p>
        </w:tc>
        <w:tc>
          <w:tcPr>
            <w:tcW w:w="989" w:type="dxa"/>
            <w:tcBorders>
              <w:top w:val="nil"/>
              <w:left w:val="nil"/>
              <w:bottom w:val="nil"/>
              <w:right w:val="nil"/>
            </w:tcBorders>
            <w:vAlign w:val="bottom"/>
          </w:tcPr>
          <w:p w:rsidR="00D8075A" w:rsidRPr="00502FE2" w:rsidRDefault="00D8075A" w:rsidP="00BB1EAA">
            <w:pPr>
              <w:pStyle w:val="AGRTOCNumbers-notbold"/>
              <w:tabs>
                <w:tab w:val="clear" w:pos="643"/>
                <w:tab w:val="decimal" w:pos="432"/>
              </w:tabs>
            </w:pPr>
          </w:p>
        </w:tc>
      </w:tr>
      <w:tr w:rsidR="00D8075A" w:rsidRPr="00502FE2" w:rsidTr="00BB1EAA">
        <w:tc>
          <w:tcPr>
            <w:tcW w:w="7817" w:type="dxa"/>
          </w:tcPr>
          <w:p w:rsidR="00D8075A" w:rsidRPr="00502FE2" w:rsidRDefault="00D8075A" w:rsidP="00BB1EAA">
            <w:pPr>
              <w:pStyle w:val="AGRBodyText"/>
            </w:pPr>
            <w:r>
              <w:fldChar w:fldCharType="begin"/>
            </w:r>
            <w:r>
              <w:instrText xml:space="preserve"> REF  electronic_funds_transfer_system \h  \* MERGEFORMAT </w:instrText>
            </w:r>
            <w:r>
              <w:fldChar w:fldCharType="separate"/>
            </w:r>
            <w:r w:rsidR="00B53DC5">
              <w:t>Electronic Funds Transfer System</w:t>
            </w:r>
            <w:r>
              <w:fldChar w:fldCharType="end"/>
            </w:r>
          </w:p>
        </w:tc>
        <w:tc>
          <w:tcPr>
            <w:tcW w:w="989" w:type="dxa"/>
            <w:vAlign w:val="bottom"/>
          </w:tcPr>
          <w:p w:rsidR="00D8075A" w:rsidRPr="00502FE2" w:rsidRDefault="00D8075A" w:rsidP="00BB1EAA">
            <w:pPr>
              <w:pStyle w:val="AGRTOCNumbers-notbold"/>
              <w:tabs>
                <w:tab w:val="clear" w:pos="643"/>
                <w:tab w:val="decimal" w:pos="432"/>
              </w:tabs>
            </w:pPr>
            <w:r>
              <w:fldChar w:fldCharType="begin"/>
            </w:r>
            <w:r>
              <w:instrText xml:space="preserve"> PAGEREF  DCIS \h </w:instrText>
            </w:r>
            <w:r>
              <w:fldChar w:fldCharType="separate"/>
            </w:r>
            <w:r w:rsidR="00B53DC5">
              <w:rPr>
                <w:noProof/>
              </w:rPr>
              <w:t>20</w:t>
            </w:r>
            <w:r>
              <w:fldChar w:fldCharType="end"/>
            </w:r>
          </w:p>
        </w:tc>
      </w:tr>
      <w:tr w:rsidR="00CA1A42" w:rsidRPr="00502FE2" w:rsidTr="00BB1EAA">
        <w:tc>
          <w:tcPr>
            <w:tcW w:w="7817" w:type="dxa"/>
            <w:tcBorders>
              <w:top w:val="nil"/>
              <w:left w:val="nil"/>
              <w:bottom w:val="nil"/>
              <w:right w:val="nil"/>
            </w:tcBorders>
          </w:tcPr>
          <w:p w:rsidR="00CA1A42" w:rsidRPr="00502FE2" w:rsidRDefault="00CA1A42" w:rsidP="00BB1EAA">
            <w:pPr>
              <w:pStyle w:val="AGRTOC"/>
            </w:pPr>
            <w:r>
              <w:fldChar w:fldCharType="begin"/>
            </w:r>
            <w:r>
              <w:instrText xml:space="preserve"> REF  Education_and_children \h  \* MERGEFORMAT </w:instrText>
            </w:r>
            <w:r>
              <w:fldChar w:fldCharType="separate"/>
            </w:r>
            <w:r w:rsidR="00B53DC5" w:rsidRPr="00A31F90">
              <w:t>Department of Education and Children’s Services</w:t>
            </w:r>
            <w:r>
              <w:fldChar w:fldCharType="end"/>
            </w:r>
          </w:p>
        </w:tc>
        <w:tc>
          <w:tcPr>
            <w:tcW w:w="989" w:type="dxa"/>
            <w:tcBorders>
              <w:top w:val="nil"/>
              <w:left w:val="nil"/>
              <w:bottom w:val="nil"/>
              <w:right w:val="nil"/>
            </w:tcBorders>
            <w:vAlign w:val="bottom"/>
          </w:tcPr>
          <w:p w:rsidR="00CA1A42" w:rsidRPr="00502FE2" w:rsidRDefault="00CA1A42" w:rsidP="00BB1EAA">
            <w:pPr>
              <w:pStyle w:val="AGRTOCNumbers-notbold"/>
              <w:tabs>
                <w:tab w:val="clear" w:pos="643"/>
                <w:tab w:val="decimal" w:pos="432"/>
              </w:tabs>
            </w:pPr>
          </w:p>
        </w:tc>
      </w:tr>
      <w:tr w:rsidR="00CA1A42" w:rsidRPr="00502FE2" w:rsidTr="00BB1EAA">
        <w:tc>
          <w:tcPr>
            <w:tcW w:w="7817" w:type="dxa"/>
            <w:tcBorders>
              <w:top w:val="nil"/>
              <w:left w:val="nil"/>
              <w:bottom w:val="nil"/>
              <w:right w:val="nil"/>
            </w:tcBorders>
          </w:tcPr>
          <w:p w:rsidR="00CA1A42" w:rsidRPr="00502FE2" w:rsidRDefault="00CA1A42"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CA1A42" w:rsidRPr="00502FE2" w:rsidRDefault="00CA1A42"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D8075A" w:rsidRPr="00502FE2" w:rsidTr="00BB1EAA">
        <w:tc>
          <w:tcPr>
            <w:tcW w:w="7817" w:type="dxa"/>
            <w:tcBorders>
              <w:top w:val="nil"/>
              <w:left w:val="nil"/>
              <w:bottom w:val="nil"/>
              <w:right w:val="nil"/>
            </w:tcBorders>
          </w:tcPr>
          <w:p w:rsidR="00D8075A" w:rsidRPr="00502FE2" w:rsidRDefault="00D8075A" w:rsidP="00BB1EAA">
            <w:pPr>
              <w:pStyle w:val="AGRTOC"/>
            </w:pPr>
            <w:r>
              <w:fldChar w:fldCharType="begin"/>
            </w:r>
            <w:r>
              <w:instrText xml:space="preserve"> REF  health \h  \* MERGEFORMAT </w:instrText>
            </w:r>
            <w:r>
              <w:fldChar w:fldCharType="separate"/>
            </w:r>
            <w:r w:rsidR="00B53DC5">
              <w:t>Department of Health</w:t>
            </w:r>
            <w:r>
              <w:fldChar w:fldCharType="end"/>
            </w:r>
          </w:p>
        </w:tc>
        <w:tc>
          <w:tcPr>
            <w:tcW w:w="989" w:type="dxa"/>
            <w:tcBorders>
              <w:top w:val="nil"/>
              <w:left w:val="nil"/>
              <w:bottom w:val="nil"/>
              <w:right w:val="nil"/>
            </w:tcBorders>
            <w:vAlign w:val="bottom"/>
          </w:tcPr>
          <w:p w:rsidR="00D8075A" w:rsidRPr="00502FE2" w:rsidRDefault="00D8075A" w:rsidP="00BB1EAA">
            <w:pPr>
              <w:pStyle w:val="AGRTOCNumbers-notbold"/>
              <w:tabs>
                <w:tab w:val="clear" w:pos="643"/>
                <w:tab w:val="decimal" w:pos="432"/>
              </w:tabs>
            </w:pPr>
          </w:p>
        </w:tc>
      </w:tr>
      <w:tr w:rsidR="003C6A3E" w:rsidRPr="00502FE2" w:rsidTr="00BB1EAA">
        <w:tc>
          <w:tcPr>
            <w:tcW w:w="7817" w:type="dxa"/>
            <w:tcBorders>
              <w:top w:val="nil"/>
              <w:left w:val="nil"/>
              <w:bottom w:val="nil"/>
              <w:right w:val="nil"/>
            </w:tcBorders>
          </w:tcPr>
          <w:p w:rsidR="003C6A3E" w:rsidRPr="00502FE2" w:rsidRDefault="003C6A3E"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3C6A3E" w:rsidRPr="00502FE2" w:rsidRDefault="003C6A3E"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D8075A" w:rsidRPr="00502FE2" w:rsidTr="00BB1EAA">
        <w:tc>
          <w:tcPr>
            <w:tcW w:w="7817" w:type="dxa"/>
          </w:tcPr>
          <w:p w:rsidR="00D8075A" w:rsidRPr="00502FE2" w:rsidRDefault="00D8075A" w:rsidP="00BB1EAA">
            <w:pPr>
              <w:pStyle w:val="AGRBodyText"/>
            </w:pPr>
            <w:r>
              <w:fldChar w:fldCharType="begin"/>
            </w:r>
            <w:r>
              <w:instrText xml:space="preserve"> REF  health_aero_med_audit_title \h  \* MERGEFORMAT </w:instrText>
            </w:r>
            <w:r>
              <w:fldChar w:fldCharType="separate"/>
            </w:r>
            <w:r w:rsidR="00B53DC5">
              <w:t>Aero Medical Services Contract</w:t>
            </w:r>
            <w:r>
              <w:fldChar w:fldCharType="end"/>
            </w:r>
          </w:p>
        </w:tc>
        <w:tc>
          <w:tcPr>
            <w:tcW w:w="989" w:type="dxa"/>
            <w:vAlign w:val="bottom"/>
          </w:tcPr>
          <w:p w:rsidR="00D8075A" w:rsidRPr="00502FE2" w:rsidRDefault="00D8075A" w:rsidP="00BB1EAA">
            <w:pPr>
              <w:pStyle w:val="AGRTOCNumbers-notbold"/>
              <w:tabs>
                <w:tab w:val="clear" w:pos="643"/>
                <w:tab w:val="decimal" w:pos="432"/>
              </w:tabs>
            </w:pPr>
            <w:r>
              <w:fldChar w:fldCharType="begin"/>
            </w:r>
            <w:r>
              <w:instrText xml:space="preserve"> PAGEREF  health_aero_med_audit_title \h </w:instrText>
            </w:r>
            <w:r>
              <w:fldChar w:fldCharType="separate"/>
            </w:r>
            <w:r w:rsidR="00B53DC5">
              <w:rPr>
                <w:noProof/>
              </w:rPr>
              <w:t>23</w:t>
            </w:r>
            <w:r>
              <w:fldChar w:fldCharType="end"/>
            </w:r>
          </w:p>
        </w:tc>
      </w:tr>
      <w:tr w:rsidR="00D8075A" w:rsidRPr="00502FE2" w:rsidTr="00BB1EAA">
        <w:tc>
          <w:tcPr>
            <w:tcW w:w="7817" w:type="dxa"/>
          </w:tcPr>
          <w:p w:rsidR="00D8075A" w:rsidRPr="00502FE2" w:rsidRDefault="00D8075A" w:rsidP="00BB1EAA">
            <w:pPr>
              <w:pStyle w:val="AGRBodyText"/>
            </w:pPr>
            <w:r>
              <w:fldChar w:fldCharType="begin"/>
            </w:r>
            <w:r>
              <w:instrText xml:space="preserve"> REF  health_primary_care_audit_title \h  \* MERGEFORMAT </w:instrText>
            </w:r>
            <w:r>
              <w:fldChar w:fldCharType="separate"/>
            </w:r>
            <w:r w:rsidR="00B53DC5">
              <w:t>Primary Care Information System</w:t>
            </w:r>
            <w:r>
              <w:fldChar w:fldCharType="end"/>
            </w:r>
          </w:p>
        </w:tc>
        <w:tc>
          <w:tcPr>
            <w:tcW w:w="989" w:type="dxa"/>
            <w:vAlign w:val="bottom"/>
          </w:tcPr>
          <w:p w:rsidR="00D8075A" w:rsidRPr="00502FE2" w:rsidRDefault="00D8075A" w:rsidP="00BB1EAA">
            <w:pPr>
              <w:pStyle w:val="AGRTOCNumbers-notbold"/>
              <w:tabs>
                <w:tab w:val="clear" w:pos="643"/>
                <w:tab w:val="decimal" w:pos="432"/>
              </w:tabs>
            </w:pPr>
            <w:r>
              <w:fldChar w:fldCharType="begin"/>
            </w:r>
            <w:r>
              <w:instrText xml:space="preserve"> PAGEREF  health_primary_care_audit_title \h </w:instrText>
            </w:r>
            <w:r>
              <w:fldChar w:fldCharType="separate"/>
            </w:r>
            <w:r w:rsidR="00B53DC5">
              <w:rPr>
                <w:noProof/>
              </w:rPr>
              <w:t>38</w:t>
            </w:r>
            <w:r>
              <w:fldChar w:fldCharType="end"/>
            </w:r>
          </w:p>
        </w:tc>
      </w:tr>
      <w:tr w:rsidR="00D709BD" w:rsidRPr="00502FE2" w:rsidTr="00BB1EAA">
        <w:tc>
          <w:tcPr>
            <w:tcW w:w="7817" w:type="dxa"/>
            <w:tcBorders>
              <w:top w:val="nil"/>
              <w:left w:val="nil"/>
              <w:bottom w:val="nil"/>
              <w:right w:val="nil"/>
            </w:tcBorders>
          </w:tcPr>
          <w:p w:rsidR="00D709BD" w:rsidRPr="00502FE2" w:rsidRDefault="00D709BD" w:rsidP="00BB1EAA">
            <w:pPr>
              <w:pStyle w:val="AGRTOC"/>
            </w:pPr>
            <w:r>
              <w:fldChar w:fldCharType="begin"/>
            </w:r>
            <w:r>
              <w:instrText xml:space="preserve"> REF  Housing \h  \* MERGEFORMAT </w:instrText>
            </w:r>
            <w:r>
              <w:fldChar w:fldCharType="separate"/>
            </w:r>
            <w:r w:rsidR="00B53DC5" w:rsidRPr="00A31F90">
              <w:t>Department of Housing</w:t>
            </w:r>
            <w:r>
              <w:fldChar w:fldCharType="end"/>
            </w:r>
          </w:p>
        </w:tc>
        <w:tc>
          <w:tcPr>
            <w:tcW w:w="989" w:type="dxa"/>
            <w:tcBorders>
              <w:top w:val="nil"/>
              <w:left w:val="nil"/>
              <w:bottom w:val="nil"/>
              <w:right w:val="nil"/>
            </w:tcBorders>
            <w:vAlign w:val="bottom"/>
          </w:tcPr>
          <w:p w:rsidR="00D709BD" w:rsidRPr="00502FE2" w:rsidRDefault="00D709BD" w:rsidP="00BB1EAA">
            <w:pPr>
              <w:pStyle w:val="AGRTOCNumbers-notbold"/>
              <w:tabs>
                <w:tab w:val="clear" w:pos="643"/>
                <w:tab w:val="decimal" w:pos="432"/>
              </w:tabs>
            </w:pPr>
          </w:p>
        </w:tc>
      </w:tr>
      <w:tr w:rsidR="00D709BD" w:rsidRPr="00502FE2" w:rsidTr="00BB1EAA">
        <w:tc>
          <w:tcPr>
            <w:tcW w:w="7817" w:type="dxa"/>
            <w:tcBorders>
              <w:top w:val="nil"/>
              <w:left w:val="nil"/>
              <w:bottom w:val="nil"/>
              <w:right w:val="nil"/>
            </w:tcBorders>
          </w:tcPr>
          <w:p w:rsidR="00D709BD" w:rsidRPr="00502FE2" w:rsidRDefault="00D709BD"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D709BD" w:rsidRPr="00502FE2" w:rsidRDefault="00D709BD"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A47C99" w:rsidRPr="00502FE2" w:rsidTr="00BB1EAA">
        <w:tc>
          <w:tcPr>
            <w:tcW w:w="7817" w:type="dxa"/>
            <w:tcBorders>
              <w:top w:val="nil"/>
              <w:left w:val="nil"/>
              <w:bottom w:val="nil"/>
              <w:right w:val="nil"/>
            </w:tcBorders>
          </w:tcPr>
          <w:p w:rsidR="00A47C99" w:rsidRPr="00502FE2" w:rsidRDefault="00A47C99" w:rsidP="00BB1EAA">
            <w:pPr>
              <w:pStyle w:val="AGRTOC"/>
            </w:pPr>
            <w:r>
              <w:fldChar w:fldCharType="begin"/>
            </w:r>
            <w:r>
              <w:instrText xml:space="preserve"> REF  Infrastructure \h  \* MERGEFORMAT </w:instrText>
            </w:r>
            <w:r>
              <w:fldChar w:fldCharType="separate"/>
            </w:r>
            <w:r w:rsidR="00B53DC5" w:rsidRPr="00A31F90">
              <w:t>Department of Infrastructure</w:t>
            </w:r>
            <w:r>
              <w:fldChar w:fldCharType="end"/>
            </w:r>
          </w:p>
        </w:tc>
        <w:tc>
          <w:tcPr>
            <w:tcW w:w="989" w:type="dxa"/>
            <w:tcBorders>
              <w:top w:val="nil"/>
              <w:left w:val="nil"/>
              <w:bottom w:val="nil"/>
              <w:right w:val="nil"/>
            </w:tcBorders>
            <w:vAlign w:val="bottom"/>
          </w:tcPr>
          <w:p w:rsidR="00A47C99" w:rsidRPr="00502FE2" w:rsidRDefault="00A47C99" w:rsidP="00BB1EAA">
            <w:pPr>
              <w:pStyle w:val="AGRTOCNumbers-notbold"/>
              <w:tabs>
                <w:tab w:val="clear" w:pos="643"/>
                <w:tab w:val="decimal" w:pos="432"/>
              </w:tabs>
            </w:pPr>
          </w:p>
        </w:tc>
      </w:tr>
      <w:tr w:rsidR="00A47C99" w:rsidRPr="00502FE2" w:rsidTr="00BB1EAA">
        <w:tc>
          <w:tcPr>
            <w:tcW w:w="7817" w:type="dxa"/>
            <w:tcBorders>
              <w:top w:val="nil"/>
              <w:left w:val="nil"/>
              <w:bottom w:val="nil"/>
              <w:right w:val="nil"/>
            </w:tcBorders>
          </w:tcPr>
          <w:p w:rsidR="00A47C99" w:rsidRPr="00502FE2" w:rsidRDefault="00A47C99"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A47C99" w:rsidRPr="00502FE2" w:rsidRDefault="00A47C99"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BC087D" w:rsidRPr="00502FE2" w:rsidTr="00BB1EAA">
        <w:tc>
          <w:tcPr>
            <w:tcW w:w="7817" w:type="dxa"/>
            <w:tcBorders>
              <w:top w:val="nil"/>
              <w:left w:val="nil"/>
              <w:bottom w:val="nil"/>
              <w:right w:val="nil"/>
            </w:tcBorders>
          </w:tcPr>
          <w:p w:rsidR="001C773D" w:rsidRPr="00502FE2" w:rsidRDefault="001C773D" w:rsidP="001C773D">
            <w:pPr>
              <w:pStyle w:val="AGRHeading1"/>
            </w:pPr>
            <w:r w:rsidRPr="00502FE2">
              <w:t>Index of Matters Reported cont…</w:t>
            </w:r>
          </w:p>
          <w:p w:rsidR="00BC087D" w:rsidRPr="00502FE2" w:rsidRDefault="00BC087D" w:rsidP="00BB1EAA">
            <w:pPr>
              <w:pStyle w:val="AGRTOC"/>
            </w:pPr>
            <w:r>
              <w:fldChar w:fldCharType="begin"/>
            </w:r>
            <w:r>
              <w:instrText xml:space="preserve"> REF  Local_Government \h  \* MERGEFORMAT </w:instrText>
            </w:r>
            <w:r>
              <w:fldChar w:fldCharType="separate"/>
            </w:r>
            <w:r w:rsidR="00B53DC5" w:rsidRPr="00A31F90">
              <w:t>Department of Local Government</w:t>
            </w:r>
            <w:r>
              <w:fldChar w:fldCharType="end"/>
            </w:r>
          </w:p>
        </w:tc>
        <w:tc>
          <w:tcPr>
            <w:tcW w:w="989" w:type="dxa"/>
            <w:tcBorders>
              <w:top w:val="nil"/>
              <w:left w:val="nil"/>
              <w:bottom w:val="nil"/>
              <w:right w:val="nil"/>
            </w:tcBorders>
            <w:vAlign w:val="bottom"/>
          </w:tcPr>
          <w:p w:rsidR="00BC087D" w:rsidRPr="00502FE2" w:rsidRDefault="00BC087D" w:rsidP="00BB1EAA">
            <w:pPr>
              <w:pStyle w:val="AGRTOCNumbers-notbold"/>
              <w:tabs>
                <w:tab w:val="clear" w:pos="643"/>
                <w:tab w:val="decimal" w:pos="432"/>
              </w:tabs>
            </w:pPr>
          </w:p>
        </w:tc>
      </w:tr>
      <w:tr w:rsidR="00BC087D" w:rsidRPr="00502FE2" w:rsidTr="00BB1EAA">
        <w:tc>
          <w:tcPr>
            <w:tcW w:w="7817" w:type="dxa"/>
            <w:tcBorders>
              <w:top w:val="nil"/>
              <w:left w:val="nil"/>
              <w:bottom w:val="nil"/>
              <w:right w:val="nil"/>
            </w:tcBorders>
          </w:tcPr>
          <w:p w:rsidR="00BC087D" w:rsidRPr="00502FE2" w:rsidRDefault="00BC087D"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BC087D" w:rsidRPr="00502FE2" w:rsidRDefault="00BC087D"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546EB8" w:rsidRPr="00502FE2" w:rsidTr="00BB1EAA">
        <w:tc>
          <w:tcPr>
            <w:tcW w:w="7817" w:type="dxa"/>
            <w:tcBorders>
              <w:top w:val="nil"/>
              <w:left w:val="nil"/>
              <w:bottom w:val="nil"/>
              <w:right w:val="nil"/>
            </w:tcBorders>
          </w:tcPr>
          <w:p w:rsidR="00546EB8" w:rsidRPr="00502FE2" w:rsidRDefault="00546EB8" w:rsidP="00BB1EAA">
            <w:pPr>
              <w:pStyle w:val="AGRTOC"/>
            </w:pPr>
            <w:r>
              <w:fldChar w:fldCharType="begin"/>
            </w:r>
            <w:r>
              <w:instrText xml:space="preserve"> REF  Regional_Development_and_Womens \h  \* MERGEFORMAT </w:instrText>
            </w:r>
            <w:r>
              <w:fldChar w:fldCharType="separate"/>
            </w:r>
            <w:r w:rsidR="00B53DC5" w:rsidRPr="00A31F90">
              <w:t>Department of Regional Development and Women’s Policy</w:t>
            </w:r>
            <w:r>
              <w:fldChar w:fldCharType="end"/>
            </w:r>
          </w:p>
        </w:tc>
        <w:tc>
          <w:tcPr>
            <w:tcW w:w="989" w:type="dxa"/>
            <w:tcBorders>
              <w:top w:val="nil"/>
              <w:left w:val="nil"/>
              <w:bottom w:val="nil"/>
              <w:right w:val="nil"/>
            </w:tcBorders>
            <w:vAlign w:val="bottom"/>
          </w:tcPr>
          <w:p w:rsidR="00546EB8" w:rsidRPr="00502FE2" w:rsidRDefault="00546EB8" w:rsidP="00BB1EAA">
            <w:pPr>
              <w:pStyle w:val="AGRTOCNumbers-notbold"/>
              <w:tabs>
                <w:tab w:val="clear" w:pos="643"/>
                <w:tab w:val="decimal" w:pos="432"/>
              </w:tabs>
            </w:pPr>
          </w:p>
        </w:tc>
      </w:tr>
      <w:tr w:rsidR="00546EB8" w:rsidRPr="00502FE2" w:rsidTr="00BB1EAA">
        <w:tc>
          <w:tcPr>
            <w:tcW w:w="7817" w:type="dxa"/>
            <w:tcBorders>
              <w:top w:val="nil"/>
              <w:left w:val="nil"/>
              <w:bottom w:val="nil"/>
              <w:right w:val="nil"/>
            </w:tcBorders>
          </w:tcPr>
          <w:p w:rsidR="00546EB8" w:rsidRPr="00502FE2" w:rsidRDefault="00546EB8"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546EB8" w:rsidRPr="00502FE2" w:rsidRDefault="00546EB8"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546EB8" w:rsidRPr="00502FE2" w:rsidTr="00BB1EAA">
        <w:tc>
          <w:tcPr>
            <w:tcW w:w="7817" w:type="dxa"/>
            <w:tcBorders>
              <w:top w:val="nil"/>
              <w:left w:val="nil"/>
              <w:bottom w:val="nil"/>
              <w:right w:val="nil"/>
            </w:tcBorders>
          </w:tcPr>
          <w:p w:rsidR="00546EB8" w:rsidRPr="00502FE2" w:rsidRDefault="00546EB8" w:rsidP="00BB1EAA">
            <w:pPr>
              <w:pStyle w:val="AGRTOC"/>
            </w:pPr>
            <w:r>
              <w:fldChar w:fldCharType="begin"/>
            </w:r>
            <w:r>
              <w:instrText xml:space="preserve"> REF  Attorney_General_and_Justice \h  \* MERGEFORMAT </w:instrText>
            </w:r>
            <w:r>
              <w:fldChar w:fldCharType="separate"/>
            </w:r>
            <w:r w:rsidR="00B53DC5" w:rsidRPr="00A31F90">
              <w:t>Department of the Attorney-General and Justice</w:t>
            </w:r>
            <w:r>
              <w:fldChar w:fldCharType="end"/>
            </w:r>
          </w:p>
        </w:tc>
        <w:tc>
          <w:tcPr>
            <w:tcW w:w="989" w:type="dxa"/>
            <w:tcBorders>
              <w:top w:val="nil"/>
              <w:left w:val="nil"/>
              <w:bottom w:val="nil"/>
              <w:right w:val="nil"/>
            </w:tcBorders>
            <w:vAlign w:val="bottom"/>
          </w:tcPr>
          <w:p w:rsidR="00546EB8" w:rsidRPr="00502FE2" w:rsidRDefault="00546EB8" w:rsidP="00BB1EAA">
            <w:pPr>
              <w:pStyle w:val="AGRTOCNumbers-notbold"/>
              <w:tabs>
                <w:tab w:val="clear" w:pos="643"/>
                <w:tab w:val="decimal" w:pos="432"/>
              </w:tabs>
            </w:pPr>
          </w:p>
        </w:tc>
      </w:tr>
      <w:tr w:rsidR="00546EB8" w:rsidRPr="00502FE2" w:rsidTr="00BB1EAA">
        <w:tc>
          <w:tcPr>
            <w:tcW w:w="7817" w:type="dxa"/>
            <w:tcBorders>
              <w:top w:val="nil"/>
              <w:left w:val="nil"/>
              <w:bottom w:val="nil"/>
              <w:right w:val="nil"/>
            </w:tcBorders>
          </w:tcPr>
          <w:p w:rsidR="00546EB8" w:rsidRPr="00502FE2" w:rsidRDefault="00546EB8"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546EB8" w:rsidRPr="00502FE2" w:rsidRDefault="00546EB8"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546EB8" w:rsidRPr="00502FE2" w:rsidTr="00BB1EAA">
        <w:tc>
          <w:tcPr>
            <w:tcW w:w="7817" w:type="dxa"/>
            <w:tcBorders>
              <w:top w:val="nil"/>
              <w:left w:val="nil"/>
              <w:bottom w:val="nil"/>
              <w:right w:val="nil"/>
            </w:tcBorders>
          </w:tcPr>
          <w:p w:rsidR="00546EB8" w:rsidRPr="00502FE2" w:rsidRDefault="00546EB8" w:rsidP="00BB1EAA">
            <w:pPr>
              <w:pStyle w:val="AGRTOC"/>
            </w:pPr>
            <w:r>
              <w:fldChar w:fldCharType="begin"/>
            </w:r>
            <w:r>
              <w:instrText xml:space="preserve"> REF  Treasury_and_Finance \h  \* MERGEFORMAT </w:instrText>
            </w:r>
            <w:r>
              <w:fldChar w:fldCharType="separate"/>
            </w:r>
            <w:r w:rsidR="00B53DC5" w:rsidRPr="00A31F90">
              <w:t>Department of Treasury and Finance</w:t>
            </w:r>
            <w:r>
              <w:fldChar w:fldCharType="end"/>
            </w:r>
          </w:p>
        </w:tc>
        <w:tc>
          <w:tcPr>
            <w:tcW w:w="989" w:type="dxa"/>
            <w:tcBorders>
              <w:top w:val="nil"/>
              <w:left w:val="nil"/>
              <w:bottom w:val="nil"/>
              <w:right w:val="nil"/>
            </w:tcBorders>
            <w:vAlign w:val="bottom"/>
          </w:tcPr>
          <w:p w:rsidR="00546EB8" w:rsidRPr="00502FE2" w:rsidRDefault="00546EB8" w:rsidP="00BB1EAA">
            <w:pPr>
              <w:pStyle w:val="AGRTOCNumbers-notbold"/>
              <w:tabs>
                <w:tab w:val="clear" w:pos="643"/>
                <w:tab w:val="decimal" w:pos="432"/>
              </w:tabs>
            </w:pPr>
          </w:p>
        </w:tc>
      </w:tr>
      <w:tr w:rsidR="00546EB8" w:rsidRPr="00502FE2" w:rsidTr="00BB1EAA">
        <w:tc>
          <w:tcPr>
            <w:tcW w:w="7817" w:type="dxa"/>
            <w:tcBorders>
              <w:top w:val="nil"/>
              <w:left w:val="nil"/>
              <w:bottom w:val="nil"/>
              <w:right w:val="nil"/>
            </w:tcBorders>
          </w:tcPr>
          <w:p w:rsidR="00546EB8" w:rsidRPr="00502FE2" w:rsidRDefault="00546EB8"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546EB8" w:rsidRPr="00502FE2" w:rsidRDefault="00546EB8"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084F24" w:rsidRPr="00502FE2" w:rsidTr="00BB1EAA">
        <w:tc>
          <w:tcPr>
            <w:tcW w:w="7817" w:type="dxa"/>
            <w:tcBorders>
              <w:top w:val="nil"/>
              <w:left w:val="nil"/>
              <w:bottom w:val="nil"/>
              <w:right w:val="nil"/>
            </w:tcBorders>
          </w:tcPr>
          <w:p w:rsidR="00084F24" w:rsidRPr="00502FE2" w:rsidRDefault="00084F24" w:rsidP="00BB1EAA">
            <w:pPr>
              <w:pStyle w:val="AGRTOC"/>
            </w:pPr>
            <w:r>
              <w:fldChar w:fldCharType="begin"/>
            </w:r>
            <w:r>
              <w:instrText xml:space="preserve"> REF  menzies \h  \* MERGEFORMAT </w:instrText>
            </w:r>
            <w:r>
              <w:fldChar w:fldCharType="separate"/>
            </w:r>
            <w:r w:rsidR="00B53DC5" w:rsidRPr="00732782">
              <w:t>Menzies School of Health Research</w:t>
            </w:r>
            <w:r>
              <w:fldChar w:fldCharType="end"/>
            </w:r>
          </w:p>
        </w:tc>
        <w:tc>
          <w:tcPr>
            <w:tcW w:w="989" w:type="dxa"/>
            <w:tcBorders>
              <w:top w:val="nil"/>
              <w:left w:val="nil"/>
              <w:bottom w:val="nil"/>
              <w:right w:val="nil"/>
            </w:tcBorders>
            <w:vAlign w:val="bottom"/>
          </w:tcPr>
          <w:p w:rsidR="00084F24" w:rsidRPr="00502FE2" w:rsidRDefault="00084F24" w:rsidP="00BB1EAA">
            <w:pPr>
              <w:pStyle w:val="AGRTOCNumbers-notbold"/>
              <w:tabs>
                <w:tab w:val="clear" w:pos="643"/>
                <w:tab w:val="decimal" w:pos="432"/>
              </w:tabs>
            </w:pPr>
          </w:p>
        </w:tc>
      </w:tr>
      <w:tr w:rsidR="00084F24" w:rsidRPr="00502FE2" w:rsidTr="00BB1EAA">
        <w:tc>
          <w:tcPr>
            <w:tcW w:w="7817" w:type="dxa"/>
          </w:tcPr>
          <w:p w:rsidR="00084F24" w:rsidRPr="00502FE2" w:rsidRDefault="00084F24" w:rsidP="00BB1EAA">
            <w:pPr>
              <w:pStyle w:val="AGRBodyText"/>
            </w:pPr>
            <w:r>
              <w:fldChar w:fldCharType="begin"/>
            </w:r>
            <w:r>
              <w:instrText xml:space="preserve"> REF  menzies_audit_title \h  \* MERGEFORMAT </w:instrText>
            </w:r>
            <w:r>
              <w:fldChar w:fldCharType="separate"/>
            </w:r>
            <w:r w:rsidR="00B53DC5">
              <w:t>Audit findings and a</w:t>
            </w:r>
            <w:r w:rsidR="00B53DC5" w:rsidRPr="00732782">
              <w:t xml:space="preserve">nalysis of the financial statements for the year ended </w:t>
            </w:r>
            <w:r w:rsidR="00B53DC5">
              <w:t>31 December 2012</w:t>
            </w:r>
            <w:r>
              <w:fldChar w:fldCharType="end"/>
            </w:r>
          </w:p>
        </w:tc>
        <w:tc>
          <w:tcPr>
            <w:tcW w:w="989" w:type="dxa"/>
            <w:vAlign w:val="bottom"/>
          </w:tcPr>
          <w:p w:rsidR="00084F24" w:rsidRPr="00502FE2" w:rsidRDefault="00084F24" w:rsidP="00BB1EAA">
            <w:pPr>
              <w:pStyle w:val="AGRTOCNumbers-notbold"/>
              <w:tabs>
                <w:tab w:val="clear" w:pos="643"/>
                <w:tab w:val="decimal" w:pos="432"/>
              </w:tabs>
            </w:pPr>
            <w:r>
              <w:fldChar w:fldCharType="begin"/>
            </w:r>
            <w:r>
              <w:instrText xml:space="preserve"> PAGEREF  menzies \h </w:instrText>
            </w:r>
            <w:r>
              <w:fldChar w:fldCharType="separate"/>
            </w:r>
            <w:r w:rsidR="00B53DC5">
              <w:rPr>
                <w:noProof/>
              </w:rPr>
              <w:t>40</w:t>
            </w:r>
            <w:r>
              <w:fldChar w:fldCharType="end"/>
            </w:r>
          </w:p>
        </w:tc>
      </w:tr>
      <w:tr w:rsidR="00084F24" w:rsidRPr="00502FE2" w:rsidTr="00BB1EAA">
        <w:tc>
          <w:tcPr>
            <w:tcW w:w="7817" w:type="dxa"/>
            <w:tcBorders>
              <w:top w:val="nil"/>
              <w:left w:val="nil"/>
              <w:bottom w:val="nil"/>
              <w:right w:val="nil"/>
            </w:tcBorders>
          </w:tcPr>
          <w:p w:rsidR="00084F24" w:rsidRPr="00502FE2" w:rsidRDefault="008A5271" w:rsidP="00BB1EAA">
            <w:pPr>
              <w:pStyle w:val="AGRTOC"/>
            </w:pPr>
            <w:r>
              <w:fldChar w:fldCharType="begin"/>
            </w:r>
            <w:r>
              <w:instrText xml:space="preserve"> REF  NTME \h  \* MERGEFORMAT </w:instrText>
            </w:r>
            <w:r>
              <w:fldChar w:fldCharType="separate"/>
            </w:r>
            <w:r w:rsidR="00B53DC5">
              <w:t>Northern Territory Major Events Company Pty Ltd</w:t>
            </w:r>
            <w:r>
              <w:fldChar w:fldCharType="end"/>
            </w:r>
          </w:p>
        </w:tc>
        <w:tc>
          <w:tcPr>
            <w:tcW w:w="989" w:type="dxa"/>
            <w:tcBorders>
              <w:top w:val="nil"/>
              <w:left w:val="nil"/>
              <w:bottom w:val="nil"/>
              <w:right w:val="nil"/>
            </w:tcBorders>
            <w:vAlign w:val="bottom"/>
          </w:tcPr>
          <w:p w:rsidR="00084F24" w:rsidRPr="00502FE2" w:rsidRDefault="00084F24" w:rsidP="00BB1EAA">
            <w:pPr>
              <w:pStyle w:val="AGRTOCNumbers-notbold"/>
              <w:tabs>
                <w:tab w:val="clear" w:pos="643"/>
                <w:tab w:val="decimal" w:pos="432"/>
              </w:tabs>
            </w:pPr>
          </w:p>
        </w:tc>
      </w:tr>
      <w:tr w:rsidR="00084F24" w:rsidRPr="00502FE2" w:rsidTr="00BB1EAA">
        <w:tc>
          <w:tcPr>
            <w:tcW w:w="7817" w:type="dxa"/>
          </w:tcPr>
          <w:p w:rsidR="00084F24" w:rsidRPr="00502FE2" w:rsidRDefault="008A5271" w:rsidP="00BB1EAA">
            <w:pPr>
              <w:pStyle w:val="AGRBodyText"/>
            </w:pPr>
            <w:r>
              <w:fldChar w:fldCharType="begin"/>
            </w:r>
            <w:r>
              <w:instrText xml:space="preserve"> REF  NTME_audit_title \h  \* MERGEFORMAT </w:instrText>
            </w:r>
            <w:r>
              <w:fldChar w:fldCharType="separate"/>
            </w:r>
            <w:r w:rsidR="00B53DC5">
              <w:t>Audit findings and a</w:t>
            </w:r>
            <w:r w:rsidR="00B53DC5" w:rsidRPr="00732782">
              <w:t xml:space="preserve">nalysis of the financial statements for the year ended </w:t>
            </w:r>
            <w:r w:rsidR="00B53DC5">
              <w:t>30 June 2012</w:t>
            </w:r>
            <w:r>
              <w:fldChar w:fldCharType="end"/>
            </w:r>
          </w:p>
        </w:tc>
        <w:tc>
          <w:tcPr>
            <w:tcW w:w="989" w:type="dxa"/>
            <w:vAlign w:val="bottom"/>
          </w:tcPr>
          <w:p w:rsidR="00084F24" w:rsidRPr="00502FE2" w:rsidRDefault="008A5271" w:rsidP="00BB1EAA">
            <w:pPr>
              <w:pStyle w:val="AGRTOCNumbers-notbold"/>
              <w:tabs>
                <w:tab w:val="clear" w:pos="643"/>
                <w:tab w:val="decimal" w:pos="432"/>
              </w:tabs>
            </w:pPr>
            <w:r>
              <w:fldChar w:fldCharType="begin"/>
            </w:r>
            <w:r>
              <w:instrText xml:space="preserve"> PAGEREF  NTME \h </w:instrText>
            </w:r>
            <w:r>
              <w:fldChar w:fldCharType="separate"/>
            </w:r>
            <w:r w:rsidR="00B53DC5">
              <w:rPr>
                <w:noProof/>
              </w:rPr>
              <w:t>43</w:t>
            </w:r>
            <w:r>
              <w:fldChar w:fldCharType="end"/>
            </w:r>
          </w:p>
        </w:tc>
      </w:tr>
      <w:tr w:rsidR="00546EB8" w:rsidRPr="00502FE2" w:rsidTr="00BB1EAA">
        <w:tc>
          <w:tcPr>
            <w:tcW w:w="7817" w:type="dxa"/>
            <w:tcBorders>
              <w:top w:val="nil"/>
              <w:left w:val="nil"/>
              <w:bottom w:val="nil"/>
              <w:right w:val="nil"/>
            </w:tcBorders>
          </w:tcPr>
          <w:p w:rsidR="00546EB8" w:rsidRPr="00502FE2" w:rsidRDefault="00546EB8" w:rsidP="00BB1EAA">
            <w:pPr>
              <w:pStyle w:val="AGRTOC"/>
            </w:pPr>
            <w:r>
              <w:fldChar w:fldCharType="begin"/>
            </w:r>
            <w:r>
              <w:instrText xml:space="preserve"> REF  Police_Fire_and_Emergency \h  \* MERGEFORMAT </w:instrText>
            </w:r>
            <w:r>
              <w:fldChar w:fldCharType="separate"/>
            </w:r>
            <w:r w:rsidR="00B53DC5" w:rsidRPr="00A31F90">
              <w:t>Northern Territory Police, Fire and Emergency Services</w:t>
            </w:r>
            <w:r>
              <w:fldChar w:fldCharType="end"/>
            </w:r>
          </w:p>
        </w:tc>
        <w:tc>
          <w:tcPr>
            <w:tcW w:w="989" w:type="dxa"/>
            <w:tcBorders>
              <w:top w:val="nil"/>
              <w:left w:val="nil"/>
              <w:bottom w:val="nil"/>
              <w:right w:val="nil"/>
            </w:tcBorders>
            <w:vAlign w:val="bottom"/>
          </w:tcPr>
          <w:p w:rsidR="00546EB8" w:rsidRPr="00502FE2" w:rsidRDefault="00546EB8" w:rsidP="00BB1EAA">
            <w:pPr>
              <w:pStyle w:val="AGRTOCNumbers-notbold"/>
              <w:tabs>
                <w:tab w:val="clear" w:pos="643"/>
                <w:tab w:val="decimal" w:pos="432"/>
              </w:tabs>
            </w:pPr>
          </w:p>
        </w:tc>
      </w:tr>
      <w:tr w:rsidR="00546EB8" w:rsidRPr="00502FE2" w:rsidTr="00BB1EAA">
        <w:tc>
          <w:tcPr>
            <w:tcW w:w="7817" w:type="dxa"/>
            <w:tcBorders>
              <w:top w:val="nil"/>
              <w:left w:val="nil"/>
              <w:bottom w:val="nil"/>
              <w:right w:val="nil"/>
            </w:tcBorders>
          </w:tcPr>
          <w:p w:rsidR="00546EB8" w:rsidRPr="00502FE2" w:rsidRDefault="00546EB8" w:rsidP="00BB1EAA">
            <w:pPr>
              <w:pStyle w:val="AGRBodyText"/>
            </w:pPr>
            <w:r>
              <w:fldChar w:fldCharType="begin"/>
            </w:r>
            <w:r>
              <w:instrText xml:space="preserve"> REF  ACA \h  \* MERGEFORMAT </w:instrText>
            </w:r>
            <w:r>
              <w:fldChar w:fldCharType="separate"/>
            </w:r>
            <w:r w:rsidR="00B53DC5" w:rsidRPr="00732782">
              <w:t>Agency Compliance Audit</w:t>
            </w:r>
            <w:r>
              <w:fldChar w:fldCharType="end"/>
            </w:r>
          </w:p>
        </w:tc>
        <w:tc>
          <w:tcPr>
            <w:tcW w:w="989" w:type="dxa"/>
            <w:tcBorders>
              <w:top w:val="nil"/>
              <w:left w:val="nil"/>
              <w:bottom w:val="nil"/>
              <w:right w:val="nil"/>
            </w:tcBorders>
            <w:vAlign w:val="bottom"/>
          </w:tcPr>
          <w:p w:rsidR="00546EB8" w:rsidRPr="00502FE2" w:rsidRDefault="00546EB8" w:rsidP="00BB1EAA">
            <w:pPr>
              <w:pStyle w:val="AGRTOCNumbers-notbold"/>
              <w:tabs>
                <w:tab w:val="clear" w:pos="643"/>
                <w:tab w:val="decimal" w:pos="432"/>
              </w:tabs>
            </w:pPr>
            <w:r>
              <w:fldChar w:fldCharType="begin"/>
            </w:r>
            <w:r>
              <w:instrText xml:space="preserve"> PAGEREF  ACA \h </w:instrText>
            </w:r>
            <w:r>
              <w:fldChar w:fldCharType="separate"/>
            </w:r>
            <w:r w:rsidR="00B53DC5">
              <w:rPr>
                <w:noProof/>
              </w:rPr>
              <w:t>56</w:t>
            </w:r>
            <w:r>
              <w:fldChar w:fldCharType="end"/>
            </w:r>
          </w:p>
        </w:tc>
      </w:tr>
      <w:tr w:rsidR="003D4870" w:rsidRPr="00502FE2" w:rsidTr="00BB1EAA">
        <w:tc>
          <w:tcPr>
            <w:tcW w:w="7817" w:type="dxa"/>
            <w:tcBorders>
              <w:top w:val="nil"/>
              <w:left w:val="nil"/>
              <w:bottom w:val="nil"/>
              <w:right w:val="nil"/>
            </w:tcBorders>
          </w:tcPr>
          <w:p w:rsidR="003D4870" w:rsidRPr="00502FE2" w:rsidRDefault="003D4870" w:rsidP="00BB1EAA">
            <w:pPr>
              <w:pStyle w:val="AGRTOC"/>
            </w:pPr>
            <w:r>
              <w:fldChar w:fldCharType="begin"/>
            </w:r>
            <w:r>
              <w:instrText xml:space="preserve"> REF  PWC \h  \* MERGEFORMAT </w:instrText>
            </w:r>
            <w:r>
              <w:fldChar w:fldCharType="separate"/>
            </w:r>
            <w:r w:rsidR="00B53DC5" w:rsidRPr="00134C8F">
              <w:t>Power and Water Corporation</w:t>
            </w:r>
            <w:r>
              <w:fldChar w:fldCharType="end"/>
            </w:r>
          </w:p>
        </w:tc>
        <w:tc>
          <w:tcPr>
            <w:tcW w:w="989" w:type="dxa"/>
            <w:tcBorders>
              <w:top w:val="nil"/>
              <w:left w:val="nil"/>
              <w:bottom w:val="nil"/>
              <w:right w:val="nil"/>
            </w:tcBorders>
            <w:vAlign w:val="bottom"/>
          </w:tcPr>
          <w:p w:rsidR="003D4870" w:rsidRPr="00502FE2" w:rsidRDefault="003D4870" w:rsidP="00BB1EAA">
            <w:pPr>
              <w:pStyle w:val="AGRTOCNumbers-notbold"/>
              <w:tabs>
                <w:tab w:val="clear" w:pos="643"/>
                <w:tab w:val="decimal" w:pos="432"/>
              </w:tabs>
            </w:pPr>
          </w:p>
        </w:tc>
      </w:tr>
      <w:tr w:rsidR="003D4870" w:rsidRPr="00502FE2" w:rsidTr="00BB1EAA">
        <w:tc>
          <w:tcPr>
            <w:tcW w:w="7817" w:type="dxa"/>
          </w:tcPr>
          <w:p w:rsidR="003D4870" w:rsidRPr="00502FE2" w:rsidRDefault="003D4870" w:rsidP="00BB1EAA">
            <w:pPr>
              <w:pStyle w:val="AGRBodyText"/>
            </w:pPr>
            <w:r>
              <w:fldChar w:fldCharType="begin"/>
            </w:r>
            <w:r>
              <w:instrText xml:space="preserve"> REF  PWC_asset_mgmt_audit_title \h  \* MERGEFORMAT </w:instrText>
            </w:r>
            <w:r>
              <w:fldChar w:fldCharType="separate"/>
            </w:r>
            <w:r w:rsidR="00B53DC5" w:rsidRPr="00134C8F">
              <w:t>Asset Management System Post Implementation Review</w:t>
            </w:r>
            <w:r>
              <w:fldChar w:fldCharType="end"/>
            </w:r>
          </w:p>
        </w:tc>
        <w:tc>
          <w:tcPr>
            <w:tcW w:w="989" w:type="dxa"/>
            <w:vAlign w:val="bottom"/>
          </w:tcPr>
          <w:p w:rsidR="003D4870" w:rsidRPr="00502FE2" w:rsidRDefault="003D4870" w:rsidP="00BB1EAA">
            <w:pPr>
              <w:pStyle w:val="AGRTOCNumbers-notbold"/>
              <w:tabs>
                <w:tab w:val="clear" w:pos="643"/>
                <w:tab w:val="decimal" w:pos="432"/>
              </w:tabs>
            </w:pPr>
            <w:r>
              <w:fldChar w:fldCharType="begin"/>
            </w:r>
            <w:r>
              <w:instrText xml:space="preserve"> PAGEREF  PWC_asset_mgmt_audit_title \h </w:instrText>
            </w:r>
            <w:r>
              <w:fldChar w:fldCharType="separate"/>
            </w:r>
            <w:r w:rsidR="00B53DC5">
              <w:rPr>
                <w:noProof/>
              </w:rPr>
              <w:t>47</w:t>
            </w:r>
            <w:r>
              <w:fldChar w:fldCharType="end"/>
            </w:r>
          </w:p>
        </w:tc>
      </w:tr>
      <w:tr w:rsidR="003D4870" w:rsidRPr="00502FE2" w:rsidTr="00BB1EAA">
        <w:tc>
          <w:tcPr>
            <w:tcW w:w="7817" w:type="dxa"/>
          </w:tcPr>
          <w:p w:rsidR="003D4870" w:rsidRPr="00502FE2" w:rsidRDefault="003D4870" w:rsidP="00BB1EAA">
            <w:pPr>
              <w:pStyle w:val="AGRBodyText"/>
            </w:pPr>
            <w:r>
              <w:fldChar w:fldCharType="begin"/>
            </w:r>
            <w:r>
              <w:instrText xml:space="preserve"> REF  maximo \h  \* MERGEFORMAT </w:instrText>
            </w:r>
            <w:r>
              <w:fldChar w:fldCharType="separate"/>
            </w:r>
            <w:proofErr w:type="spellStart"/>
            <w:r w:rsidR="00B53DC5">
              <w:t>Maximo</w:t>
            </w:r>
            <w:proofErr w:type="spellEnd"/>
            <w:r>
              <w:fldChar w:fldCharType="end"/>
            </w:r>
          </w:p>
        </w:tc>
        <w:tc>
          <w:tcPr>
            <w:tcW w:w="989" w:type="dxa"/>
            <w:vAlign w:val="bottom"/>
          </w:tcPr>
          <w:p w:rsidR="003D4870" w:rsidRPr="00502FE2" w:rsidRDefault="003D4870" w:rsidP="00BB1EAA">
            <w:pPr>
              <w:pStyle w:val="AGRTOCNumbers-notbold"/>
              <w:tabs>
                <w:tab w:val="clear" w:pos="643"/>
                <w:tab w:val="decimal" w:pos="432"/>
              </w:tabs>
            </w:pPr>
            <w:r>
              <w:fldChar w:fldCharType="begin"/>
            </w:r>
            <w:r>
              <w:instrText xml:space="preserve"> PAGEREF  maximo \h </w:instrText>
            </w:r>
            <w:r>
              <w:fldChar w:fldCharType="separate"/>
            </w:r>
            <w:r w:rsidR="00B53DC5">
              <w:rPr>
                <w:noProof/>
              </w:rPr>
              <w:t>55</w:t>
            </w:r>
            <w:r>
              <w:fldChar w:fldCharType="end"/>
            </w:r>
          </w:p>
        </w:tc>
      </w:tr>
      <w:tr w:rsidR="00E744F0" w:rsidRPr="00502FE2" w:rsidTr="008D3FE5">
        <w:tc>
          <w:tcPr>
            <w:tcW w:w="7817" w:type="dxa"/>
            <w:tcBorders>
              <w:top w:val="nil"/>
              <w:left w:val="nil"/>
              <w:bottom w:val="nil"/>
              <w:right w:val="nil"/>
            </w:tcBorders>
          </w:tcPr>
          <w:p w:rsidR="00E744F0" w:rsidRPr="00502FE2" w:rsidRDefault="00E744F0" w:rsidP="008D3FE5">
            <w:pPr>
              <w:pStyle w:val="AGRTOC"/>
            </w:pPr>
            <w:r>
              <w:t>Public Information Act</w:t>
            </w:r>
          </w:p>
        </w:tc>
        <w:tc>
          <w:tcPr>
            <w:tcW w:w="989" w:type="dxa"/>
            <w:tcBorders>
              <w:top w:val="nil"/>
              <w:left w:val="nil"/>
              <w:bottom w:val="nil"/>
              <w:right w:val="nil"/>
            </w:tcBorders>
            <w:vAlign w:val="bottom"/>
          </w:tcPr>
          <w:p w:rsidR="00E744F0" w:rsidRPr="00502FE2" w:rsidRDefault="00E744F0" w:rsidP="008D3FE5">
            <w:pPr>
              <w:pStyle w:val="AGRTOCNumbers-notbold"/>
              <w:tabs>
                <w:tab w:val="clear" w:pos="643"/>
                <w:tab w:val="decimal" w:pos="432"/>
              </w:tabs>
            </w:pPr>
            <w:r>
              <w:fldChar w:fldCharType="begin"/>
            </w:r>
            <w:r>
              <w:instrText xml:space="preserve"> PAGE   \* MERGEFORMAT </w:instrText>
            </w:r>
            <w:r>
              <w:fldChar w:fldCharType="separate"/>
            </w:r>
            <w:r w:rsidR="00B53DC5">
              <w:rPr>
                <w:noProof/>
              </w:rPr>
              <w:t>82</w:t>
            </w:r>
            <w:r>
              <w:fldChar w:fldCharType="end"/>
            </w:r>
          </w:p>
        </w:tc>
      </w:tr>
      <w:tr w:rsidR="00E744F0" w:rsidRPr="00502FE2" w:rsidTr="00BB1EAA">
        <w:tc>
          <w:tcPr>
            <w:tcW w:w="7817" w:type="dxa"/>
          </w:tcPr>
          <w:p w:rsidR="00E744F0" w:rsidRDefault="00E744F0" w:rsidP="00BB1EAA">
            <w:pPr>
              <w:pStyle w:val="AGRBodyText"/>
            </w:pPr>
          </w:p>
        </w:tc>
        <w:tc>
          <w:tcPr>
            <w:tcW w:w="989" w:type="dxa"/>
            <w:vAlign w:val="bottom"/>
          </w:tcPr>
          <w:p w:rsidR="00E744F0" w:rsidRDefault="00E744F0" w:rsidP="00BB1EAA">
            <w:pPr>
              <w:pStyle w:val="AGRTOCNumbers-notbold"/>
              <w:tabs>
                <w:tab w:val="clear" w:pos="643"/>
                <w:tab w:val="decimal" w:pos="432"/>
              </w:tabs>
            </w:pPr>
          </w:p>
        </w:tc>
      </w:tr>
    </w:tbl>
    <w:p w:rsidR="00E54812" w:rsidRDefault="00E54812" w:rsidP="002F4F0B">
      <w:pPr>
        <w:pStyle w:val="AGRBodyText"/>
        <w:sectPr w:rsidR="00E54812" w:rsidSect="004B3E0E">
          <w:pgSz w:w="11906" w:h="16838" w:code="9"/>
          <w:pgMar w:top="3119" w:right="1418" w:bottom="1134" w:left="1418" w:header="340" w:footer="567" w:gutter="284"/>
          <w:cols w:space="708"/>
          <w:docGrid w:linePitch="360"/>
        </w:sectPr>
      </w:pPr>
    </w:p>
    <w:p w:rsidR="00002BC2" w:rsidRPr="00816CA2" w:rsidRDefault="005764E8" w:rsidP="00E54812">
      <w:pPr>
        <w:pStyle w:val="AGRBodyText"/>
        <w:ind w:left="0"/>
      </w:pPr>
      <w:r>
        <w:br w:type="page"/>
      </w:r>
    </w:p>
    <w:p w:rsidR="00002BC2" w:rsidRDefault="00002BC2" w:rsidP="00002BC2">
      <w:pPr>
        <w:tabs>
          <w:tab w:val="left" w:pos="3620"/>
        </w:tabs>
        <w:rPr>
          <w:lang w:val="en-US"/>
        </w:rPr>
        <w:sectPr w:rsidR="00002BC2" w:rsidSect="004B3E0E">
          <w:footerReference w:type="even" r:id="rId44"/>
          <w:footerReference w:type="default" r:id="rId45"/>
          <w:pgSz w:w="11906" w:h="16838" w:code="9"/>
          <w:pgMar w:top="3119" w:right="1418" w:bottom="1134" w:left="1418" w:header="340" w:footer="567" w:gutter="284"/>
          <w:cols w:space="708"/>
          <w:docGrid w:linePitch="360"/>
        </w:sectPr>
      </w:pPr>
    </w:p>
    <w:p w:rsidR="00002BC2" w:rsidRDefault="00002BC2">
      <w:pPr>
        <w:keepLines w:val="0"/>
        <w:spacing w:after="0" w:line="240" w:lineRule="auto"/>
        <w:ind w:left="0"/>
        <w:rPr>
          <w:lang w:val="en-US"/>
        </w:rPr>
      </w:pPr>
    </w:p>
    <w:p w:rsidR="004A036F" w:rsidRPr="00440C99" w:rsidRDefault="00002BC2" w:rsidP="00816CA2">
      <w:pPr>
        <w:tabs>
          <w:tab w:val="left" w:pos="3620"/>
        </w:tabs>
      </w:pPr>
      <w:r w:rsidRPr="00440C99">
        <w:rPr>
          <w:noProof/>
          <w:lang w:eastAsia="en-AU"/>
        </w:rPr>
        <w:drawing>
          <wp:anchor distT="0" distB="0" distL="114300" distR="114300" simplePos="0" relativeHeight="251691008" behindDoc="0" locked="0" layoutInCell="1" allowOverlap="1" wp14:anchorId="2C4B1E63" wp14:editId="58D9835F">
            <wp:simplePos x="0" y="0"/>
            <wp:positionH relativeFrom="page">
              <wp:align>left</wp:align>
            </wp:positionH>
            <wp:positionV relativeFrom="page">
              <wp:align>top</wp:align>
            </wp:positionV>
            <wp:extent cx="7603200" cy="10692000"/>
            <wp:effectExtent l="0" t="0" r="0" b="0"/>
            <wp:wrapNone/>
            <wp:docPr id="12" name="Picture 12" descr="GPO Box 4594, Darwin NT 0801&#10;Level 12 Northern Territory House, 22 Mitchell Street, Darwin NT 0800&#10;Phone (08) 8999 7155&#10;Email: nt.audit@nt.gov.au&#10;www.nt.gov.au/ago" title="Back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4.jpg"/>
                    <pic:cNvPicPr/>
                  </pic:nvPicPr>
                  <pic:blipFill>
                    <a:blip r:embed="rId46">
                      <a:extLst>
                        <a:ext uri="{28A0092B-C50C-407E-A947-70E740481C1C}">
                          <a14:useLocalDpi xmlns:a14="http://schemas.microsoft.com/office/drawing/2010/main" val="0"/>
                        </a:ext>
                      </a:extLst>
                    </a:blip>
                    <a:stretch>
                      <a:fillRect/>
                    </a:stretch>
                  </pic:blipFill>
                  <pic:spPr>
                    <a:xfrm>
                      <a:off x="0" y="0"/>
                      <a:ext cx="7603200" cy="10692000"/>
                    </a:xfrm>
                    <a:prstGeom prst="rect">
                      <a:avLst/>
                    </a:prstGeom>
                  </pic:spPr>
                </pic:pic>
              </a:graphicData>
            </a:graphic>
            <wp14:sizeRelH relativeFrom="margin">
              <wp14:pctWidth>0</wp14:pctWidth>
            </wp14:sizeRelH>
            <wp14:sizeRelV relativeFrom="margin">
              <wp14:pctHeight>0</wp14:pctHeight>
            </wp14:sizeRelV>
          </wp:anchor>
        </w:drawing>
      </w:r>
    </w:p>
    <w:sectPr w:rsidR="004A036F" w:rsidRPr="00440C99" w:rsidSect="004B3E0E">
      <w:headerReference w:type="even" r:id="rId47"/>
      <w:footerReference w:type="even" r:id="rId48"/>
      <w:footerReference w:type="default" r:id="rId49"/>
      <w:pgSz w:w="11906" w:h="16838" w:code="9"/>
      <w:pgMar w:top="3119" w:right="1418" w:bottom="1134" w:left="1418" w:header="340"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2C" w:rsidRDefault="009E4C2C">
      <w:r>
        <w:separator/>
      </w:r>
    </w:p>
    <w:p w:rsidR="009E4C2C" w:rsidRDefault="009E4C2C"/>
    <w:p w:rsidR="009E4C2C" w:rsidRDefault="009E4C2C"/>
  </w:endnote>
  <w:endnote w:type="continuationSeparator" w:id="0">
    <w:p w:rsidR="009E4C2C" w:rsidRDefault="009E4C2C">
      <w:r>
        <w:continuationSeparator/>
      </w:r>
    </w:p>
    <w:p w:rsidR="009E4C2C" w:rsidRDefault="009E4C2C"/>
    <w:p w:rsidR="009E4C2C" w:rsidRDefault="009E4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MT Std Cond">
    <w:panose1 w:val="00000000000000000000"/>
    <w:charset w:val="00"/>
    <w:family w:val="swiss"/>
    <w:notTrueType/>
    <w:pitch w:val="variable"/>
    <w:sig w:usb0="00000003" w:usb1="00000000" w:usb2="00000000" w:usb3="00000000" w:csb0="00000001" w:csb1="00000000"/>
  </w:font>
  <w:font w:name="Arial MT Std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3D" w:rsidRDefault="0089093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584AB3" w:rsidRDefault="009E4C2C" w:rsidP="008713AF">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F3147A">
      <w:rPr>
        <w:rStyle w:val="PageNumber"/>
        <w:rFonts w:ascii="Arial" w:hAnsi="Arial" w:cs="Arial"/>
        <w:noProof/>
      </w:rPr>
      <w:t>82</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August 2013</w:t>
    </w:r>
    <w:r w:rsidRPr="00584AB3">
      <w:rPr>
        <w:rFonts w:ascii="Arial" w:hAnsi="Arial" w:cs="Arial"/>
      </w:rPr>
      <w:t xml:space="preserve"> Report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584AB3" w:rsidRDefault="009E4C2C" w:rsidP="008713AF">
    <w:pPr>
      <w:pStyle w:val="AGRFooterOdd"/>
    </w:pPr>
    <w:r>
      <w:tab/>
    </w:r>
    <w:r w:rsidRPr="00584AB3">
      <w:rPr>
        <w:rFonts w:ascii="Arial" w:hAnsi="Arial" w:cs="Arial"/>
      </w:rPr>
      <w:t>Auditor-General for the Northern Territory</w:t>
    </w:r>
    <w:r>
      <w:rPr>
        <w:rFonts w:ascii="Arial" w:hAnsi="Arial" w:cs="Arial"/>
      </w:rPr>
      <w:t xml:space="preserve"> – August 2013</w:t>
    </w:r>
    <w:r w:rsidRPr="00584AB3">
      <w:rPr>
        <w:rFonts w:ascii="Arial" w:hAnsi="Arial" w:cs="Arial"/>
      </w:rPr>
      <w:t xml:space="preserve"> Report</w:t>
    </w:r>
    <w:r w:rsidRPr="00584AB3">
      <w:rPr>
        <w:rFonts w:ascii="Arial" w:hAnsi="Arial" w:cs="Arial"/>
      </w:rPr>
      <w:tab/>
    </w: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F3147A">
      <w:rPr>
        <w:rStyle w:val="PageNumber"/>
        <w:noProof/>
      </w:rPr>
      <w:t>81</w:t>
    </w:r>
    <w:r w:rsidRPr="004140EE">
      <w:rPr>
        <w:rStyle w:val="PageNumber"/>
      </w:rPr>
      <w:fldChar w:fldCharType="end"/>
    </w:r>
    <w:bookmarkStart w:id="4" w:name="_Toc177463394"/>
    <w:bookmarkStart w:id="5" w:name="_Toc177467219"/>
    <w:bookmarkStart w:id="6" w:name="_Toc177467405"/>
    <w:bookmarkStart w:id="7" w:name="_Toc177533778"/>
    <w:bookmarkStart w:id="8" w:name="_Toc178928814"/>
    <w:bookmarkStart w:id="9" w:name="_Toc185213311"/>
    <w:bookmarkStart w:id="10" w:name="_Toc185325698"/>
    <w:bookmarkEnd w:id="4"/>
    <w:bookmarkEnd w:id="5"/>
    <w:bookmarkEnd w:id="6"/>
    <w:bookmarkEnd w:id="7"/>
    <w:bookmarkEnd w:id="8"/>
    <w:bookmarkEnd w:id="9"/>
    <w:bookmarkEnd w:id="10"/>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746EF4" w:rsidRDefault="009E4C2C" w:rsidP="00746EF4">
    <w:pPr>
      <w:pStyle w:val="Footer"/>
      <w:ind w:left="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584AB3" w:rsidRDefault="009E4C2C" w:rsidP="008713AF">
    <w:pPr>
      <w:pStyle w:val="AGRFooterEven"/>
      <w:rPr>
        <w:rFonts w:ascii="Arial" w:hAnsi="Arial" w:cs="Arial"/>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584AB3" w:rsidRDefault="009E4C2C" w:rsidP="008713AF">
    <w:pPr>
      <w:pStyle w:val="AGRFooterOdd"/>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584AB3" w:rsidRDefault="009E4C2C" w:rsidP="008713AF">
    <w:pPr>
      <w:pStyle w:val="AGRFooterEven"/>
      <w:rPr>
        <w:rFonts w:ascii="Arial" w:hAnsi="Arial" w:cs="Arial"/>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584AB3" w:rsidRDefault="009E4C2C" w:rsidP="008713AF">
    <w:pPr>
      <w:pStyle w:val="AGRFooterOd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7C22CF" w:rsidRDefault="009E4C2C" w:rsidP="00591D5A">
    <w:pPr>
      <w:pStyle w:val="AGRFooterOdd"/>
    </w:pPr>
    <w:r w:rsidRPr="004140E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746EF4" w:rsidRDefault="009E4C2C" w:rsidP="00746EF4">
    <w:pPr>
      <w:pStyle w:val="Footer"/>
      <w:ind w:lef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rsidP="003B11AF">
    <w:pPr>
      <w:pStyle w:val="AGRFooterEven"/>
    </w:pPr>
    <w:r w:rsidRPr="004140EE">
      <w:rPr>
        <w:rStyle w:val="PageNumber"/>
      </w:rPr>
      <w:fldChar w:fldCharType="begin"/>
    </w:r>
    <w:r w:rsidRPr="004140EE">
      <w:rPr>
        <w:rStyle w:val="PageNumber"/>
      </w:rPr>
      <w:instrText xml:space="preserve"> PAGE </w:instrText>
    </w:r>
    <w:r w:rsidRPr="004140EE">
      <w:rPr>
        <w:rStyle w:val="PageNumber"/>
      </w:rPr>
      <w:fldChar w:fldCharType="separate"/>
    </w:r>
    <w:r w:rsidR="00817410">
      <w:rPr>
        <w:rStyle w:val="PageNumber"/>
        <w:noProof/>
      </w:rPr>
      <w:t>4</w:t>
    </w:r>
    <w:r w:rsidRPr="004140EE">
      <w:rPr>
        <w:rStyle w:val="PageNumber"/>
      </w:rPr>
      <w:fldChar w:fldCharType="end"/>
    </w:r>
    <w:r w:rsidRPr="00584AB3">
      <w:rPr>
        <w:rStyle w:val="PageNumber"/>
        <w:rFonts w:ascii="Arial" w:hAnsi="Arial" w:cs="Arial"/>
      </w:rPr>
      <w:tab/>
    </w:r>
    <w:r w:rsidRPr="00584AB3">
      <w:rPr>
        <w:rFonts w:ascii="Arial" w:hAnsi="Arial" w:cs="Arial"/>
      </w:rPr>
      <w:t xml:space="preserve">Auditor-General for the Northern Territory – </w:t>
    </w:r>
    <w:r>
      <w:t>August 2013</w:t>
    </w:r>
    <w:r w:rsidRPr="00584AB3">
      <w:rPr>
        <w:rFonts w:ascii="Arial" w:hAnsi="Arial" w:cs="Arial"/>
      </w:rPr>
      <w:t xml:space="preserve"> Report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C53E4D" w:rsidRDefault="009E4C2C" w:rsidP="003B11AF">
    <w:pPr>
      <w:pStyle w:val="AGRFooterOdd"/>
      <w:rPr>
        <w:rFonts w:ascii="Arial" w:hAnsi="Arial" w:cs="Arial"/>
      </w:rPr>
    </w:pPr>
    <w:r w:rsidRPr="00C53E4D">
      <w:rPr>
        <w:rFonts w:ascii="Arial" w:hAnsi="Arial" w:cs="Arial"/>
      </w:rPr>
      <w:tab/>
      <w:t>Auditor-General for the Northern Territory</w:t>
    </w:r>
    <w:r>
      <w:rPr>
        <w:rFonts w:ascii="Arial" w:hAnsi="Arial" w:cs="Arial"/>
      </w:rPr>
      <w:t xml:space="preserve"> – August 2013</w:t>
    </w:r>
    <w:r w:rsidRPr="00C53E4D">
      <w:rPr>
        <w:rFonts w:ascii="Arial" w:hAnsi="Arial" w:cs="Arial"/>
      </w:rPr>
      <w:t xml:space="preserve"> Report</w:t>
    </w:r>
    <w:r w:rsidRPr="00C53E4D">
      <w:rPr>
        <w:rFonts w:ascii="Arial" w:hAnsi="Arial" w:cs="Arial"/>
      </w:rPr>
      <w:tab/>
    </w:r>
    <w:r w:rsidRPr="00C53E4D">
      <w:rPr>
        <w:rStyle w:val="PageNumber"/>
        <w:rFonts w:ascii="Arial" w:hAnsi="Arial" w:cs="Arial"/>
      </w:rPr>
      <w:fldChar w:fldCharType="begin"/>
    </w:r>
    <w:r w:rsidRPr="00C53E4D">
      <w:rPr>
        <w:rStyle w:val="PageNumber"/>
        <w:rFonts w:ascii="Arial" w:hAnsi="Arial" w:cs="Arial"/>
      </w:rPr>
      <w:instrText xml:space="preserve"> PAGE </w:instrText>
    </w:r>
    <w:r w:rsidRPr="00C53E4D">
      <w:rPr>
        <w:rStyle w:val="PageNumber"/>
        <w:rFonts w:ascii="Arial" w:hAnsi="Arial" w:cs="Arial"/>
      </w:rPr>
      <w:fldChar w:fldCharType="separate"/>
    </w:r>
    <w:r w:rsidR="00F3147A">
      <w:rPr>
        <w:rStyle w:val="PageNumber"/>
        <w:rFonts w:ascii="Arial" w:hAnsi="Arial" w:cs="Arial"/>
        <w:noProof/>
      </w:rPr>
      <w:t>3</w:t>
    </w:r>
    <w:r w:rsidRPr="00C53E4D">
      <w:rPr>
        <w:rStyle w:val="PageNumbe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746EF4" w:rsidRDefault="009E4C2C" w:rsidP="00746EF4">
    <w:pPr>
      <w:pStyle w:val="Footer"/>
      <w:ind w:left="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584AB3" w:rsidRDefault="009E4C2C" w:rsidP="008713AF">
    <w:pPr>
      <w:pStyle w:val="AGRFooterEven"/>
      <w:rPr>
        <w:rFonts w:ascii="Arial" w:hAnsi="Arial" w:cs="Arial"/>
      </w:rPr>
    </w:pPr>
    <w:r w:rsidRPr="00584AB3">
      <w:rPr>
        <w:rStyle w:val="PageNumber"/>
        <w:rFonts w:ascii="Arial" w:hAnsi="Arial" w:cs="Arial"/>
      </w:rPr>
      <w:fldChar w:fldCharType="begin"/>
    </w:r>
    <w:r w:rsidRPr="00584AB3">
      <w:rPr>
        <w:rStyle w:val="PageNumber"/>
        <w:rFonts w:ascii="Arial" w:hAnsi="Arial" w:cs="Arial"/>
      </w:rPr>
      <w:instrText xml:space="preserve"> PAGE </w:instrText>
    </w:r>
    <w:r w:rsidRPr="00584AB3">
      <w:rPr>
        <w:rStyle w:val="PageNumber"/>
        <w:rFonts w:ascii="Arial" w:hAnsi="Arial" w:cs="Arial"/>
      </w:rPr>
      <w:fldChar w:fldCharType="separate"/>
    </w:r>
    <w:r w:rsidR="00817410">
      <w:rPr>
        <w:rStyle w:val="PageNumber"/>
        <w:rFonts w:ascii="Arial" w:hAnsi="Arial" w:cs="Arial"/>
        <w:noProof/>
      </w:rPr>
      <w:t>6</w:t>
    </w:r>
    <w:r w:rsidRPr="00584AB3">
      <w:rPr>
        <w:rStyle w:val="PageNumber"/>
        <w:rFonts w:ascii="Arial" w:hAnsi="Arial" w:cs="Arial"/>
      </w:rPr>
      <w:fldChar w:fldCharType="end"/>
    </w:r>
    <w:r w:rsidRPr="00584AB3">
      <w:rPr>
        <w:rStyle w:val="PageNumber"/>
        <w:rFonts w:ascii="Arial" w:hAnsi="Arial" w:cs="Arial"/>
      </w:rPr>
      <w:tab/>
    </w:r>
    <w:r w:rsidRPr="00584AB3">
      <w:rPr>
        <w:rFonts w:ascii="Arial" w:hAnsi="Arial" w:cs="Arial"/>
      </w:rPr>
      <w:t>Auditor-General for the Northern Territory</w:t>
    </w:r>
    <w:r>
      <w:rPr>
        <w:rFonts w:ascii="Arial" w:hAnsi="Arial" w:cs="Arial"/>
      </w:rPr>
      <w:t xml:space="preserve"> – August 2013</w:t>
    </w:r>
    <w:r w:rsidRPr="00584AB3">
      <w:rPr>
        <w:rFonts w:ascii="Arial" w:hAnsi="Arial" w:cs="Arial"/>
      </w:rPr>
      <w:t xml:space="preserve"> Report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E01286" w:rsidRDefault="009E4C2C" w:rsidP="00E01286">
    <w:pPr>
      <w:pStyle w:val="Footer"/>
    </w:pPr>
    <w:r>
      <w:rPr>
        <w:noProof/>
        <w:lang w:eastAsia="en-AU"/>
      </w:rPr>
      <mc:AlternateContent>
        <mc:Choice Requires="wps">
          <w:drawing>
            <wp:anchor distT="0" distB="0" distL="114300" distR="114300" simplePos="0" relativeHeight="251661312" behindDoc="0" locked="0" layoutInCell="1" allowOverlap="1" wp14:anchorId="10150E10" wp14:editId="12C93343">
              <wp:simplePos x="0" y="0"/>
              <wp:positionH relativeFrom="page">
                <wp:posOffset>-13970</wp:posOffset>
              </wp:positionH>
              <wp:positionV relativeFrom="page">
                <wp:posOffset>9980295</wp:posOffset>
              </wp:positionV>
              <wp:extent cx="7543800" cy="0"/>
              <wp:effectExtent l="5080" t="7620" r="13970" b="11430"/>
              <wp:wrapNone/>
              <wp:docPr id="8" name="Line 8" descr="Footer dividing line" title="Footer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alt="Title: Footer dividing line - Description: Footer dividing line"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pt,785.85pt" to="592.9pt,7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">
              <w10:wrap anchorx="page" anchory="page"/>
            </v:line>
          </w:pict>
        </mc:Fallback>
      </mc:AlternateContent>
    </w:r>
    <w:r>
      <w:rPr>
        <w:noProof/>
        <w:lang w:eastAsia="en-AU"/>
      </w:rPr>
      <mc:AlternateContent>
        <mc:Choice Requires="wps">
          <w:drawing>
            <wp:anchor distT="0" distB="0" distL="114300" distR="114300" simplePos="0" relativeHeight="251660288" behindDoc="0" locked="0" layoutInCell="1" allowOverlap="1" wp14:anchorId="4BC054B3" wp14:editId="2C7E3C2F">
              <wp:simplePos x="0" y="0"/>
              <wp:positionH relativeFrom="column">
                <wp:posOffset>98425</wp:posOffset>
              </wp:positionH>
              <wp:positionV relativeFrom="paragraph">
                <wp:posOffset>-16510</wp:posOffset>
              </wp:positionV>
              <wp:extent cx="6286500" cy="501650"/>
              <wp:effectExtent l="0" t="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C2C" w:rsidRPr="00313635" w:rsidRDefault="009E4C2C" w:rsidP="00E01286">
                          <w:pPr>
                            <w:pStyle w:val="Footer"/>
                            <w:keepLines w:val="0"/>
                            <w:tabs>
                              <w:tab w:val="clear" w:pos="4153"/>
                              <w:tab w:val="clear" w:pos="8306"/>
                              <w:tab w:val="left" w:pos="6804"/>
                            </w:tabs>
                            <w:spacing w:after="0" w:line="240" w:lineRule="auto"/>
                            <w:ind w:left="0"/>
                            <w:rPr>
                              <w:sz w:val="16"/>
                              <w:szCs w:val="19"/>
                              <w:lang w:eastAsia="en-AU"/>
                            </w:rPr>
                          </w:pPr>
                          <w:r w:rsidRPr="00313635">
                            <w:rPr>
                              <w:sz w:val="16"/>
                              <w:szCs w:val="19"/>
                              <w:lang w:eastAsia="en-AU"/>
                            </w:rPr>
                            <w:t xml:space="preserve">GPO Box 4594 </w:t>
                          </w:r>
                          <w:r w:rsidRPr="00313635">
                            <w:rPr>
                              <w:sz w:val="16"/>
                              <w:szCs w:val="19"/>
                              <w:lang w:eastAsia="en-AU"/>
                            </w:rPr>
                            <w:tab/>
                            <w:t>Telephone (08) 8999 7155</w:t>
                          </w:r>
                        </w:p>
                        <w:p w:rsidR="009E4C2C" w:rsidRPr="00313635" w:rsidRDefault="009E4C2C" w:rsidP="00E01286">
                          <w:pPr>
                            <w:pStyle w:val="Footer"/>
                            <w:keepLines w:val="0"/>
                            <w:tabs>
                              <w:tab w:val="clear" w:pos="4153"/>
                              <w:tab w:val="clear" w:pos="8306"/>
                              <w:tab w:val="left" w:pos="6804"/>
                            </w:tabs>
                            <w:spacing w:after="0" w:line="240" w:lineRule="auto"/>
                            <w:ind w:left="0"/>
                            <w:rPr>
                              <w:sz w:val="16"/>
                              <w:szCs w:val="19"/>
                              <w:lang w:eastAsia="en-AU"/>
                            </w:rPr>
                          </w:pPr>
                          <w:proofErr w:type="gramStart"/>
                          <w:r w:rsidRPr="00313635">
                            <w:rPr>
                              <w:sz w:val="16"/>
                              <w:szCs w:val="19"/>
                              <w:lang w:eastAsia="en-AU"/>
                            </w:rPr>
                            <w:t>DARWIN  NT</w:t>
                          </w:r>
                          <w:proofErr w:type="gramEnd"/>
                          <w:r w:rsidRPr="00313635">
                            <w:rPr>
                              <w:sz w:val="16"/>
                              <w:szCs w:val="19"/>
                              <w:lang w:eastAsia="en-AU"/>
                            </w:rPr>
                            <w:t xml:space="preserve">  0801</w:t>
                          </w:r>
                          <w:r w:rsidRPr="00313635">
                            <w:rPr>
                              <w:sz w:val="16"/>
                              <w:szCs w:val="19"/>
                              <w:lang w:eastAsia="en-AU"/>
                            </w:rPr>
                            <w:tab/>
                          </w:r>
                          <w:hyperlink r:id="rId1" w:history="1">
                            <w:r w:rsidRPr="00313635">
                              <w:rPr>
                                <w:sz w:val="16"/>
                                <w:szCs w:val="19"/>
                                <w:lang w:eastAsia="en-AU"/>
                              </w:rPr>
                              <w:t>www.nt.gov.au/ago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left:0;text-align:left;margin-left:7.75pt;margin-top:-1.3pt;width:49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ld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" filled="f" stroked="f">
              <v:textbox>
                <w:txbxContent>
                  <w:p w:rsidR="009E4C2C" w:rsidRPr="00313635" w:rsidRDefault="009E4C2C" w:rsidP="00E01286">
                    <w:pPr>
                      <w:pStyle w:val="Footer"/>
                      <w:keepLines w:val="0"/>
                      <w:tabs>
                        <w:tab w:val="clear" w:pos="4153"/>
                        <w:tab w:val="clear" w:pos="8306"/>
                        <w:tab w:val="left" w:pos="6804"/>
                      </w:tabs>
                      <w:spacing w:after="0" w:line="240" w:lineRule="auto"/>
                      <w:ind w:left="0"/>
                      <w:rPr>
                        <w:sz w:val="16"/>
                        <w:szCs w:val="19"/>
                        <w:lang w:eastAsia="en-AU"/>
                      </w:rPr>
                    </w:pPr>
                    <w:r w:rsidRPr="00313635">
                      <w:rPr>
                        <w:sz w:val="16"/>
                        <w:szCs w:val="19"/>
                        <w:lang w:eastAsia="en-AU"/>
                      </w:rPr>
                      <w:t xml:space="preserve">GPO Box 4594 </w:t>
                    </w:r>
                    <w:r w:rsidRPr="00313635">
                      <w:rPr>
                        <w:sz w:val="16"/>
                        <w:szCs w:val="19"/>
                        <w:lang w:eastAsia="en-AU"/>
                      </w:rPr>
                      <w:tab/>
                      <w:t>Telephone (08) 8999 7155</w:t>
                    </w:r>
                  </w:p>
                  <w:p w:rsidR="009E4C2C" w:rsidRPr="00313635" w:rsidRDefault="009E4C2C" w:rsidP="00E01286">
                    <w:pPr>
                      <w:pStyle w:val="Footer"/>
                      <w:keepLines w:val="0"/>
                      <w:tabs>
                        <w:tab w:val="clear" w:pos="4153"/>
                        <w:tab w:val="clear" w:pos="8306"/>
                        <w:tab w:val="left" w:pos="6804"/>
                      </w:tabs>
                      <w:spacing w:after="0" w:line="240" w:lineRule="auto"/>
                      <w:ind w:left="0"/>
                      <w:rPr>
                        <w:sz w:val="16"/>
                        <w:szCs w:val="19"/>
                        <w:lang w:eastAsia="en-AU"/>
                      </w:rPr>
                    </w:pPr>
                    <w:proofErr w:type="gramStart"/>
                    <w:r w:rsidRPr="00313635">
                      <w:rPr>
                        <w:sz w:val="16"/>
                        <w:szCs w:val="19"/>
                        <w:lang w:eastAsia="en-AU"/>
                      </w:rPr>
                      <w:t>DARWIN  NT</w:t>
                    </w:r>
                    <w:proofErr w:type="gramEnd"/>
                    <w:r w:rsidRPr="00313635">
                      <w:rPr>
                        <w:sz w:val="16"/>
                        <w:szCs w:val="19"/>
                        <w:lang w:eastAsia="en-AU"/>
                      </w:rPr>
                      <w:t xml:space="preserve">  0801</w:t>
                    </w:r>
                    <w:r w:rsidRPr="00313635">
                      <w:rPr>
                        <w:sz w:val="16"/>
                        <w:szCs w:val="19"/>
                        <w:lang w:eastAsia="en-AU"/>
                      </w:rPr>
                      <w:tab/>
                    </w:r>
                    <w:hyperlink r:id="rId2" w:history="1">
                      <w:r w:rsidRPr="00313635">
                        <w:rPr>
                          <w:sz w:val="16"/>
                          <w:szCs w:val="19"/>
                          <w:lang w:eastAsia="en-AU"/>
                        </w:rPr>
                        <w:t>www.nt.gov.au/ago</w:t>
                      </w:r>
                    </w:hyperlink>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746EF4" w:rsidRDefault="009E4C2C" w:rsidP="00746EF4">
    <w:pPr>
      <w:pStyle w:val="Footer"/>
      <w:ind w:left="0"/>
    </w:pPr>
    <w:r>
      <w:rPr>
        <w:noProof/>
        <w:lang w:eastAsia="en-AU"/>
      </w:rPr>
      <mc:AlternateContent>
        <mc:Choice Requires="wps">
          <w:drawing>
            <wp:anchor distT="0" distB="0" distL="114300" distR="114300" simplePos="0" relativeHeight="251654144" behindDoc="0" locked="0" layoutInCell="1" allowOverlap="1" wp14:anchorId="176B2905" wp14:editId="05115BE5">
              <wp:simplePos x="0" y="0"/>
              <wp:positionH relativeFrom="column">
                <wp:posOffset>148590</wp:posOffset>
              </wp:positionH>
              <wp:positionV relativeFrom="paragraph">
                <wp:posOffset>-60325</wp:posOffset>
              </wp:positionV>
              <wp:extent cx="6286500" cy="685800"/>
              <wp:effectExtent l="0" t="0" r="381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C2C" w:rsidRPr="00A85970" w:rsidRDefault="009E4C2C" w:rsidP="00DD511F">
                          <w:pPr>
                            <w:tabs>
                              <w:tab w:val="left" w:pos="3600"/>
                              <w:tab w:val="left" w:pos="4680"/>
                              <w:tab w:val="left" w:pos="6480"/>
                              <w:tab w:val="left" w:pos="7560"/>
                            </w:tabs>
                            <w:spacing w:after="0"/>
                            <w:rPr>
                              <w:rFonts w:cs="Arial"/>
                              <w:sz w:val="16"/>
                              <w:szCs w:val="16"/>
                            </w:rPr>
                          </w:pPr>
                          <w:r w:rsidRPr="00A85970">
                            <w:rPr>
                              <w:rFonts w:cs="Arial"/>
                              <w:sz w:val="16"/>
                              <w:szCs w:val="16"/>
                            </w:rPr>
                            <w:t>www.nt.gov.au/a</w:t>
                          </w:r>
                          <w:r>
                            <w:rPr>
                              <w:rFonts w:cs="Arial"/>
                              <w:sz w:val="16"/>
                              <w:szCs w:val="16"/>
                            </w:rPr>
                            <w:t>go</w:t>
                          </w:r>
                          <w:r>
                            <w:rPr>
                              <w:rFonts w:cs="Arial"/>
                              <w:sz w:val="16"/>
                              <w:szCs w:val="16"/>
                            </w:rPr>
                            <w:tab/>
                            <w:t>GPO Box 4594</w:t>
                          </w:r>
                          <w:r>
                            <w:rPr>
                              <w:rFonts w:cs="Arial"/>
                              <w:sz w:val="16"/>
                              <w:szCs w:val="16"/>
                            </w:rPr>
                            <w:tab/>
                          </w:r>
                          <w:r>
                            <w:rPr>
                              <w:rFonts w:cs="Arial"/>
                              <w:sz w:val="16"/>
                              <w:szCs w:val="16"/>
                            </w:rPr>
                            <w:tab/>
                            <w:t>Telephone</w:t>
                          </w:r>
                          <w:r>
                            <w:rPr>
                              <w:rFonts w:cs="Arial"/>
                              <w:sz w:val="16"/>
                              <w:szCs w:val="16"/>
                            </w:rPr>
                            <w:tab/>
                            <w:t xml:space="preserve">(08) </w:t>
                          </w:r>
                          <w:r w:rsidRPr="00A85970">
                            <w:rPr>
                              <w:rFonts w:cs="Arial"/>
                              <w:sz w:val="16"/>
                              <w:szCs w:val="16"/>
                            </w:rPr>
                            <w:t>8999 7155</w:t>
                          </w:r>
                          <w:r w:rsidRPr="00A85970">
                            <w:rPr>
                              <w:rFonts w:cs="Arial"/>
                              <w:sz w:val="16"/>
                              <w:szCs w:val="16"/>
                            </w:rPr>
                            <w:br/>
                            <w:t>nt.audit@nt.gov.au</w:t>
                          </w:r>
                          <w:r w:rsidRPr="00A85970">
                            <w:rPr>
                              <w:rFonts w:cs="Arial"/>
                              <w:sz w:val="16"/>
                              <w:szCs w:val="16"/>
                            </w:rPr>
                            <w:tab/>
                            <w:t>DARWIN  NT  0801</w:t>
                          </w:r>
                          <w:r w:rsidRPr="00A85970">
                            <w:rPr>
                              <w:rFonts w:cs="Arial"/>
                              <w:sz w:val="16"/>
                              <w:szCs w:val="16"/>
                            </w:rPr>
                            <w:tab/>
                            <w:t>Facsimile</w:t>
                          </w:r>
                          <w:r w:rsidRPr="00A85970">
                            <w:rPr>
                              <w:rFonts w:cs="Arial"/>
                              <w:sz w:val="16"/>
                              <w:szCs w:val="16"/>
                            </w:rPr>
                            <w:tab/>
                            <w:t>(08) 8999 7144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1.7pt;margin-top:-4.75pt;width:49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nJ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" filled="f" stroked="f">
              <v:textbox>
                <w:txbxContent>
                  <w:p w:rsidR="009E4C2C" w:rsidRPr="00A85970" w:rsidRDefault="009E4C2C" w:rsidP="00DD511F">
                    <w:pPr>
                      <w:tabs>
                        <w:tab w:val="left" w:pos="3600"/>
                        <w:tab w:val="left" w:pos="4680"/>
                        <w:tab w:val="left" w:pos="6480"/>
                        <w:tab w:val="left" w:pos="7560"/>
                      </w:tabs>
                      <w:spacing w:after="0"/>
                      <w:rPr>
                        <w:rFonts w:cs="Arial"/>
                        <w:sz w:val="16"/>
                        <w:szCs w:val="16"/>
                      </w:rPr>
                    </w:pPr>
                    <w:r w:rsidRPr="00A85970">
                      <w:rPr>
                        <w:rFonts w:cs="Arial"/>
                        <w:sz w:val="16"/>
                        <w:szCs w:val="16"/>
                      </w:rPr>
                      <w:t>www.nt.gov.au/a</w:t>
                    </w:r>
                    <w:r>
                      <w:rPr>
                        <w:rFonts w:cs="Arial"/>
                        <w:sz w:val="16"/>
                        <w:szCs w:val="16"/>
                      </w:rPr>
                      <w:t>go</w:t>
                    </w:r>
                    <w:r>
                      <w:rPr>
                        <w:rFonts w:cs="Arial"/>
                        <w:sz w:val="16"/>
                        <w:szCs w:val="16"/>
                      </w:rPr>
                      <w:tab/>
                      <w:t>GPO Box 4594</w:t>
                    </w:r>
                    <w:r>
                      <w:rPr>
                        <w:rFonts w:cs="Arial"/>
                        <w:sz w:val="16"/>
                        <w:szCs w:val="16"/>
                      </w:rPr>
                      <w:tab/>
                    </w:r>
                    <w:r>
                      <w:rPr>
                        <w:rFonts w:cs="Arial"/>
                        <w:sz w:val="16"/>
                        <w:szCs w:val="16"/>
                      </w:rPr>
                      <w:tab/>
                      <w:t>Telephone</w:t>
                    </w:r>
                    <w:r>
                      <w:rPr>
                        <w:rFonts w:cs="Arial"/>
                        <w:sz w:val="16"/>
                        <w:szCs w:val="16"/>
                      </w:rPr>
                      <w:tab/>
                      <w:t xml:space="preserve">(08) </w:t>
                    </w:r>
                    <w:r w:rsidRPr="00A85970">
                      <w:rPr>
                        <w:rFonts w:cs="Arial"/>
                        <w:sz w:val="16"/>
                        <w:szCs w:val="16"/>
                      </w:rPr>
                      <w:t>8999 7155</w:t>
                    </w:r>
                    <w:r w:rsidRPr="00A85970">
                      <w:rPr>
                        <w:rFonts w:cs="Arial"/>
                        <w:sz w:val="16"/>
                        <w:szCs w:val="16"/>
                      </w:rPr>
                      <w:br/>
                      <w:t>nt.audit@nt.gov.au</w:t>
                    </w:r>
                    <w:r w:rsidRPr="00A85970">
                      <w:rPr>
                        <w:rFonts w:cs="Arial"/>
                        <w:sz w:val="16"/>
                        <w:szCs w:val="16"/>
                      </w:rPr>
                      <w:tab/>
                      <w:t>DARWIN  NT  0801</w:t>
                    </w:r>
                    <w:r w:rsidRPr="00A85970">
                      <w:rPr>
                        <w:rFonts w:cs="Arial"/>
                        <w:sz w:val="16"/>
                        <w:szCs w:val="16"/>
                      </w:rPr>
                      <w:tab/>
                      <w:t>Facsimile</w:t>
                    </w:r>
                    <w:r w:rsidRPr="00A85970">
                      <w:rPr>
                        <w:rFonts w:cs="Arial"/>
                        <w:sz w:val="16"/>
                        <w:szCs w:val="16"/>
                      </w:rPr>
                      <w:tab/>
                      <w:t>(08) 8999 7144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2C" w:rsidRDefault="009E4C2C" w:rsidP="00546479">
      <w:pPr>
        <w:spacing w:after="0" w:line="240" w:lineRule="auto"/>
      </w:pPr>
      <w:r>
        <w:separator/>
      </w:r>
    </w:p>
  </w:footnote>
  <w:footnote w:type="continuationSeparator" w:id="0">
    <w:p w:rsidR="009E4C2C" w:rsidRDefault="009E4C2C">
      <w:r>
        <w:continuationSeparator/>
      </w:r>
    </w:p>
    <w:p w:rsidR="009E4C2C" w:rsidRDefault="009E4C2C"/>
    <w:p w:rsidR="009E4C2C" w:rsidRDefault="009E4C2C"/>
  </w:footnote>
  <w:footnote w:id="1">
    <w:p w:rsidR="009E4C2C" w:rsidRPr="000D3E41" w:rsidRDefault="009E4C2C" w:rsidP="00695108">
      <w:pPr>
        <w:pStyle w:val="AGRBodyText"/>
        <w:spacing w:after="0" w:line="240" w:lineRule="auto"/>
        <w:rPr>
          <w:sz w:val="16"/>
          <w:szCs w:val="16"/>
        </w:rPr>
      </w:pPr>
      <w:r w:rsidRPr="000D3E41">
        <w:rPr>
          <w:rStyle w:val="FootnoteReference"/>
          <w:sz w:val="16"/>
          <w:szCs w:val="16"/>
        </w:rPr>
        <w:footnoteRef/>
      </w:r>
      <w:r w:rsidRPr="000D3E41">
        <w:rPr>
          <w:sz w:val="16"/>
          <w:szCs w:val="16"/>
        </w:rPr>
        <w:t xml:space="preserve"> Source: Department of Health</w:t>
      </w:r>
    </w:p>
  </w:footnote>
  <w:footnote w:id="2">
    <w:p w:rsidR="009E4C2C" w:rsidRPr="00B4664D" w:rsidRDefault="009E4C2C" w:rsidP="00695108">
      <w:pPr>
        <w:pStyle w:val="AGRBodyText"/>
        <w:spacing w:after="0" w:line="240" w:lineRule="auto"/>
        <w:rPr>
          <w:rStyle w:val="FootnoteReference"/>
          <w:sz w:val="16"/>
          <w:szCs w:val="16"/>
        </w:rPr>
      </w:pPr>
      <w:r w:rsidRPr="00B4664D">
        <w:rPr>
          <w:rStyle w:val="FootnoteReference"/>
          <w:sz w:val="16"/>
          <w:szCs w:val="16"/>
        </w:rPr>
        <w:footnoteRef/>
      </w:r>
      <w:r w:rsidRPr="00B4664D">
        <w:rPr>
          <w:rStyle w:val="FootnoteReference"/>
          <w:sz w:val="16"/>
          <w:szCs w:val="16"/>
        </w:rPr>
        <w:t xml:space="preserve"> </w:t>
      </w:r>
      <w:r w:rsidRPr="00B4664D">
        <w:rPr>
          <w:rStyle w:val="FootnoteReference"/>
        </w:rPr>
        <w:t>Source: NT Aeromedical Efficiencies Presentation, CareFlight</w:t>
      </w:r>
    </w:p>
  </w:footnote>
  <w:footnote w:id="3">
    <w:p w:rsidR="009E4C2C" w:rsidRPr="00B4664D" w:rsidRDefault="009E4C2C" w:rsidP="00695108">
      <w:pPr>
        <w:pStyle w:val="AGRBodyText"/>
        <w:spacing w:after="0" w:line="240" w:lineRule="auto"/>
        <w:rPr>
          <w:rStyle w:val="FootnoteReference"/>
          <w:sz w:val="16"/>
          <w:szCs w:val="16"/>
        </w:rPr>
      </w:pPr>
      <w:r w:rsidRPr="00B4664D">
        <w:rPr>
          <w:rStyle w:val="FootnoteReference"/>
          <w:sz w:val="16"/>
          <w:szCs w:val="16"/>
        </w:rPr>
        <w:footnoteRef/>
      </w:r>
      <w:r w:rsidRPr="00B4664D">
        <w:rPr>
          <w:rStyle w:val="FootnoteReference"/>
          <w:sz w:val="16"/>
          <w:szCs w:val="16"/>
        </w:rPr>
        <w:t xml:space="preserve"> </w:t>
      </w:r>
      <w:r w:rsidRPr="00B4664D">
        <w:rPr>
          <w:rStyle w:val="FootnoteReference"/>
        </w:rPr>
        <w:t>Source: NT Aeromedical Efficiencies Presentation, CareFlight</w:t>
      </w:r>
    </w:p>
  </w:footnote>
  <w:footnote w:id="4">
    <w:p w:rsidR="009E4C2C" w:rsidRPr="00B4664D" w:rsidRDefault="009E4C2C" w:rsidP="00501A70">
      <w:pPr>
        <w:pStyle w:val="AGRBodyText"/>
        <w:spacing w:after="0" w:line="240" w:lineRule="auto"/>
        <w:rPr>
          <w:rStyle w:val="FootnoteReference"/>
          <w:sz w:val="16"/>
          <w:szCs w:val="16"/>
        </w:rPr>
      </w:pPr>
      <w:r w:rsidRPr="00B4664D">
        <w:rPr>
          <w:rStyle w:val="FootnoteReference"/>
          <w:sz w:val="16"/>
          <w:szCs w:val="16"/>
        </w:rPr>
        <w:footnoteRef/>
      </w:r>
      <w:r w:rsidRPr="00B4664D">
        <w:rPr>
          <w:rStyle w:val="FootnoteReference"/>
        </w:rPr>
        <w:t xml:space="preserve"> Source: Department of Health</w:t>
      </w:r>
    </w:p>
  </w:footnote>
  <w:footnote w:id="5">
    <w:p w:rsidR="009E4C2C" w:rsidRPr="00B43568" w:rsidRDefault="009E4C2C" w:rsidP="00635FDF">
      <w:pPr>
        <w:pStyle w:val="AGRBodyText"/>
        <w:rPr>
          <w:rStyle w:val="FootnoteReference"/>
          <w:sz w:val="16"/>
          <w:szCs w:val="16"/>
        </w:rPr>
      </w:pPr>
      <w:r w:rsidRPr="00B43568">
        <w:rPr>
          <w:rStyle w:val="FootnoteReference"/>
          <w:sz w:val="16"/>
          <w:szCs w:val="16"/>
        </w:rPr>
        <w:footnoteRef/>
      </w:r>
      <w:r w:rsidRPr="00B43568">
        <w:rPr>
          <w:rStyle w:val="FootnoteReference"/>
          <w:sz w:val="16"/>
          <w:szCs w:val="16"/>
        </w:rPr>
        <w:t xml:space="preserve"> </w:t>
      </w:r>
      <w:r w:rsidRPr="00B43568">
        <w:rPr>
          <w:rStyle w:val="FootnoteReference"/>
        </w:rPr>
        <w:t>Source: NT Aeromedical Efficiencies Presentation, CareFlight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pPr>
      <w:ind w:right="360" w:firstLine="36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0E7E8A" w:rsidRDefault="009E4C2C" w:rsidP="000E7E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pPr>
      <w:tabs>
        <w:tab w:val="left" w:pos="284"/>
      </w:tabs>
      <w:jc w:val="center"/>
      <w:rPr>
        <w:rFonts w:ascii="Arial Narrow" w:hAnsi="Arial Narrow"/>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pPr>
      <w:tabs>
        <w:tab w:val="left" w:pos="284"/>
      </w:tabs>
      <w:jc w:val="center"/>
      <w:rPr>
        <w:rFonts w:ascii="Arial Narrow" w:hAnsi="Arial Narrow"/>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C872E5" w:rsidRDefault="009E4C2C" w:rsidP="000E7E8A">
    <w:pPr>
      <w:pStyle w:val="Header"/>
      <w:tabs>
        <w:tab w:val="left" w:pos="1440"/>
      </w:tabs>
      <w:spacing w:line="280" w:lineRule="exact"/>
      <w:ind w:left="720" w:firstLine="1260"/>
      <w:rPr>
        <w:rFonts w:cs="Arial"/>
        <w:b/>
        <w:sz w:val="28"/>
        <w:szCs w:val="28"/>
        <w:lang w:eastAsia="en-AU"/>
      </w:rPr>
    </w:pPr>
    <w:r>
      <w:rPr>
        <w:rFonts w:cs="Arial"/>
        <w:b/>
        <w:noProof/>
        <w:sz w:val="28"/>
        <w:szCs w:val="28"/>
        <w:lang w:eastAsia="en-AU"/>
      </w:rPr>
      <mc:AlternateContent>
        <mc:Choice Requires="wps">
          <w:drawing>
            <wp:anchor distT="0" distB="0" distL="114300" distR="114300" simplePos="0" relativeHeight="251664384" behindDoc="0" locked="0" layoutInCell="1" allowOverlap="1" wp14:anchorId="4B401A2B" wp14:editId="7538C374">
              <wp:simplePos x="0" y="0"/>
              <wp:positionH relativeFrom="column">
                <wp:posOffset>1143000</wp:posOffset>
              </wp:positionH>
              <wp:positionV relativeFrom="paragraph">
                <wp:posOffset>7620</wp:posOffset>
              </wp:positionV>
              <wp:extent cx="0" cy="457200"/>
              <wp:effectExtent l="13970" t="16510" r="14605" b="12065"/>
              <wp:wrapNone/>
              <wp:docPr id="121" name="Line 5"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alt="Title: Decorative Line - Description: Decorative Line"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" strokeweight="1.5pt"/>
          </w:pict>
        </mc:Fallback>
      </mc:AlternateContent>
    </w:r>
    <w:r w:rsidRPr="00C872E5">
      <w:rPr>
        <w:rFonts w:cs="Arial"/>
        <w:b/>
        <w:noProof/>
        <w:sz w:val="28"/>
        <w:szCs w:val="28"/>
        <w:lang w:eastAsia="en-AU"/>
      </w:rPr>
      <w:drawing>
        <wp:anchor distT="0" distB="0" distL="114300" distR="114300" simplePos="0" relativeHeight="251663360" behindDoc="0" locked="0" layoutInCell="1" allowOverlap="1" wp14:anchorId="1DAF1F32" wp14:editId="624C83C6">
          <wp:simplePos x="0" y="0"/>
          <wp:positionH relativeFrom="column">
            <wp:posOffset>342900</wp:posOffset>
          </wp:positionH>
          <wp:positionV relativeFrom="paragraph">
            <wp:posOffset>-106680</wp:posOffset>
          </wp:positionV>
          <wp:extent cx="772160" cy="670560"/>
          <wp:effectExtent l="0" t="0" r="8890" b="0"/>
          <wp:wrapNone/>
          <wp:docPr id="297" name="Picture 297"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grayscl/>
                    <a:biLevel thresh="50000"/>
                  </a:blip>
                  <a:srcRect/>
                  <a:stretch>
                    <a:fillRect/>
                  </a:stretch>
                </pic:blipFill>
                <pic:spPr bwMode="auto">
                  <a:xfrm>
                    <a:off x="0" y="0"/>
                    <a:ext cx="772160" cy="670560"/>
                  </a:xfrm>
                  <a:prstGeom prst="rect">
                    <a:avLst/>
                  </a:prstGeom>
                  <a:noFill/>
                </pic:spPr>
              </pic:pic>
            </a:graphicData>
          </a:graphic>
        </wp:anchor>
      </w:drawing>
    </w:r>
    <w:r w:rsidRPr="00C872E5">
      <w:rPr>
        <w:rFonts w:cs="Arial"/>
        <w:b/>
        <w:sz w:val="28"/>
        <w:szCs w:val="28"/>
        <w:lang w:eastAsia="en-AU"/>
      </w:rPr>
      <w:t>Auditor-General for the Northern Territory</w:t>
    </w:r>
  </w:p>
  <w:p w:rsidR="009E4C2C" w:rsidRPr="00C872E5" w:rsidRDefault="009E4C2C" w:rsidP="000E7E8A">
    <w:pPr>
      <w:pStyle w:val="Header"/>
      <w:tabs>
        <w:tab w:val="left" w:pos="1440"/>
      </w:tabs>
      <w:spacing w:line="280" w:lineRule="exact"/>
      <w:rPr>
        <w:rFonts w:cs="Arial"/>
        <w:b/>
        <w:color w:val="B5AF9D"/>
        <w:sz w:val="22"/>
        <w:szCs w:val="22"/>
      </w:rPr>
    </w:pPr>
    <w:r w:rsidRPr="00C872E5">
      <w:rPr>
        <w:rFonts w:cs="Arial"/>
        <w:b/>
        <w:color w:val="B5AF9D"/>
        <w:sz w:val="22"/>
        <w:szCs w:val="22"/>
      </w:rPr>
      <w:tab/>
    </w:r>
    <w:r w:rsidRPr="00C872E5">
      <w:rPr>
        <w:rFonts w:cs="Arial"/>
        <w:b/>
        <w:color w:val="B5AF9D"/>
        <w:sz w:val="22"/>
        <w:szCs w:val="22"/>
      </w:rPr>
      <w:tab/>
      <w:t>Auditing for Parliament</w:t>
    </w:r>
  </w:p>
  <w:p w:rsidR="009E4C2C" w:rsidRPr="000E7E8A" w:rsidRDefault="009E4C2C" w:rsidP="000E7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3D" w:rsidRDefault="008909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pPr>
      <w:ind w:right="360" w:firstLine="360"/>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Pr="00DD511F" w:rsidRDefault="009E4C2C" w:rsidP="00DD511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rsidP="008713AF">
    <w:pPr>
      <w:spacing w:after="0"/>
      <w:ind w:left="-993" w:right="-1179"/>
    </w:pPr>
    <w:r>
      <w:tab/>
    </w:r>
    <w:r>
      <w:tab/>
    </w:r>
  </w:p>
  <w:p w:rsidR="009E4C2C" w:rsidRPr="00112C6B" w:rsidRDefault="009E4C2C" w:rsidP="008713AF">
    <w:pPr>
      <w:tabs>
        <w:tab w:val="left" w:pos="1440"/>
      </w:tabs>
      <w:ind w:left="720" w:firstLine="1260"/>
      <w:rPr>
        <w:rFonts w:cs="Arial"/>
        <w:b/>
        <w:sz w:val="28"/>
        <w:szCs w:val="28"/>
      </w:rPr>
    </w:pPr>
    <w:r>
      <w:rPr>
        <w:rFonts w:cs="Arial"/>
        <w:noProof/>
        <w:lang w:eastAsia="en-AU"/>
      </w:rPr>
      <mc:AlternateContent>
        <mc:Choice Requires="wps">
          <w:drawing>
            <wp:anchor distT="0" distB="0" distL="114300" distR="114300" simplePos="0" relativeHeight="251659264" behindDoc="0" locked="0" layoutInCell="1" allowOverlap="1" wp14:anchorId="59FD4759" wp14:editId="64A710D3">
              <wp:simplePos x="0" y="0"/>
              <wp:positionH relativeFrom="column">
                <wp:posOffset>1143000</wp:posOffset>
              </wp:positionH>
              <wp:positionV relativeFrom="paragraph">
                <wp:posOffset>7620</wp:posOffset>
              </wp:positionV>
              <wp:extent cx="0" cy="457200"/>
              <wp:effectExtent l="13970" t="13970" r="14605" b="14605"/>
              <wp:wrapNone/>
              <wp:docPr id="9" name="Line 4" descr="Decorative line only" title="Decorative line on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alt="Title: Decorative line only - Description: Decorative line only"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" strokeweight="1.5pt"/>
          </w:pict>
        </mc:Fallback>
      </mc:AlternateContent>
    </w:r>
    <w:r>
      <w:rPr>
        <w:rFonts w:cs="Arial"/>
        <w:noProof/>
        <w:lang w:eastAsia="en-AU"/>
      </w:rPr>
      <w:drawing>
        <wp:anchor distT="0" distB="0" distL="114300" distR="114300" simplePos="0" relativeHeight="251658240" behindDoc="0" locked="0" layoutInCell="1" allowOverlap="1" wp14:anchorId="783D5347" wp14:editId="63B0C8D2">
          <wp:simplePos x="0" y="0"/>
          <wp:positionH relativeFrom="column">
            <wp:posOffset>342900</wp:posOffset>
          </wp:positionH>
          <wp:positionV relativeFrom="paragraph">
            <wp:posOffset>-106680</wp:posOffset>
          </wp:positionV>
          <wp:extent cx="772160" cy="670560"/>
          <wp:effectExtent l="0" t="0" r="8890" b="0"/>
          <wp:wrapNone/>
          <wp:docPr id="28" name="Picture 28" descr="NTG Crest"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biLevel thresh="50000"/>
                  </a:blip>
                  <a:srcRect/>
                  <a:stretch>
                    <a:fillRect/>
                  </a:stretch>
                </pic:blipFill>
                <pic:spPr bwMode="auto">
                  <a:xfrm>
                    <a:off x="0" y="0"/>
                    <a:ext cx="772160" cy="670560"/>
                  </a:xfrm>
                  <a:prstGeom prst="rect">
                    <a:avLst/>
                  </a:prstGeom>
                  <a:noFill/>
                </pic:spPr>
              </pic:pic>
            </a:graphicData>
          </a:graphic>
        </wp:anchor>
      </w:drawing>
    </w:r>
    <w:r w:rsidRPr="00112C6B">
      <w:rPr>
        <w:rFonts w:cs="Arial"/>
        <w:b/>
        <w:sz w:val="28"/>
        <w:szCs w:val="28"/>
      </w:rPr>
      <w:t>Northern Territory Auditor-General’s Office</w:t>
    </w:r>
  </w:p>
  <w:p w:rsidR="009E4C2C" w:rsidRPr="00112C6B" w:rsidRDefault="009E4C2C" w:rsidP="008713AF">
    <w:pPr>
      <w:tabs>
        <w:tab w:val="left" w:pos="1440"/>
      </w:tabs>
      <w:rPr>
        <w:rFonts w:cs="Arial"/>
        <w:b/>
        <w:color w:val="B5AF9D"/>
        <w:sz w:val="22"/>
        <w:szCs w:val="22"/>
      </w:rPr>
    </w:pPr>
    <w:r w:rsidRPr="00656898">
      <w:rPr>
        <w:rFonts w:cs="Arial"/>
        <w:b/>
        <w:color w:val="B5AF9D"/>
        <w:sz w:val="22"/>
        <w:szCs w:val="22"/>
      </w:rPr>
      <w:tab/>
    </w:r>
    <w:r w:rsidRPr="00656898">
      <w:rPr>
        <w:rFonts w:cs="Arial"/>
        <w:b/>
        <w:color w:val="B5AF9D"/>
        <w:sz w:val="22"/>
        <w:szCs w:val="22"/>
      </w:rPr>
      <w:tab/>
    </w:r>
    <w:r w:rsidRPr="00112C6B">
      <w:rPr>
        <w:rFonts w:cs="Arial"/>
        <w:b/>
        <w:color w:val="B5AF9D"/>
        <w:sz w:val="22"/>
        <w:szCs w:val="22"/>
      </w:rPr>
      <w:t>Auditing for Parliament</w:t>
    </w:r>
  </w:p>
  <w:p w:rsidR="009E4C2C" w:rsidRDefault="009E4C2C" w:rsidP="008713AF">
    <w:pPr>
      <w:ind w:right="360" w:firstLine="360"/>
      <w:jc w:val="center"/>
      <w:rPr>
        <w:b/>
      </w:rPr>
    </w:pPr>
  </w:p>
  <w:p w:rsidR="009E4C2C" w:rsidRDefault="009E4C2C" w:rsidP="008713AF">
    <w:pPr>
      <w:spacing w:after="60"/>
      <w:ind w:right="360" w:firstLine="360"/>
      <w:jc w:val="center"/>
      <w:rPr>
        <w:b/>
        <w:i/>
      </w:rPr>
    </w:pPr>
  </w:p>
  <w:p w:rsidR="009E4C2C" w:rsidRPr="008713AF" w:rsidRDefault="009E4C2C" w:rsidP="008713A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rsidP="00DD511F">
    <w:pPr>
      <w:spacing w:after="0"/>
      <w:ind w:left="-993" w:right="-1179"/>
    </w:pPr>
    <w:r>
      <w:tab/>
    </w:r>
    <w:r>
      <w:tab/>
    </w:r>
  </w:p>
  <w:p w:rsidR="009E4C2C" w:rsidRPr="00112C6B" w:rsidRDefault="009E4C2C" w:rsidP="00DD511F">
    <w:pPr>
      <w:tabs>
        <w:tab w:val="left" w:pos="1440"/>
      </w:tabs>
      <w:ind w:left="720" w:firstLine="1260"/>
      <w:rPr>
        <w:rFonts w:cs="Arial"/>
        <w:b/>
        <w:sz w:val="28"/>
        <w:szCs w:val="28"/>
      </w:rPr>
    </w:pPr>
    <w:r w:rsidRPr="00112C6B">
      <w:rPr>
        <w:rFonts w:cs="Arial"/>
        <w:b/>
        <w:sz w:val="28"/>
        <w:szCs w:val="28"/>
      </w:rPr>
      <w:t>Northern Territory Auditor-General’s Office</w:t>
    </w:r>
  </w:p>
  <w:p w:rsidR="009E4C2C" w:rsidRPr="00112C6B" w:rsidRDefault="009E4C2C" w:rsidP="00DD511F">
    <w:pPr>
      <w:tabs>
        <w:tab w:val="left" w:pos="1440"/>
      </w:tabs>
      <w:rPr>
        <w:rFonts w:cs="Arial"/>
        <w:b/>
        <w:color w:val="B5AF9D"/>
        <w:sz w:val="22"/>
        <w:szCs w:val="22"/>
      </w:rPr>
    </w:pPr>
    <w:r w:rsidRPr="00656898">
      <w:rPr>
        <w:rFonts w:cs="Arial"/>
        <w:b/>
        <w:color w:val="B5AF9D"/>
        <w:sz w:val="22"/>
        <w:szCs w:val="22"/>
      </w:rPr>
      <w:tab/>
    </w:r>
    <w:r w:rsidRPr="00656898">
      <w:rPr>
        <w:rFonts w:cs="Arial"/>
        <w:b/>
        <w:color w:val="B5AF9D"/>
        <w:sz w:val="22"/>
        <w:szCs w:val="22"/>
      </w:rPr>
      <w:tab/>
    </w:r>
    <w:r w:rsidRPr="00112C6B">
      <w:rPr>
        <w:rFonts w:cs="Arial"/>
        <w:b/>
        <w:color w:val="B5AF9D"/>
        <w:sz w:val="22"/>
        <w:szCs w:val="22"/>
      </w:rPr>
      <w:t>Auditing for Parliament</w:t>
    </w:r>
  </w:p>
  <w:p w:rsidR="009E4C2C" w:rsidRDefault="009E4C2C" w:rsidP="00DD511F">
    <w:pPr>
      <w:ind w:right="360" w:firstLine="360"/>
      <w:jc w:val="center"/>
      <w:rPr>
        <w:b/>
      </w:rPr>
    </w:pPr>
  </w:p>
  <w:p w:rsidR="009E4C2C" w:rsidRDefault="009E4C2C" w:rsidP="00DD511F">
    <w:pPr>
      <w:spacing w:after="60"/>
      <w:ind w:right="360" w:firstLine="360"/>
      <w:jc w:val="center"/>
      <w:rPr>
        <w:b/>
        <w: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C" w:rsidRDefault="009E4C2C">
    <w:pPr>
      <w:ind w:right="360" w:firstLine="36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829"/>
    <w:multiLevelType w:val="multilevel"/>
    <w:tmpl w:val="C34E3EE2"/>
    <w:lvl w:ilvl="0">
      <w:start w:val="1"/>
      <w:numFmt w:val="bullet"/>
      <w:pStyle w:val="BulletedBody"/>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 MT Std"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 MT Std" w:hint="default"/>
      </w:rPr>
    </w:lvl>
    <w:lvl w:ilvl="8">
      <w:start w:val="1"/>
      <w:numFmt w:val="bullet"/>
      <w:lvlText w:val=""/>
      <w:lvlJc w:val="left"/>
      <w:pPr>
        <w:tabs>
          <w:tab w:val="num" w:pos="8280"/>
        </w:tabs>
        <w:ind w:left="8280" w:hanging="360"/>
      </w:pPr>
      <w:rPr>
        <w:rFonts w:ascii="Wingdings" w:hAnsi="Wingdings" w:hint="default"/>
      </w:rPr>
    </w:lvl>
  </w:abstractNum>
  <w:abstractNum w:abstractNumId="1">
    <w:nsid w:val="088C1823"/>
    <w:multiLevelType w:val="multilevel"/>
    <w:tmpl w:val="31AE7188"/>
    <w:lvl w:ilvl="0">
      <w:start w:val="1"/>
      <w:numFmt w:val="bullet"/>
      <w:lvlText w:val=""/>
      <w:lvlJc w:val="left"/>
      <w:pPr>
        <w:tabs>
          <w:tab w:val="num" w:pos="1211"/>
        </w:tabs>
        <w:ind w:left="1211" w:hanging="360"/>
      </w:pPr>
      <w:rPr>
        <w:rFonts w:ascii="Wingdings" w:hAnsi="Wingdings" w:hint="default"/>
      </w:rPr>
    </w:lvl>
    <w:lvl w:ilvl="1">
      <w:start w:val="1"/>
      <w:numFmt w:val="bullet"/>
      <w:lvlText w:val=""/>
      <w:lvlJc w:val="left"/>
      <w:pPr>
        <w:tabs>
          <w:tab w:val="num" w:pos="1571"/>
        </w:tabs>
        <w:ind w:left="1571" w:hanging="360"/>
      </w:pPr>
      <w:rPr>
        <w:rFonts w:ascii="Symbol" w:hAnsi="Symbol"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
    <w:nsid w:val="0D5939D9"/>
    <w:multiLevelType w:val="hybridMultilevel"/>
    <w:tmpl w:val="F6327FD0"/>
    <w:lvl w:ilvl="0" w:tplc="4AF870AC">
      <w:numFmt w:val="bullet"/>
      <w:lvlText w:val="-"/>
      <w:lvlJc w:val="left"/>
      <w:pPr>
        <w:ind w:left="1571" w:hanging="360"/>
      </w:pPr>
      <w:rPr>
        <w:rFonts w:ascii="Calibri" w:eastAsiaTheme="minorHAnsi" w:hAnsi="Calibri" w:cs="Calibri"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0D5C340E"/>
    <w:multiLevelType w:val="hybridMultilevel"/>
    <w:tmpl w:val="6A1E76E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11AA53D1"/>
    <w:multiLevelType w:val="hybridMultilevel"/>
    <w:tmpl w:val="E33C0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964AE2"/>
    <w:multiLevelType w:val="hybridMultilevel"/>
    <w:tmpl w:val="F5AC6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6F0ADA"/>
    <w:multiLevelType w:val="hybridMultilevel"/>
    <w:tmpl w:val="040236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96247D3"/>
    <w:multiLevelType w:val="hybridMultilevel"/>
    <w:tmpl w:val="6AB2CB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31332F19"/>
    <w:multiLevelType w:val="hybridMultilevel"/>
    <w:tmpl w:val="0DBE8B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nsid w:val="31F71635"/>
    <w:multiLevelType w:val="hybridMultilevel"/>
    <w:tmpl w:val="4DAC3C1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32412773"/>
    <w:multiLevelType w:val="hybridMultilevel"/>
    <w:tmpl w:val="4BB2684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nsid w:val="3635487C"/>
    <w:multiLevelType w:val="multilevel"/>
    <w:tmpl w:val="05E0AD3C"/>
    <w:lvl w:ilvl="0">
      <w:start w:val="1"/>
      <w:numFmt w:val="decimal"/>
      <w:pStyle w:val="AGRBodyCom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6860376"/>
    <w:multiLevelType w:val="multilevel"/>
    <w:tmpl w:val="41B07F7E"/>
    <w:lvl w:ilvl="0">
      <w:start w:val="1"/>
      <w:numFmt w:val="bullet"/>
      <w:pStyle w:val="AGRBulletText"/>
      <w:lvlText w:val=""/>
      <w:lvlJc w:val="left"/>
      <w:pPr>
        <w:tabs>
          <w:tab w:val="num" w:pos="1211"/>
        </w:tabs>
        <w:ind w:left="1211" w:hanging="360"/>
      </w:pPr>
      <w:rPr>
        <w:rFonts w:ascii="Wingdings" w:hAnsi="Wingdings" w:hint="default"/>
        <w:b w:val="0"/>
        <w:i w:val="0"/>
        <w:sz w:val="22"/>
        <w:szCs w:val="22"/>
      </w:rPr>
    </w:lvl>
    <w:lvl w:ilvl="1">
      <w:start w:val="1"/>
      <w:numFmt w:val="bullet"/>
      <w:lvlText w:val="-"/>
      <w:lvlJc w:val="left"/>
      <w:pPr>
        <w:tabs>
          <w:tab w:val="num" w:pos="1571"/>
        </w:tabs>
        <w:ind w:left="1571" w:hanging="360"/>
      </w:pPr>
      <w:rPr>
        <w:rFonts w:ascii="Arial" w:hAnsi="Arial" w:hint="default"/>
        <w:b w:val="0"/>
        <w:i w:val="0"/>
        <w:sz w:val="28"/>
        <w:szCs w:val="28"/>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3">
    <w:nsid w:val="3B893794"/>
    <w:multiLevelType w:val="hybridMultilevel"/>
    <w:tmpl w:val="C4C4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C66375"/>
    <w:multiLevelType w:val="hybridMultilevel"/>
    <w:tmpl w:val="EA78B23C"/>
    <w:lvl w:ilvl="0" w:tplc="4AF870A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6AF6325"/>
    <w:multiLevelType w:val="singleLevel"/>
    <w:tmpl w:val="CDCA4506"/>
    <w:lvl w:ilvl="0">
      <w:start w:val="1"/>
      <w:numFmt w:val="lowerRoman"/>
      <w:pStyle w:val="ListRoman"/>
      <w:lvlText w:val="%1)"/>
      <w:lvlJc w:val="left"/>
      <w:pPr>
        <w:tabs>
          <w:tab w:val="num" w:pos="425"/>
        </w:tabs>
        <w:ind w:left="425" w:hanging="425"/>
      </w:pPr>
    </w:lvl>
  </w:abstractNum>
  <w:abstractNum w:abstractNumId="16">
    <w:nsid w:val="49BE3511"/>
    <w:multiLevelType w:val="multilevel"/>
    <w:tmpl w:val="804C714E"/>
    <w:lvl w:ilvl="0">
      <w:start w:val="1"/>
      <w:numFmt w:val="decimal"/>
      <w:pStyle w:val="ListBullet"/>
      <w:lvlText w:val=""/>
      <w:lvlJc w:val="left"/>
      <w:pPr>
        <w:tabs>
          <w:tab w:val="num" w:pos="425"/>
        </w:tabs>
        <w:ind w:left="425" w:hanging="425"/>
      </w:pPr>
      <w:rPr>
        <w:rFonts w:ascii="Wingdings" w:hAnsi="Wingdings" w:hint="default"/>
        <w:sz w:val="18"/>
      </w:rPr>
    </w:lvl>
    <w:lvl w:ilvl="1">
      <w:start w:val="1"/>
      <w:numFmt w:val="lowerLetter"/>
      <w:pStyle w:val="ListBullet2"/>
      <w:lvlText w:val=""/>
      <w:lvlJc w:val="left"/>
      <w:pPr>
        <w:tabs>
          <w:tab w:val="num" w:pos="850"/>
        </w:tabs>
        <w:ind w:left="850" w:hanging="425"/>
      </w:pPr>
      <w:rPr>
        <w:rFonts w:ascii="Symbol" w:hAnsi="Symbol"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FA2F79"/>
    <w:multiLevelType w:val="hybridMultilevel"/>
    <w:tmpl w:val="FCE2F432"/>
    <w:lvl w:ilvl="0" w:tplc="59F44E20">
      <w:start w:val="1"/>
      <w:numFmt w:val="bullet"/>
      <w:pStyle w:val="dotpoint"/>
      <w:lvlText w:val=""/>
      <w:lvlJc w:val="left"/>
      <w:pPr>
        <w:tabs>
          <w:tab w:val="num" w:pos="1701"/>
        </w:tabs>
        <w:ind w:left="1701" w:hanging="283"/>
      </w:pPr>
      <w:rPr>
        <w:rFonts w:ascii="Symbol" w:hAnsi="Symbol" w:hint="default"/>
      </w:rPr>
    </w:lvl>
    <w:lvl w:ilvl="1" w:tplc="0C090003">
      <w:start w:val="1"/>
      <w:numFmt w:val="bullet"/>
      <w:lvlText w:val="o"/>
      <w:lvlJc w:val="left"/>
      <w:pPr>
        <w:tabs>
          <w:tab w:val="num" w:pos="-1352"/>
        </w:tabs>
        <w:ind w:left="-1352" w:hanging="360"/>
      </w:pPr>
      <w:rPr>
        <w:rFonts w:ascii="Courier New" w:hAnsi="Courier New" w:cs="Courier New" w:hint="default"/>
      </w:rPr>
    </w:lvl>
    <w:lvl w:ilvl="2" w:tplc="0C090005">
      <w:start w:val="1"/>
      <w:numFmt w:val="bullet"/>
      <w:lvlText w:val=""/>
      <w:lvlJc w:val="left"/>
      <w:pPr>
        <w:tabs>
          <w:tab w:val="num" w:pos="-632"/>
        </w:tabs>
        <w:ind w:left="-632" w:hanging="360"/>
      </w:pPr>
      <w:rPr>
        <w:rFonts w:ascii="Wingdings" w:hAnsi="Wingdings" w:hint="default"/>
      </w:rPr>
    </w:lvl>
    <w:lvl w:ilvl="3" w:tplc="0C090001">
      <w:start w:val="1"/>
      <w:numFmt w:val="bullet"/>
      <w:lvlText w:val=""/>
      <w:lvlJc w:val="left"/>
      <w:pPr>
        <w:tabs>
          <w:tab w:val="num" w:pos="88"/>
        </w:tabs>
        <w:ind w:left="88" w:hanging="360"/>
      </w:pPr>
      <w:rPr>
        <w:rFonts w:ascii="Symbol" w:hAnsi="Symbol" w:hint="default"/>
      </w:rPr>
    </w:lvl>
    <w:lvl w:ilvl="4" w:tplc="0C090003">
      <w:start w:val="1"/>
      <w:numFmt w:val="bullet"/>
      <w:lvlText w:val="o"/>
      <w:lvlJc w:val="left"/>
      <w:pPr>
        <w:tabs>
          <w:tab w:val="num" w:pos="808"/>
        </w:tabs>
        <w:ind w:left="808" w:hanging="360"/>
      </w:pPr>
      <w:rPr>
        <w:rFonts w:ascii="Courier New" w:hAnsi="Courier New" w:cs="Courier New" w:hint="default"/>
      </w:rPr>
    </w:lvl>
    <w:lvl w:ilvl="5" w:tplc="0C090005" w:tentative="1">
      <w:start w:val="1"/>
      <w:numFmt w:val="bullet"/>
      <w:lvlText w:val=""/>
      <w:lvlJc w:val="left"/>
      <w:pPr>
        <w:tabs>
          <w:tab w:val="num" w:pos="1528"/>
        </w:tabs>
        <w:ind w:left="1528" w:hanging="360"/>
      </w:pPr>
      <w:rPr>
        <w:rFonts w:ascii="Wingdings" w:hAnsi="Wingdings" w:hint="default"/>
      </w:rPr>
    </w:lvl>
    <w:lvl w:ilvl="6" w:tplc="0C090001" w:tentative="1">
      <w:start w:val="1"/>
      <w:numFmt w:val="bullet"/>
      <w:lvlText w:val=""/>
      <w:lvlJc w:val="left"/>
      <w:pPr>
        <w:tabs>
          <w:tab w:val="num" w:pos="2248"/>
        </w:tabs>
        <w:ind w:left="2248" w:hanging="360"/>
      </w:pPr>
      <w:rPr>
        <w:rFonts w:ascii="Symbol" w:hAnsi="Symbol" w:hint="default"/>
      </w:rPr>
    </w:lvl>
    <w:lvl w:ilvl="7" w:tplc="0C090003" w:tentative="1">
      <w:start w:val="1"/>
      <w:numFmt w:val="bullet"/>
      <w:lvlText w:val="o"/>
      <w:lvlJc w:val="left"/>
      <w:pPr>
        <w:tabs>
          <w:tab w:val="num" w:pos="2968"/>
        </w:tabs>
        <w:ind w:left="2968" w:hanging="360"/>
      </w:pPr>
      <w:rPr>
        <w:rFonts w:ascii="Courier New" w:hAnsi="Courier New" w:cs="Courier New" w:hint="default"/>
      </w:rPr>
    </w:lvl>
    <w:lvl w:ilvl="8" w:tplc="0C090005" w:tentative="1">
      <w:start w:val="1"/>
      <w:numFmt w:val="bullet"/>
      <w:lvlText w:val=""/>
      <w:lvlJc w:val="left"/>
      <w:pPr>
        <w:tabs>
          <w:tab w:val="num" w:pos="3688"/>
        </w:tabs>
        <w:ind w:left="3688" w:hanging="360"/>
      </w:pPr>
      <w:rPr>
        <w:rFonts w:ascii="Wingdings" w:hAnsi="Wingdings" w:hint="default"/>
      </w:rPr>
    </w:lvl>
  </w:abstractNum>
  <w:abstractNum w:abstractNumId="18">
    <w:nsid w:val="4F5A71C0"/>
    <w:multiLevelType w:val="hybridMultilevel"/>
    <w:tmpl w:val="4462E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2D6A62"/>
    <w:multiLevelType w:val="hybridMultilevel"/>
    <w:tmpl w:val="18F6D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2B5800"/>
    <w:multiLevelType w:val="singleLevel"/>
    <w:tmpl w:val="BC161856"/>
    <w:lvl w:ilvl="0">
      <w:start w:val="1"/>
      <w:numFmt w:val="decimal"/>
      <w:pStyle w:val="ListNumber"/>
      <w:lvlText w:val="%1."/>
      <w:lvlJc w:val="left"/>
      <w:pPr>
        <w:tabs>
          <w:tab w:val="num" w:pos="425"/>
        </w:tabs>
        <w:ind w:left="425" w:hanging="425"/>
      </w:pPr>
    </w:lvl>
  </w:abstractNum>
  <w:abstractNum w:abstractNumId="21">
    <w:nsid w:val="69617575"/>
    <w:multiLevelType w:val="hybridMultilevel"/>
    <w:tmpl w:val="A22277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nsid w:val="6BA3141C"/>
    <w:multiLevelType w:val="hybridMultilevel"/>
    <w:tmpl w:val="6F7C40F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nsid w:val="7A7A694C"/>
    <w:multiLevelType w:val="hybridMultilevel"/>
    <w:tmpl w:val="C3646C7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7CFC1EBB"/>
    <w:multiLevelType w:val="singleLevel"/>
    <w:tmpl w:val="0C3EE932"/>
    <w:lvl w:ilvl="0">
      <w:start w:val="1"/>
      <w:numFmt w:val="lowerLetter"/>
      <w:pStyle w:val="ListAlpha"/>
      <w:lvlText w:val="%1)"/>
      <w:lvlJc w:val="left"/>
      <w:pPr>
        <w:tabs>
          <w:tab w:val="num" w:pos="425"/>
        </w:tabs>
        <w:ind w:left="425" w:hanging="425"/>
      </w:pPr>
    </w:lvl>
  </w:abstractNum>
  <w:num w:numId="1">
    <w:abstractNumId w:val="0"/>
  </w:num>
  <w:num w:numId="2">
    <w:abstractNumId w:val="16"/>
  </w:num>
  <w:num w:numId="3">
    <w:abstractNumId w:val="20"/>
  </w:num>
  <w:num w:numId="4">
    <w:abstractNumId w:val="24"/>
  </w:num>
  <w:num w:numId="5">
    <w:abstractNumId w:val="15"/>
  </w:num>
  <w:num w:numId="6">
    <w:abstractNumId w:val="17"/>
  </w:num>
  <w:num w:numId="7">
    <w:abstractNumId w:val="11"/>
  </w:num>
  <w:num w:numId="8">
    <w:abstractNumId w:val="8"/>
  </w:num>
  <w:num w:numId="9">
    <w:abstractNumId w:val="10"/>
  </w:num>
  <w:num w:numId="10">
    <w:abstractNumId w:val="22"/>
  </w:num>
  <w:num w:numId="11">
    <w:abstractNumId w:val="3"/>
  </w:num>
  <w:num w:numId="12">
    <w:abstractNumId w:val="21"/>
  </w:num>
  <w:num w:numId="13">
    <w:abstractNumId w:val="9"/>
  </w:num>
  <w:num w:numId="14">
    <w:abstractNumId w:val="12"/>
  </w:num>
  <w:num w:numId="15">
    <w:abstractNumId w:val="12"/>
  </w:num>
  <w:num w:numId="16">
    <w:abstractNumId w:val="12"/>
  </w:num>
  <w:num w:numId="17">
    <w:abstractNumId w:val="11"/>
  </w:num>
  <w:num w:numId="18">
    <w:abstractNumId w:val="7"/>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
  </w:num>
  <w:num w:numId="39">
    <w:abstractNumId w:val="6"/>
  </w:num>
  <w:num w:numId="40">
    <w:abstractNumId w:val="23"/>
  </w:num>
  <w:num w:numId="41">
    <w:abstractNumId w:val="5"/>
  </w:num>
  <w:num w:numId="42">
    <w:abstractNumId w:val="4"/>
  </w:num>
  <w:num w:numId="43">
    <w:abstractNumId w:val="18"/>
  </w:num>
  <w:num w:numId="44">
    <w:abstractNumId w:val="13"/>
  </w:num>
  <w:num w:numId="45">
    <w:abstractNumId w:val="12"/>
  </w:num>
  <w:num w:numId="46">
    <w:abstractNumId w:val="19"/>
  </w:num>
  <w:num w:numId="4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isplayBackgroundShap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04449" style="mso-position-horizontal-relative:page;mso-position-vertical-relative:page" fillcolor="white" stroke="f">
      <v:fill color="white"/>
      <v:stroke weight="1pt"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A0"/>
    <w:rsid w:val="00000015"/>
    <w:rsid w:val="00000A68"/>
    <w:rsid w:val="00002BC2"/>
    <w:rsid w:val="00003AA5"/>
    <w:rsid w:val="00005103"/>
    <w:rsid w:val="00007B37"/>
    <w:rsid w:val="00010A26"/>
    <w:rsid w:val="00012F3C"/>
    <w:rsid w:val="0001421C"/>
    <w:rsid w:val="0001599C"/>
    <w:rsid w:val="00016650"/>
    <w:rsid w:val="00017C94"/>
    <w:rsid w:val="000219A2"/>
    <w:rsid w:val="00021DA0"/>
    <w:rsid w:val="00022160"/>
    <w:rsid w:val="000228AE"/>
    <w:rsid w:val="000254B0"/>
    <w:rsid w:val="00025C55"/>
    <w:rsid w:val="00026092"/>
    <w:rsid w:val="0002747C"/>
    <w:rsid w:val="000276EB"/>
    <w:rsid w:val="00030C09"/>
    <w:rsid w:val="0003191B"/>
    <w:rsid w:val="00033CC3"/>
    <w:rsid w:val="00033FDD"/>
    <w:rsid w:val="00034C8B"/>
    <w:rsid w:val="00035463"/>
    <w:rsid w:val="0003587F"/>
    <w:rsid w:val="00036669"/>
    <w:rsid w:val="00036698"/>
    <w:rsid w:val="00037936"/>
    <w:rsid w:val="00037E2D"/>
    <w:rsid w:val="00041312"/>
    <w:rsid w:val="000415B7"/>
    <w:rsid w:val="00042480"/>
    <w:rsid w:val="00042BE8"/>
    <w:rsid w:val="00042C3B"/>
    <w:rsid w:val="000431B4"/>
    <w:rsid w:val="0004367E"/>
    <w:rsid w:val="00043DEE"/>
    <w:rsid w:val="00045B75"/>
    <w:rsid w:val="00046369"/>
    <w:rsid w:val="00050155"/>
    <w:rsid w:val="0005264B"/>
    <w:rsid w:val="000546B6"/>
    <w:rsid w:val="000579EA"/>
    <w:rsid w:val="000600C9"/>
    <w:rsid w:val="000603D9"/>
    <w:rsid w:val="00060AEC"/>
    <w:rsid w:val="00061C8B"/>
    <w:rsid w:val="00061E92"/>
    <w:rsid w:val="00062148"/>
    <w:rsid w:val="00062DD0"/>
    <w:rsid w:val="00063010"/>
    <w:rsid w:val="000657B1"/>
    <w:rsid w:val="00066B06"/>
    <w:rsid w:val="000701CA"/>
    <w:rsid w:val="000717FB"/>
    <w:rsid w:val="00073266"/>
    <w:rsid w:val="00073A4C"/>
    <w:rsid w:val="00074352"/>
    <w:rsid w:val="00074668"/>
    <w:rsid w:val="00080532"/>
    <w:rsid w:val="000805E1"/>
    <w:rsid w:val="000845E5"/>
    <w:rsid w:val="00084E3B"/>
    <w:rsid w:val="00084F24"/>
    <w:rsid w:val="000873D9"/>
    <w:rsid w:val="00090A12"/>
    <w:rsid w:val="0009611D"/>
    <w:rsid w:val="00097369"/>
    <w:rsid w:val="00097D7D"/>
    <w:rsid w:val="000A0766"/>
    <w:rsid w:val="000A17F0"/>
    <w:rsid w:val="000A1A35"/>
    <w:rsid w:val="000A2684"/>
    <w:rsid w:val="000A3A5D"/>
    <w:rsid w:val="000A5B92"/>
    <w:rsid w:val="000A5EBE"/>
    <w:rsid w:val="000A5F64"/>
    <w:rsid w:val="000A60A0"/>
    <w:rsid w:val="000B1B9E"/>
    <w:rsid w:val="000B447C"/>
    <w:rsid w:val="000B5FC9"/>
    <w:rsid w:val="000C58F1"/>
    <w:rsid w:val="000C72FD"/>
    <w:rsid w:val="000C7A75"/>
    <w:rsid w:val="000D0F1B"/>
    <w:rsid w:val="000D1C34"/>
    <w:rsid w:val="000D1F52"/>
    <w:rsid w:val="000D2159"/>
    <w:rsid w:val="000D2670"/>
    <w:rsid w:val="000D3E41"/>
    <w:rsid w:val="000D3F97"/>
    <w:rsid w:val="000D474E"/>
    <w:rsid w:val="000D6262"/>
    <w:rsid w:val="000E21E5"/>
    <w:rsid w:val="000E3F86"/>
    <w:rsid w:val="000E428C"/>
    <w:rsid w:val="000E560B"/>
    <w:rsid w:val="000E77C5"/>
    <w:rsid w:val="000E7E8A"/>
    <w:rsid w:val="000F0163"/>
    <w:rsid w:val="000F56AD"/>
    <w:rsid w:val="000F6F9B"/>
    <w:rsid w:val="000F71F1"/>
    <w:rsid w:val="0010169A"/>
    <w:rsid w:val="001018F7"/>
    <w:rsid w:val="00102F5F"/>
    <w:rsid w:val="001056CC"/>
    <w:rsid w:val="00105DA4"/>
    <w:rsid w:val="001072F0"/>
    <w:rsid w:val="00107A7A"/>
    <w:rsid w:val="0011037D"/>
    <w:rsid w:val="0011205A"/>
    <w:rsid w:val="001125E4"/>
    <w:rsid w:val="00112738"/>
    <w:rsid w:val="001134E9"/>
    <w:rsid w:val="001139C7"/>
    <w:rsid w:val="00114C3C"/>
    <w:rsid w:val="00116CC4"/>
    <w:rsid w:val="00120775"/>
    <w:rsid w:val="001218F7"/>
    <w:rsid w:val="00121BB2"/>
    <w:rsid w:val="0012491C"/>
    <w:rsid w:val="00125EA2"/>
    <w:rsid w:val="00130D0F"/>
    <w:rsid w:val="00131977"/>
    <w:rsid w:val="00134C8F"/>
    <w:rsid w:val="00135B24"/>
    <w:rsid w:val="001376B7"/>
    <w:rsid w:val="00140DD9"/>
    <w:rsid w:val="001410DB"/>
    <w:rsid w:val="00143F28"/>
    <w:rsid w:val="00144197"/>
    <w:rsid w:val="001444A0"/>
    <w:rsid w:val="001447C2"/>
    <w:rsid w:val="00147E6C"/>
    <w:rsid w:val="00150A9B"/>
    <w:rsid w:val="00150AFA"/>
    <w:rsid w:val="00151479"/>
    <w:rsid w:val="00151A35"/>
    <w:rsid w:val="001529F0"/>
    <w:rsid w:val="00152EB7"/>
    <w:rsid w:val="001548A6"/>
    <w:rsid w:val="00155D50"/>
    <w:rsid w:val="00156076"/>
    <w:rsid w:val="00156287"/>
    <w:rsid w:val="0015656F"/>
    <w:rsid w:val="00156EF0"/>
    <w:rsid w:val="001608C3"/>
    <w:rsid w:val="001610DF"/>
    <w:rsid w:val="00165A60"/>
    <w:rsid w:val="00165BCF"/>
    <w:rsid w:val="00165CAA"/>
    <w:rsid w:val="001669C2"/>
    <w:rsid w:val="00166AEE"/>
    <w:rsid w:val="00167D77"/>
    <w:rsid w:val="001708CB"/>
    <w:rsid w:val="00171F75"/>
    <w:rsid w:val="001731BD"/>
    <w:rsid w:val="00176951"/>
    <w:rsid w:val="00177A69"/>
    <w:rsid w:val="00177B01"/>
    <w:rsid w:val="00177BC6"/>
    <w:rsid w:val="001833A1"/>
    <w:rsid w:val="00184831"/>
    <w:rsid w:val="001850D9"/>
    <w:rsid w:val="00187736"/>
    <w:rsid w:val="00190059"/>
    <w:rsid w:val="0019027F"/>
    <w:rsid w:val="001919F5"/>
    <w:rsid w:val="0019322D"/>
    <w:rsid w:val="00194ACC"/>
    <w:rsid w:val="00195C54"/>
    <w:rsid w:val="00196505"/>
    <w:rsid w:val="00196599"/>
    <w:rsid w:val="00196868"/>
    <w:rsid w:val="001A05B5"/>
    <w:rsid w:val="001A14C6"/>
    <w:rsid w:val="001A5800"/>
    <w:rsid w:val="001B68B4"/>
    <w:rsid w:val="001B7EE1"/>
    <w:rsid w:val="001C139D"/>
    <w:rsid w:val="001C13B3"/>
    <w:rsid w:val="001C270F"/>
    <w:rsid w:val="001C2859"/>
    <w:rsid w:val="001C406D"/>
    <w:rsid w:val="001C4808"/>
    <w:rsid w:val="001C703A"/>
    <w:rsid w:val="001C72AB"/>
    <w:rsid w:val="001C773D"/>
    <w:rsid w:val="001C7A8A"/>
    <w:rsid w:val="001C7FE2"/>
    <w:rsid w:val="001D0C0C"/>
    <w:rsid w:val="001D0C1B"/>
    <w:rsid w:val="001D0C97"/>
    <w:rsid w:val="001D19E8"/>
    <w:rsid w:val="001D2779"/>
    <w:rsid w:val="001D2F0B"/>
    <w:rsid w:val="001D3A1A"/>
    <w:rsid w:val="001D445C"/>
    <w:rsid w:val="001D448B"/>
    <w:rsid w:val="001D49AD"/>
    <w:rsid w:val="001D59D1"/>
    <w:rsid w:val="001D6EE1"/>
    <w:rsid w:val="001D702B"/>
    <w:rsid w:val="001D77C2"/>
    <w:rsid w:val="001D7A16"/>
    <w:rsid w:val="001E3A79"/>
    <w:rsid w:val="001E4BE1"/>
    <w:rsid w:val="001E518F"/>
    <w:rsid w:val="001E5272"/>
    <w:rsid w:val="001E6473"/>
    <w:rsid w:val="001E732F"/>
    <w:rsid w:val="001E7375"/>
    <w:rsid w:val="001F13A9"/>
    <w:rsid w:val="001F1597"/>
    <w:rsid w:val="001F7495"/>
    <w:rsid w:val="0020043B"/>
    <w:rsid w:val="00200FDD"/>
    <w:rsid w:val="00201259"/>
    <w:rsid w:val="0020276C"/>
    <w:rsid w:val="0020494B"/>
    <w:rsid w:val="0020547F"/>
    <w:rsid w:val="00205581"/>
    <w:rsid w:val="00205856"/>
    <w:rsid w:val="00206E2A"/>
    <w:rsid w:val="00210FB6"/>
    <w:rsid w:val="002123A2"/>
    <w:rsid w:val="00212B34"/>
    <w:rsid w:val="00214631"/>
    <w:rsid w:val="00215C91"/>
    <w:rsid w:val="00217EEF"/>
    <w:rsid w:val="00220BF7"/>
    <w:rsid w:val="002250EC"/>
    <w:rsid w:val="0022565B"/>
    <w:rsid w:val="0023215F"/>
    <w:rsid w:val="0023413D"/>
    <w:rsid w:val="002342BC"/>
    <w:rsid w:val="002345B6"/>
    <w:rsid w:val="00236AB7"/>
    <w:rsid w:val="002416EA"/>
    <w:rsid w:val="00241989"/>
    <w:rsid w:val="00245DA7"/>
    <w:rsid w:val="00245E35"/>
    <w:rsid w:val="002465F7"/>
    <w:rsid w:val="00250850"/>
    <w:rsid w:val="00251671"/>
    <w:rsid w:val="00251B26"/>
    <w:rsid w:val="00255C81"/>
    <w:rsid w:val="00256112"/>
    <w:rsid w:val="0025643C"/>
    <w:rsid w:val="00256DC0"/>
    <w:rsid w:val="00257681"/>
    <w:rsid w:val="00257AB7"/>
    <w:rsid w:val="00260FD6"/>
    <w:rsid w:val="00262380"/>
    <w:rsid w:val="00262E28"/>
    <w:rsid w:val="00263B89"/>
    <w:rsid w:val="00264DF3"/>
    <w:rsid w:val="00266A3F"/>
    <w:rsid w:val="00267B6D"/>
    <w:rsid w:val="002713CE"/>
    <w:rsid w:val="00273311"/>
    <w:rsid w:val="002748BF"/>
    <w:rsid w:val="002765A9"/>
    <w:rsid w:val="0027672D"/>
    <w:rsid w:val="00280365"/>
    <w:rsid w:val="002810BD"/>
    <w:rsid w:val="002816A9"/>
    <w:rsid w:val="00281CAD"/>
    <w:rsid w:val="0028294C"/>
    <w:rsid w:val="00284B06"/>
    <w:rsid w:val="002850B5"/>
    <w:rsid w:val="002865C8"/>
    <w:rsid w:val="00286C62"/>
    <w:rsid w:val="00287A64"/>
    <w:rsid w:val="00287F26"/>
    <w:rsid w:val="00290917"/>
    <w:rsid w:val="00290E52"/>
    <w:rsid w:val="00291892"/>
    <w:rsid w:val="002926D8"/>
    <w:rsid w:val="00293C4C"/>
    <w:rsid w:val="00294167"/>
    <w:rsid w:val="00294E71"/>
    <w:rsid w:val="00294FEE"/>
    <w:rsid w:val="002A31A9"/>
    <w:rsid w:val="002A33F5"/>
    <w:rsid w:val="002A5DB3"/>
    <w:rsid w:val="002A7641"/>
    <w:rsid w:val="002A77CD"/>
    <w:rsid w:val="002B00AC"/>
    <w:rsid w:val="002B0488"/>
    <w:rsid w:val="002B0B11"/>
    <w:rsid w:val="002B1FDE"/>
    <w:rsid w:val="002B3096"/>
    <w:rsid w:val="002B361C"/>
    <w:rsid w:val="002B3B1D"/>
    <w:rsid w:val="002B5EFA"/>
    <w:rsid w:val="002B65A8"/>
    <w:rsid w:val="002B710A"/>
    <w:rsid w:val="002C0576"/>
    <w:rsid w:val="002C3EC9"/>
    <w:rsid w:val="002C4B88"/>
    <w:rsid w:val="002C583B"/>
    <w:rsid w:val="002C6836"/>
    <w:rsid w:val="002C6B7F"/>
    <w:rsid w:val="002D0212"/>
    <w:rsid w:val="002D0A24"/>
    <w:rsid w:val="002D4B8D"/>
    <w:rsid w:val="002D7558"/>
    <w:rsid w:val="002D7FFB"/>
    <w:rsid w:val="002E0480"/>
    <w:rsid w:val="002E0CA5"/>
    <w:rsid w:val="002E19A8"/>
    <w:rsid w:val="002E32E0"/>
    <w:rsid w:val="002E6702"/>
    <w:rsid w:val="002E6E53"/>
    <w:rsid w:val="002E779D"/>
    <w:rsid w:val="002F13CF"/>
    <w:rsid w:val="002F19E8"/>
    <w:rsid w:val="002F2388"/>
    <w:rsid w:val="002F2E0C"/>
    <w:rsid w:val="002F4BB0"/>
    <w:rsid w:val="002F4F0B"/>
    <w:rsid w:val="002F7B30"/>
    <w:rsid w:val="0030115F"/>
    <w:rsid w:val="00301452"/>
    <w:rsid w:val="0030223E"/>
    <w:rsid w:val="00303FE1"/>
    <w:rsid w:val="00304702"/>
    <w:rsid w:val="00304820"/>
    <w:rsid w:val="00305BE5"/>
    <w:rsid w:val="00306E26"/>
    <w:rsid w:val="00313635"/>
    <w:rsid w:val="00316489"/>
    <w:rsid w:val="00320457"/>
    <w:rsid w:val="00320C76"/>
    <w:rsid w:val="00322388"/>
    <w:rsid w:val="00325292"/>
    <w:rsid w:val="00325475"/>
    <w:rsid w:val="003271EE"/>
    <w:rsid w:val="0033026F"/>
    <w:rsid w:val="00330AA6"/>
    <w:rsid w:val="00330C69"/>
    <w:rsid w:val="00331B56"/>
    <w:rsid w:val="00333A41"/>
    <w:rsid w:val="00333B72"/>
    <w:rsid w:val="003341B7"/>
    <w:rsid w:val="00340129"/>
    <w:rsid w:val="00342AD3"/>
    <w:rsid w:val="003437A7"/>
    <w:rsid w:val="003463E3"/>
    <w:rsid w:val="003477CA"/>
    <w:rsid w:val="0035002A"/>
    <w:rsid w:val="003502FB"/>
    <w:rsid w:val="00350ED3"/>
    <w:rsid w:val="0035282F"/>
    <w:rsid w:val="00352AFD"/>
    <w:rsid w:val="003530AB"/>
    <w:rsid w:val="0035375D"/>
    <w:rsid w:val="00353AA4"/>
    <w:rsid w:val="00354D35"/>
    <w:rsid w:val="00355BD0"/>
    <w:rsid w:val="003574B6"/>
    <w:rsid w:val="003579FB"/>
    <w:rsid w:val="00357F87"/>
    <w:rsid w:val="0036023D"/>
    <w:rsid w:val="00360B68"/>
    <w:rsid w:val="003616BE"/>
    <w:rsid w:val="003629A6"/>
    <w:rsid w:val="003641F5"/>
    <w:rsid w:val="003701CF"/>
    <w:rsid w:val="00372E3B"/>
    <w:rsid w:val="00372E62"/>
    <w:rsid w:val="0037381C"/>
    <w:rsid w:val="00384702"/>
    <w:rsid w:val="00386370"/>
    <w:rsid w:val="003865C9"/>
    <w:rsid w:val="00387605"/>
    <w:rsid w:val="00387B93"/>
    <w:rsid w:val="00390902"/>
    <w:rsid w:val="00390B01"/>
    <w:rsid w:val="00390EEC"/>
    <w:rsid w:val="00391B5B"/>
    <w:rsid w:val="00391F4B"/>
    <w:rsid w:val="00392196"/>
    <w:rsid w:val="003928A1"/>
    <w:rsid w:val="00396388"/>
    <w:rsid w:val="003A046F"/>
    <w:rsid w:val="003A4DF4"/>
    <w:rsid w:val="003A50FC"/>
    <w:rsid w:val="003A5E2F"/>
    <w:rsid w:val="003A65CB"/>
    <w:rsid w:val="003A7669"/>
    <w:rsid w:val="003B0163"/>
    <w:rsid w:val="003B09F7"/>
    <w:rsid w:val="003B0B2A"/>
    <w:rsid w:val="003B0F14"/>
    <w:rsid w:val="003B11AF"/>
    <w:rsid w:val="003B42CA"/>
    <w:rsid w:val="003B5514"/>
    <w:rsid w:val="003C0DB8"/>
    <w:rsid w:val="003C0E29"/>
    <w:rsid w:val="003C111A"/>
    <w:rsid w:val="003C1CE8"/>
    <w:rsid w:val="003C303C"/>
    <w:rsid w:val="003C4AC2"/>
    <w:rsid w:val="003C6A3E"/>
    <w:rsid w:val="003C7E6D"/>
    <w:rsid w:val="003D21F8"/>
    <w:rsid w:val="003D259D"/>
    <w:rsid w:val="003D2CEA"/>
    <w:rsid w:val="003D2F04"/>
    <w:rsid w:val="003D4093"/>
    <w:rsid w:val="003D4870"/>
    <w:rsid w:val="003D5894"/>
    <w:rsid w:val="003D7933"/>
    <w:rsid w:val="003E006E"/>
    <w:rsid w:val="003E0680"/>
    <w:rsid w:val="003E2298"/>
    <w:rsid w:val="003E23C6"/>
    <w:rsid w:val="003E6F93"/>
    <w:rsid w:val="003F004E"/>
    <w:rsid w:val="003F09DE"/>
    <w:rsid w:val="003F0BA3"/>
    <w:rsid w:val="003F0CC3"/>
    <w:rsid w:val="003F1328"/>
    <w:rsid w:val="003F302E"/>
    <w:rsid w:val="003F4769"/>
    <w:rsid w:val="003F5F40"/>
    <w:rsid w:val="003F66A8"/>
    <w:rsid w:val="00401974"/>
    <w:rsid w:val="00411949"/>
    <w:rsid w:val="00413B61"/>
    <w:rsid w:val="00413C0D"/>
    <w:rsid w:val="00414FF3"/>
    <w:rsid w:val="00416751"/>
    <w:rsid w:val="004175B7"/>
    <w:rsid w:val="0042042F"/>
    <w:rsid w:val="0042069E"/>
    <w:rsid w:val="00420872"/>
    <w:rsid w:val="00421C0D"/>
    <w:rsid w:val="004240B9"/>
    <w:rsid w:val="00424F08"/>
    <w:rsid w:val="004252B7"/>
    <w:rsid w:val="00426727"/>
    <w:rsid w:val="004268BA"/>
    <w:rsid w:val="00427893"/>
    <w:rsid w:val="00430121"/>
    <w:rsid w:val="0043044E"/>
    <w:rsid w:val="00430D4C"/>
    <w:rsid w:val="00431ED6"/>
    <w:rsid w:val="00433A20"/>
    <w:rsid w:val="00433B09"/>
    <w:rsid w:val="00433C99"/>
    <w:rsid w:val="004341A9"/>
    <w:rsid w:val="00436C4A"/>
    <w:rsid w:val="004376A1"/>
    <w:rsid w:val="00440C99"/>
    <w:rsid w:val="00441B79"/>
    <w:rsid w:val="00441E83"/>
    <w:rsid w:val="00444AA6"/>
    <w:rsid w:val="004454BC"/>
    <w:rsid w:val="00454477"/>
    <w:rsid w:val="00454E39"/>
    <w:rsid w:val="004560C4"/>
    <w:rsid w:val="00456F4B"/>
    <w:rsid w:val="0046125A"/>
    <w:rsid w:val="004617F6"/>
    <w:rsid w:val="004618EB"/>
    <w:rsid w:val="0046328A"/>
    <w:rsid w:val="00463740"/>
    <w:rsid w:val="00463824"/>
    <w:rsid w:val="004710A4"/>
    <w:rsid w:val="004720AF"/>
    <w:rsid w:val="0047489C"/>
    <w:rsid w:val="0047539E"/>
    <w:rsid w:val="004803C6"/>
    <w:rsid w:val="00480852"/>
    <w:rsid w:val="00481E1D"/>
    <w:rsid w:val="00483EA3"/>
    <w:rsid w:val="00483FA0"/>
    <w:rsid w:val="00484EA6"/>
    <w:rsid w:val="004874CB"/>
    <w:rsid w:val="00487A05"/>
    <w:rsid w:val="00490084"/>
    <w:rsid w:val="00490F44"/>
    <w:rsid w:val="0049169A"/>
    <w:rsid w:val="004922AF"/>
    <w:rsid w:val="00494D02"/>
    <w:rsid w:val="00497421"/>
    <w:rsid w:val="004A036F"/>
    <w:rsid w:val="004A0698"/>
    <w:rsid w:val="004A1F33"/>
    <w:rsid w:val="004A2426"/>
    <w:rsid w:val="004A41C8"/>
    <w:rsid w:val="004A431A"/>
    <w:rsid w:val="004A5C7E"/>
    <w:rsid w:val="004A6288"/>
    <w:rsid w:val="004A6BF1"/>
    <w:rsid w:val="004B0301"/>
    <w:rsid w:val="004B15FC"/>
    <w:rsid w:val="004B3E0E"/>
    <w:rsid w:val="004B3E9B"/>
    <w:rsid w:val="004B45B6"/>
    <w:rsid w:val="004B5DF3"/>
    <w:rsid w:val="004B7FC7"/>
    <w:rsid w:val="004C0174"/>
    <w:rsid w:val="004C0F8F"/>
    <w:rsid w:val="004C2899"/>
    <w:rsid w:val="004C2FA4"/>
    <w:rsid w:val="004C3EBD"/>
    <w:rsid w:val="004C516E"/>
    <w:rsid w:val="004C5492"/>
    <w:rsid w:val="004C5E15"/>
    <w:rsid w:val="004C616D"/>
    <w:rsid w:val="004D5711"/>
    <w:rsid w:val="004D5B11"/>
    <w:rsid w:val="004D7557"/>
    <w:rsid w:val="004E0AA2"/>
    <w:rsid w:val="004E1CE4"/>
    <w:rsid w:val="004E30AB"/>
    <w:rsid w:val="004E31A4"/>
    <w:rsid w:val="004E3268"/>
    <w:rsid w:val="004E3D0D"/>
    <w:rsid w:val="004E45E1"/>
    <w:rsid w:val="004E4BD1"/>
    <w:rsid w:val="004E61CB"/>
    <w:rsid w:val="004E79EB"/>
    <w:rsid w:val="004F01F4"/>
    <w:rsid w:val="004F3B2C"/>
    <w:rsid w:val="004F4D4E"/>
    <w:rsid w:val="00500962"/>
    <w:rsid w:val="00500A5A"/>
    <w:rsid w:val="00500E8A"/>
    <w:rsid w:val="00501A70"/>
    <w:rsid w:val="00501FBB"/>
    <w:rsid w:val="00502FE2"/>
    <w:rsid w:val="0050388B"/>
    <w:rsid w:val="00504194"/>
    <w:rsid w:val="005046D0"/>
    <w:rsid w:val="00504953"/>
    <w:rsid w:val="00504E2B"/>
    <w:rsid w:val="005051B2"/>
    <w:rsid w:val="0051027E"/>
    <w:rsid w:val="00510DF5"/>
    <w:rsid w:val="005127F1"/>
    <w:rsid w:val="005146D2"/>
    <w:rsid w:val="0051534D"/>
    <w:rsid w:val="00520280"/>
    <w:rsid w:val="00522697"/>
    <w:rsid w:val="00522A62"/>
    <w:rsid w:val="00523391"/>
    <w:rsid w:val="00526722"/>
    <w:rsid w:val="005268C6"/>
    <w:rsid w:val="00526DBD"/>
    <w:rsid w:val="00530DB6"/>
    <w:rsid w:val="005349E3"/>
    <w:rsid w:val="0053637A"/>
    <w:rsid w:val="00537460"/>
    <w:rsid w:val="005404DB"/>
    <w:rsid w:val="005408EF"/>
    <w:rsid w:val="00546112"/>
    <w:rsid w:val="00546479"/>
    <w:rsid w:val="00546EB8"/>
    <w:rsid w:val="00547116"/>
    <w:rsid w:val="0054791F"/>
    <w:rsid w:val="00550254"/>
    <w:rsid w:val="005517BC"/>
    <w:rsid w:val="005602EC"/>
    <w:rsid w:val="0056351C"/>
    <w:rsid w:val="0056501D"/>
    <w:rsid w:val="0057069C"/>
    <w:rsid w:val="005717AB"/>
    <w:rsid w:val="00571D93"/>
    <w:rsid w:val="005723AE"/>
    <w:rsid w:val="00573302"/>
    <w:rsid w:val="0057378D"/>
    <w:rsid w:val="00573D2E"/>
    <w:rsid w:val="005754FF"/>
    <w:rsid w:val="00575C0F"/>
    <w:rsid w:val="005764E8"/>
    <w:rsid w:val="00576534"/>
    <w:rsid w:val="0057767D"/>
    <w:rsid w:val="0057767F"/>
    <w:rsid w:val="0058023E"/>
    <w:rsid w:val="00582223"/>
    <w:rsid w:val="00585AB6"/>
    <w:rsid w:val="00585E8F"/>
    <w:rsid w:val="00586084"/>
    <w:rsid w:val="00586375"/>
    <w:rsid w:val="005868CC"/>
    <w:rsid w:val="00587033"/>
    <w:rsid w:val="00587B51"/>
    <w:rsid w:val="00591D5A"/>
    <w:rsid w:val="00592B9C"/>
    <w:rsid w:val="00593734"/>
    <w:rsid w:val="0059422C"/>
    <w:rsid w:val="00594A27"/>
    <w:rsid w:val="0059523C"/>
    <w:rsid w:val="005954A5"/>
    <w:rsid w:val="005956ED"/>
    <w:rsid w:val="00596F6E"/>
    <w:rsid w:val="005A1998"/>
    <w:rsid w:val="005A385C"/>
    <w:rsid w:val="005A3ACB"/>
    <w:rsid w:val="005A3C30"/>
    <w:rsid w:val="005A5332"/>
    <w:rsid w:val="005A5AAE"/>
    <w:rsid w:val="005A762F"/>
    <w:rsid w:val="005B2508"/>
    <w:rsid w:val="005B6312"/>
    <w:rsid w:val="005C07A3"/>
    <w:rsid w:val="005C0E17"/>
    <w:rsid w:val="005C27B9"/>
    <w:rsid w:val="005C3B9D"/>
    <w:rsid w:val="005C5562"/>
    <w:rsid w:val="005C6AD1"/>
    <w:rsid w:val="005C71C1"/>
    <w:rsid w:val="005C74B7"/>
    <w:rsid w:val="005C781C"/>
    <w:rsid w:val="005D307D"/>
    <w:rsid w:val="005D6469"/>
    <w:rsid w:val="005D71CD"/>
    <w:rsid w:val="005E1908"/>
    <w:rsid w:val="005E3B3E"/>
    <w:rsid w:val="005E4911"/>
    <w:rsid w:val="005E5550"/>
    <w:rsid w:val="005E5ADB"/>
    <w:rsid w:val="005E6503"/>
    <w:rsid w:val="005E6D80"/>
    <w:rsid w:val="005E6F42"/>
    <w:rsid w:val="005F02F4"/>
    <w:rsid w:val="005F0F2D"/>
    <w:rsid w:val="005F2501"/>
    <w:rsid w:val="005F2889"/>
    <w:rsid w:val="005F3FF3"/>
    <w:rsid w:val="005F4442"/>
    <w:rsid w:val="005F491D"/>
    <w:rsid w:val="006008DF"/>
    <w:rsid w:val="00603223"/>
    <w:rsid w:val="006043E1"/>
    <w:rsid w:val="006074B9"/>
    <w:rsid w:val="006074E6"/>
    <w:rsid w:val="00607516"/>
    <w:rsid w:val="006075E8"/>
    <w:rsid w:val="00607711"/>
    <w:rsid w:val="00607FAE"/>
    <w:rsid w:val="006124C6"/>
    <w:rsid w:val="0061330D"/>
    <w:rsid w:val="006138AF"/>
    <w:rsid w:val="006169FD"/>
    <w:rsid w:val="00617064"/>
    <w:rsid w:val="00620E61"/>
    <w:rsid w:val="00621F8A"/>
    <w:rsid w:val="00622F8F"/>
    <w:rsid w:val="0062545D"/>
    <w:rsid w:val="0062614E"/>
    <w:rsid w:val="00626B43"/>
    <w:rsid w:val="00631413"/>
    <w:rsid w:val="006332A3"/>
    <w:rsid w:val="0063380D"/>
    <w:rsid w:val="00634868"/>
    <w:rsid w:val="006352F5"/>
    <w:rsid w:val="00635FDF"/>
    <w:rsid w:val="0063667B"/>
    <w:rsid w:val="006368FE"/>
    <w:rsid w:val="00637972"/>
    <w:rsid w:val="00637C7B"/>
    <w:rsid w:val="00637D24"/>
    <w:rsid w:val="00640437"/>
    <w:rsid w:val="00640549"/>
    <w:rsid w:val="00640E17"/>
    <w:rsid w:val="00641FA9"/>
    <w:rsid w:val="00644711"/>
    <w:rsid w:val="00647F18"/>
    <w:rsid w:val="00650391"/>
    <w:rsid w:val="0065133D"/>
    <w:rsid w:val="00651932"/>
    <w:rsid w:val="006526EB"/>
    <w:rsid w:val="00652B6B"/>
    <w:rsid w:val="006533DD"/>
    <w:rsid w:val="0065484F"/>
    <w:rsid w:val="006548D9"/>
    <w:rsid w:val="0065536C"/>
    <w:rsid w:val="00655623"/>
    <w:rsid w:val="006557D9"/>
    <w:rsid w:val="00656EF5"/>
    <w:rsid w:val="006570EA"/>
    <w:rsid w:val="0066007D"/>
    <w:rsid w:val="006605DB"/>
    <w:rsid w:val="006612E9"/>
    <w:rsid w:val="00661338"/>
    <w:rsid w:val="00661F87"/>
    <w:rsid w:val="00663972"/>
    <w:rsid w:val="00665DE8"/>
    <w:rsid w:val="00666139"/>
    <w:rsid w:val="00666259"/>
    <w:rsid w:val="00666B35"/>
    <w:rsid w:val="00666D98"/>
    <w:rsid w:val="00666E26"/>
    <w:rsid w:val="00671056"/>
    <w:rsid w:val="0067154A"/>
    <w:rsid w:val="00671CCD"/>
    <w:rsid w:val="00672FF9"/>
    <w:rsid w:val="00673F91"/>
    <w:rsid w:val="00677120"/>
    <w:rsid w:val="00680887"/>
    <w:rsid w:val="006809A0"/>
    <w:rsid w:val="006811CF"/>
    <w:rsid w:val="00682DCB"/>
    <w:rsid w:val="00683520"/>
    <w:rsid w:val="006852FD"/>
    <w:rsid w:val="00685E34"/>
    <w:rsid w:val="006878E9"/>
    <w:rsid w:val="00687CE3"/>
    <w:rsid w:val="00693F7F"/>
    <w:rsid w:val="00694433"/>
    <w:rsid w:val="0069483F"/>
    <w:rsid w:val="00694D4C"/>
    <w:rsid w:val="00695108"/>
    <w:rsid w:val="006951F9"/>
    <w:rsid w:val="0069557D"/>
    <w:rsid w:val="00697169"/>
    <w:rsid w:val="006978EA"/>
    <w:rsid w:val="00697BCF"/>
    <w:rsid w:val="006A0CF4"/>
    <w:rsid w:val="006A1ACE"/>
    <w:rsid w:val="006A1B99"/>
    <w:rsid w:val="006A447F"/>
    <w:rsid w:val="006A5435"/>
    <w:rsid w:val="006B2D58"/>
    <w:rsid w:val="006B37CD"/>
    <w:rsid w:val="006B3EC1"/>
    <w:rsid w:val="006B4334"/>
    <w:rsid w:val="006B567B"/>
    <w:rsid w:val="006B64EF"/>
    <w:rsid w:val="006C156E"/>
    <w:rsid w:val="006C38AB"/>
    <w:rsid w:val="006C4181"/>
    <w:rsid w:val="006C45A7"/>
    <w:rsid w:val="006D160C"/>
    <w:rsid w:val="006D38D1"/>
    <w:rsid w:val="006D3B3F"/>
    <w:rsid w:val="006D4489"/>
    <w:rsid w:val="006D494A"/>
    <w:rsid w:val="006D4A4D"/>
    <w:rsid w:val="006D673B"/>
    <w:rsid w:val="006E01D3"/>
    <w:rsid w:val="006E09FA"/>
    <w:rsid w:val="006E0ED5"/>
    <w:rsid w:val="006E2847"/>
    <w:rsid w:val="006E2C29"/>
    <w:rsid w:val="006E3323"/>
    <w:rsid w:val="006E3EB6"/>
    <w:rsid w:val="006E4728"/>
    <w:rsid w:val="006E7D20"/>
    <w:rsid w:val="006F0B22"/>
    <w:rsid w:val="006F0E7E"/>
    <w:rsid w:val="006F4AAA"/>
    <w:rsid w:val="006F56B3"/>
    <w:rsid w:val="006F5DB8"/>
    <w:rsid w:val="006F678B"/>
    <w:rsid w:val="0070192D"/>
    <w:rsid w:val="00703134"/>
    <w:rsid w:val="00703602"/>
    <w:rsid w:val="0070590A"/>
    <w:rsid w:val="007061F3"/>
    <w:rsid w:val="0070731E"/>
    <w:rsid w:val="007076BC"/>
    <w:rsid w:val="00707803"/>
    <w:rsid w:val="00711103"/>
    <w:rsid w:val="00711C29"/>
    <w:rsid w:val="00713AC6"/>
    <w:rsid w:val="00713C8B"/>
    <w:rsid w:val="0071400A"/>
    <w:rsid w:val="00714A8A"/>
    <w:rsid w:val="00715613"/>
    <w:rsid w:val="00716071"/>
    <w:rsid w:val="007169C8"/>
    <w:rsid w:val="00716F71"/>
    <w:rsid w:val="00717D67"/>
    <w:rsid w:val="00720F7A"/>
    <w:rsid w:val="00722D33"/>
    <w:rsid w:val="00724427"/>
    <w:rsid w:val="00725ADF"/>
    <w:rsid w:val="00725BCB"/>
    <w:rsid w:val="00725D05"/>
    <w:rsid w:val="00726BAC"/>
    <w:rsid w:val="007270FE"/>
    <w:rsid w:val="00732782"/>
    <w:rsid w:val="00734C81"/>
    <w:rsid w:val="00735F4B"/>
    <w:rsid w:val="007366A8"/>
    <w:rsid w:val="00736835"/>
    <w:rsid w:val="0074014D"/>
    <w:rsid w:val="00740CBB"/>
    <w:rsid w:val="007416CF"/>
    <w:rsid w:val="00743265"/>
    <w:rsid w:val="007433B9"/>
    <w:rsid w:val="007456F5"/>
    <w:rsid w:val="00746EF4"/>
    <w:rsid w:val="007477E8"/>
    <w:rsid w:val="007478CE"/>
    <w:rsid w:val="00754674"/>
    <w:rsid w:val="00754BEB"/>
    <w:rsid w:val="00756390"/>
    <w:rsid w:val="00756CB5"/>
    <w:rsid w:val="007570A2"/>
    <w:rsid w:val="00761752"/>
    <w:rsid w:val="007621AE"/>
    <w:rsid w:val="007632B7"/>
    <w:rsid w:val="00765E89"/>
    <w:rsid w:val="00766CAE"/>
    <w:rsid w:val="00770A3C"/>
    <w:rsid w:val="00770D78"/>
    <w:rsid w:val="00771678"/>
    <w:rsid w:val="00771955"/>
    <w:rsid w:val="007767CF"/>
    <w:rsid w:val="00777EE3"/>
    <w:rsid w:val="00780F23"/>
    <w:rsid w:val="00781D4E"/>
    <w:rsid w:val="00781DBF"/>
    <w:rsid w:val="00785230"/>
    <w:rsid w:val="007855D2"/>
    <w:rsid w:val="007859C4"/>
    <w:rsid w:val="00785C49"/>
    <w:rsid w:val="00785CC2"/>
    <w:rsid w:val="00786DFE"/>
    <w:rsid w:val="0079059D"/>
    <w:rsid w:val="00790B35"/>
    <w:rsid w:val="00790C54"/>
    <w:rsid w:val="0079133F"/>
    <w:rsid w:val="00793A59"/>
    <w:rsid w:val="00793F63"/>
    <w:rsid w:val="007952DA"/>
    <w:rsid w:val="007960C0"/>
    <w:rsid w:val="007962E0"/>
    <w:rsid w:val="00797552"/>
    <w:rsid w:val="007A09A2"/>
    <w:rsid w:val="007A3D33"/>
    <w:rsid w:val="007A43E7"/>
    <w:rsid w:val="007A5595"/>
    <w:rsid w:val="007A6C5D"/>
    <w:rsid w:val="007A6CAF"/>
    <w:rsid w:val="007A6DFB"/>
    <w:rsid w:val="007A7F00"/>
    <w:rsid w:val="007B11B1"/>
    <w:rsid w:val="007B1B9B"/>
    <w:rsid w:val="007B2F8C"/>
    <w:rsid w:val="007B44EE"/>
    <w:rsid w:val="007B540B"/>
    <w:rsid w:val="007B7882"/>
    <w:rsid w:val="007B790F"/>
    <w:rsid w:val="007C30EA"/>
    <w:rsid w:val="007C4CE6"/>
    <w:rsid w:val="007C69E8"/>
    <w:rsid w:val="007C7B56"/>
    <w:rsid w:val="007D1C99"/>
    <w:rsid w:val="007D2AFE"/>
    <w:rsid w:val="007D2C81"/>
    <w:rsid w:val="007D2F59"/>
    <w:rsid w:val="007D30D8"/>
    <w:rsid w:val="007D44F0"/>
    <w:rsid w:val="007D4705"/>
    <w:rsid w:val="007D5807"/>
    <w:rsid w:val="007D79A3"/>
    <w:rsid w:val="007E0377"/>
    <w:rsid w:val="007E10BD"/>
    <w:rsid w:val="007E1367"/>
    <w:rsid w:val="007E14CC"/>
    <w:rsid w:val="007E1FB4"/>
    <w:rsid w:val="007E3141"/>
    <w:rsid w:val="007E3FA5"/>
    <w:rsid w:val="007E491E"/>
    <w:rsid w:val="007E5D79"/>
    <w:rsid w:val="007E7333"/>
    <w:rsid w:val="007E73E7"/>
    <w:rsid w:val="007E7725"/>
    <w:rsid w:val="007F0384"/>
    <w:rsid w:val="007F13E1"/>
    <w:rsid w:val="007F1C73"/>
    <w:rsid w:val="007F2054"/>
    <w:rsid w:val="007F240E"/>
    <w:rsid w:val="007F51F4"/>
    <w:rsid w:val="007F5266"/>
    <w:rsid w:val="007F5D9D"/>
    <w:rsid w:val="007F7D29"/>
    <w:rsid w:val="00800111"/>
    <w:rsid w:val="008044D8"/>
    <w:rsid w:val="00804F00"/>
    <w:rsid w:val="0081364F"/>
    <w:rsid w:val="00815E73"/>
    <w:rsid w:val="00816079"/>
    <w:rsid w:val="00816198"/>
    <w:rsid w:val="00816CA2"/>
    <w:rsid w:val="00817211"/>
    <w:rsid w:val="00817410"/>
    <w:rsid w:val="00817BFD"/>
    <w:rsid w:val="00820E6B"/>
    <w:rsid w:val="00821330"/>
    <w:rsid w:val="00822180"/>
    <w:rsid w:val="00823573"/>
    <w:rsid w:val="00826359"/>
    <w:rsid w:val="0083079C"/>
    <w:rsid w:val="0083183F"/>
    <w:rsid w:val="00833201"/>
    <w:rsid w:val="00834452"/>
    <w:rsid w:val="008347AA"/>
    <w:rsid w:val="00835C56"/>
    <w:rsid w:val="0083642C"/>
    <w:rsid w:val="008373A7"/>
    <w:rsid w:val="00837B46"/>
    <w:rsid w:val="008406BA"/>
    <w:rsid w:val="00842953"/>
    <w:rsid w:val="00843E36"/>
    <w:rsid w:val="00845BC4"/>
    <w:rsid w:val="0084626D"/>
    <w:rsid w:val="00852430"/>
    <w:rsid w:val="0085247F"/>
    <w:rsid w:val="0085271D"/>
    <w:rsid w:val="0085498D"/>
    <w:rsid w:val="00855D64"/>
    <w:rsid w:val="00855F52"/>
    <w:rsid w:val="00857207"/>
    <w:rsid w:val="00857FE3"/>
    <w:rsid w:val="00860022"/>
    <w:rsid w:val="00861983"/>
    <w:rsid w:val="0086727D"/>
    <w:rsid w:val="0087017B"/>
    <w:rsid w:val="008713AF"/>
    <w:rsid w:val="008729BE"/>
    <w:rsid w:val="00873939"/>
    <w:rsid w:val="00875A49"/>
    <w:rsid w:val="00875DC2"/>
    <w:rsid w:val="00877192"/>
    <w:rsid w:val="00877389"/>
    <w:rsid w:val="0087759C"/>
    <w:rsid w:val="008802CF"/>
    <w:rsid w:val="00880D0C"/>
    <w:rsid w:val="00880E3B"/>
    <w:rsid w:val="008811AE"/>
    <w:rsid w:val="00881EF8"/>
    <w:rsid w:val="00882440"/>
    <w:rsid w:val="00882F5D"/>
    <w:rsid w:val="008843B3"/>
    <w:rsid w:val="00885AD3"/>
    <w:rsid w:val="0089093D"/>
    <w:rsid w:val="00891E39"/>
    <w:rsid w:val="00891F8C"/>
    <w:rsid w:val="0089298D"/>
    <w:rsid w:val="0089453C"/>
    <w:rsid w:val="00895BA3"/>
    <w:rsid w:val="00896527"/>
    <w:rsid w:val="0089673E"/>
    <w:rsid w:val="008970FB"/>
    <w:rsid w:val="00897F11"/>
    <w:rsid w:val="008A127F"/>
    <w:rsid w:val="008A35D0"/>
    <w:rsid w:val="008A4280"/>
    <w:rsid w:val="008A5271"/>
    <w:rsid w:val="008A580E"/>
    <w:rsid w:val="008A653D"/>
    <w:rsid w:val="008B7E1F"/>
    <w:rsid w:val="008C0638"/>
    <w:rsid w:val="008C461C"/>
    <w:rsid w:val="008C6848"/>
    <w:rsid w:val="008C755E"/>
    <w:rsid w:val="008D0813"/>
    <w:rsid w:val="008D13B8"/>
    <w:rsid w:val="008D3C78"/>
    <w:rsid w:val="008D3FE5"/>
    <w:rsid w:val="008D52A1"/>
    <w:rsid w:val="008D55CF"/>
    <w:rsid w:val="008D60AC"/>
    <w:rsid w:val="008D6105"/>
    <w:rsid w:val="008D773C"/>
    <w:rsid w:val="008E0255"/>
    <w:rsid w:val="008E090B"/>
    <w:rsid w:val="008E15D6"/>
    <w:rsid w:val="008E20EE"/>
    <w:rsid w:val="008E22A4"/>
    <w:rsid w:val="008E3DE2"/>
    <w:rsid w:val="008E493D"/>
    <w:rsid w:val="008E5F1A"/>
    <w:rsid w:val="008E6077"/>
    <w:rsid w:val="008E672F"/>
    <w:rsid w:val="008E676E"/>
    <w:rsid w:val="008E6D49"/>
    <w:rsid w:val="008F0450"/>
    <w:rsid w:val="008F05C8"/>
    <w:rsid w:val="008F0BA7"/>
    <w:rsid w:val="008F1D5B"/>
    <w:rsid w:val="008F228D"/>
    <w:rsid w:val="008F353F"/>
    <w:rsid w:val="008F3B69"/>
    <w:rsid w:val="008F3C9E"/>
    <w:rsid w:val="008F44DA"/>
    <w:rsid w:val="008F7727"/>
    <w:rsid w:val="00900957"/>
    <w:rsid w:val="009026FC"/>
    <w:rsid w:val="00902C78"/>
    <w:rsid w:val="00902CD9"/>
    <w:rsid w:val="00904F1A"/>
    <w:rsid w:val="00906CBA"/>
    <w:rsid w:val="00906CF4"/>
    <w:rsid w:val="0090770E"/>
    <w:rsid w:val="00913688"/>
    <w:rsid w:val="00914618"/>
    <w:rsid w:val="00915514"/>
    <w:rsid w:val="00916452"/>
    <w:rsid w:val="00920635"/>
    <w:rsid w:val="0092259E"/>
    <w:rsid w:val="00922D9C"/>
    <w:rsid w:val="0092339A"/>
    <w:rsid w:val="0092645E"/>
    <w:rsid w:val="00926C72"/>
    <w:rsid w:val="0093182F"/>
    <w:rsid w:val="00934909"/>
    <w:rsid w:val="00940DDB"/>
    <w:rsid w:val="009455D8"/>
    <w:rsid w:val="0094561D"/>
    <w:rsid w:val="0094568E"/>
    <w:rsid w:val="009458BC"/>
    <w:rsid w:val="009462CD"/>
    <w:rsid w:val="00946871"/>
    <w:rsid w:val="00950B01"/>
    <w:rsid w:val="00950C0E"/>
    <w:rsid w:val="00950F52"/>
    <w:rsid w:val="00951E85"/>
    <w:rsid w:val="00952EC0"/>
    <w:rsid w:val="00960E2D"/>
    <w:rsid w:val="00961974"/>
    <w:rsid w:val="009635E5"/>
    <w:rsid w:val="00963F00"/>
    <w:rsid w:val="00964168"/>
    <w:rsid w:val="00965A20"/>
    <w:rsid w:val="00966178"/>
    <w:rsid w:val="00966F0D"/>
    <w:rsid w:val="009712A7"/>
    <w:rsid w:val="00972091"/>
    <w:rsid w:val="00982C76"/>
    <w:rsid w:val="00984BBD"/>
    <w:rsid w:val="009868FF"/>
    <w:rsid w:val="00987241"/>
    <w:rsid w:val="00990B62"/>
    <w:rsid w:val="009947BA"/>
    <w:rsid w:val="009951B2"/>
    <w:rsid w:val="0099536C"/>
    <w:rsid w:val="00995F88"/>
    <w:rsid w:val="009A0BA1"/>
    <w:rsid w:val="009A2C14"/>
    <w:rsid w:val="009A4C04"/>
    <w:rsid w:val="009A7BC8"/>
    <w:rsid w:val="009A7C41"/>
    <w:rsid w:val="009B02A0"/>
    <w:rsid w:val="009B5CDA"/>
    <w:rsid w:val="009C01B4"/>
    <w:rsid w:val="009C43A1"/>
    <w:rsid w:val="009D15C5"/>
    <w:rsid w:val="009D3755"/>
    <w:rsid w:val="009D4528"/>
    <w:rsid w:val="009D763D"/>
    <w:rsid w:val="009E23E2"/>
    <w:rsid w:val="009E2A74"/>
    <w:rsid w:val="009E4C2C"/>
    <w:rsid w:val="009E5CE6"/>
    <w:rsid w:val="009E6290"/>
    <w:rsid w:val="009E6594"/>
    <w:rsid w:val="009F2184"/>
    <w:rsid w:val="009F3906"/>
    <w:rsid w:val="009F6BF9"/>
    <w:rsid w:val="00A03618"/>
    <w:rsid w:val="00A03D96"/>
    <w:rsid w:val="00A03DF0"/>
    <w:rsid w:val="00A04252"/>
    <w:rsid w:val="00A049AD"/>
    <w:rsid w:val="00A05D82"/>
    <w:rsid w:val="00A06AB3"/>
    <w:rsid w:val="00A070EC"/>
    <w:rsid w:val="00A07F32"/>
    <w:rsid w:val="00A10205"/>
    <w:rsid w:val="00A11C4D"/>
    <w:rsid w:val="00A13AB6"/>
    <w:rsid w:val="00A16513"/>
    <w:rsid w:val="00A216FF"/>
    <w:rsid w:val="00A24915"/>
    <w:rsid w:val="00A26052"/>
    <w:rsid w:val="00A260A3"/>
    <w:rsid w:val="00A30915"/>
    <w:rsid w:val="00A31DFF"/>
    <w:rsid w:val="00A31F90"/>
    <w:rsid w:val="00A32148"/>
    <w:rsid w:val="00A33EDD"/>
    <w:rsid w:val="00A34530"/>
    <w:rsid w:val="00A40CEC"/>
    <w:rsid w:val="00A42863"/>
    <w:rsid w:val="00A42B47"/>
    <w:rsid w:val="00A455AA"/>
    <w:rsid w:val="00A47C99"/>
    <w:rsid w:val="00A53718"/>
    <w:rsid w:val="00A53887"/>
    <w:rsid w:val="00A54CF7"/>
    <w:rsid w:val="00A570AB"/>
    <w:rsid w:val="00A57158"/>
    <w:rsid w:val="00A60586"/>
    <w:rsid w:val="00A6101B"/>
    <w:rsid w:val="00A64564"/>
    <w:rsid w:val="00A64B62"/>
    <w:rsid w:val="00A6594E"/>
    <w:rsid w:val="00A6668A"/>
    <w:rsid w:val="00A677BC"/>
    <w:rsid w:val="00A70ABD"/>
    <w:rsid w:val="00A70BD0"/>
    <w:rsid w:val="00A71822"/>
    <w:rsid w:val="00A7657C"/>
    <w:rsid w:val="00A828F9"/>
    <w:rsid w:val="00A836AC"/>
    <w:rsid w:val="00A84AAB"/>
    <w:rsid w:val="00A87A76"/>
    <w:rsid w:val="00A906F6"/>
    <w:rsid w:val="00A9071D"/>
    <w:rsid w:val="00A90A08"/>
    <w:rsid w:val="00A92218"/>
    <w:rsid w:val="00A9273F"/>
    <w:rsid w:val="00A93B97"/>
    <w:rsid w:val="00A93F8E"/>
    <w:rsid w:val="00A956AB"/>
    <w:rsid w:val="00A95CC8"/>
    <w:rsid w:val="00A95D88"/>
    <w:rsid w:val="00AA054E"/>
    <w:rsid w:val="00AA0797"/>
    <w:rsid w:val="00AA2360"/>
    <w:rsid w:val="00AA45D1"/>
    <w:rsid w:val="00AA4FEB"/>
    <w:rsid w:val="00AA5E94"/>
    <w:rsid w:val="00AA6715"/>
    <w:rsid w:val="00AA79DF"/>
    <w:rsid w:val="00AB0214"/>
    <w:rsid w:val="00AB19B2"/>
    <w:rsid w:val="00AB5E58"/>
    <w:rsid w:val="00AB6D6E"/>
    <w:rsid w:val="00AC06F5"/>
    <w:rsid w:val="00AC0C52"/>
    <w:rsid w:val="00AC28A4"/>
    <w:rsid w:val="00AC3F58"/>
    <w:rsid w:val="00AC6733"/>
    <w:rsid w:val="00AD0379"/>
    <w:rsid w:val="00AD294E"/>
    <w:rsid w:val="00AE0D5B"/>
    <w:rsid w:val="00AE3BB9"/>
    <w:rsid w:val="00AE530A"/>
    <w:rsid w:val="00AE58FA"/>
    <w:rsid w:val="00AE603C"/>
    <w:rsid w:val="00AE73A4"/>
    <w:rsid w:val="00AF26A3"/>
    <w:rsid w:val="00AF3933"/>
    <w:rsid w:val="00AF422F"/>
    <w:rsid w:val="00AF4CDC"/>
    <w:rsid w:val="00AF6075"/>
    <w:rsid w:val="00AF65DB"/>
    <w:rsid w:val="00AF6CDA"/>
    <w:rsid w:val="00B014B3"/>
    <w:rsid w:val="00B016C9"/>
    <w:rsid w:val="00B01895"/>
    <w:rsid w:val="00B02D6B"/>
    <w:rsid w:val="00B03D52"/>
    <w:rsid w:val="00B04C02"/>
    <w:rsid w:val="00B104C7"/>
    <w:rsid w:val="00B13B5E"/>
    <w:rsid w:val="00B14C84"/>
    <w:rsid w:val="00B154CC"/>
    <w:rsid w:val="00B15D37"/>
    <w:rsid w:val="00B2097A"/>
    <w:rsid w:val="00B2187B"/>
    <w:rsid w:val="00B225D1"/>
    <w:rsid w:val="00B2285E"/>
    <w:rsid w:val="00B2316C"/>
    <w:rsid w:val="00B23C95"/>
    <w:rsid w:val="00B2502A"/>
    <w:rsid w:val="00B26378"/>
    <w:rsid w:val="00B27CC4"/>
    <w:rsid w:val="00B308E0"/>
    <w:rsid w:val="00B30BC0"/>
    <w:rsid w:val="00B3138B"/>
    <w:rsid w:val="00B331A0"/>
    <w:rsid w:val="00B339A5"/>
    <w:rsid w:val="00B36DC6"/>
    <w:rsid w:val="00B37396"/>
    <w:rsid w:val="00B43568"/>
    <w:rsid w:val="00B435DD"/>
    <w:rsid w:val="00B44F93"/>
    <w:rsid w:val="00B46533"/>
    <w:rsid w:val="00B4664D"/>
    <w:rsid w:val="00B46708"/>
    <w:rsid w:val="00B47CE1"/>
    <w:rsid w:val="00B50458"/>
    <w:rsid w:val="00B51735"/>
    <w:rsid w:val="00B5280F"/>
    <w:rsid w:val="00B53DC5"/>
    <w:rsid w:val="00B549AC"/>
    <w:rsid w:val="00B56ED6"/>
    <w:rsid w:val="00B600C1"/>
    <w:rsid w:val="00B62B3E"/>
    <w:rsid w:val="00B652B1"/>
    <w:rsid w:val="00B66378"/>
    <w:rsid w:val="00B665B6"/>
    <w:rsid w:val="00B67AFD"/>
    <w:rsid w:val="00B718CA"/>
    <w:rsid w:val="00B71930"/>
    <w:rsid w:val="00B721A7"/>
    <w:rsid w:val="00B7323D"/>
    <w:rsid w:val="00B74230"/>
    <w:rsid w:val="00B7439B"/>
    <w:rsid w:val="00B745F2"/>
    <w:rsid w:val="00B74FD7"/>
    <w:rsid w:val="00B75C67"/>
    <w:rsid w:val="00B77500"/>
    <w:rsid w:val="00B82329"/>
    <w:rsid w:val="00B83A50"/>
    <w:rsid w:val="00B875B7"/>
    <w:rsid w:val="00B8779C"/>
    <w:rsid w:val="00B90243"/>
    <w:rsid w:val="00B91D5B"/>
    <w:rsid w:val="00B933AE"/>
    <w:rsid w:val="00B940E3"/>
    <w:rsid w:val="00B94157"/>
    <w:rsid w:val="00B95973"/>
    <w:rsid w:val="00B959DE"/>
    <w:rsid w:val="00B96B4C"/>
    <w:rsid w:val="00B976F3"/>
    <w:rsid w:val="00BA0D81"/>
    <w:rsid w:val="00BA1E81"/>
    <w:rsid w:val="00BA28E6"/>
    <w:rsid w:val="00BA466C"/>
    <w:rsid w:val="00BA50B4"/>
    <w:rsid w:val="00BA5242"/>
    <w:rsid w:val="00BA5598"/>
    <w:rsid w:val="00BA5706"/>
    <w:rsid w:val="00BA5A6E"/>
    <w:rsid w:val="00BA5C1C"/>
    <w:rsid w:val="00BA6192"/>
    <w:rsid w:val="00BA630D"/>
    <w:rsid w:val="00BA7EC0"/>
    <w:rsid w:val="00BB060A"/>
    <w:rsid w:val="00BB1EAA"/>
    <w:rsid w:val="00BB203E"/>
    <w:rsid w:val="00BB20C9"/>
    <w:rsid w:val="00BB20D6"/>
    <w:rsid w:val="00BB2190"/>
    <w:rsid w:val="00BB3B72"/>
    <w:rsid w:val="00BB49CC"/>
    <w:rsid w:val="00BB5A6A"/>
    <w:rsid w:val="00BC087D"/>
    <w:rsid w:val="00BC0D07"/>
    <w:rsid w:val="00BC109F"/>
    <w:rsid w:val="00BC4579"/>
    <w:rsid w:val="00BC5397"/>
    <w:rsid w:val="00BC59F6"/>
    <w:rsid w:val="00BC7A1E"/>
    <w:rsid w:val="00BD52E7"/>
    <w:rsid w:val="00BD73D9"/>
    <w:rsid w:val="00BE55B8"/>
    <w:rsid w:val="00BE7A0D"/>
    <w:rsid w:val="00BE7EAD"/>
    <w:rsid w:val="00BF1259"/>
    <w:rsid w:val="00BF1680"/>
    <w:rsid w:val="00BF6C8E"/>
    <w:rsid w:val="00BF793D"/>
    <w:rsid w:val="00C00331"/>
    <w:rsid w:val="00C02444"/>
    <w:rsid w:val="00C0289A"/>
    <w:rsid w:val="00C038C4"/>
    <w:rsid w:val="00C06B96"/>
    <w:rsid w:val="00C103E6"/>
    <w:rsid w:val="00C1335B"/>
    <w:rsid w:val="00C13E34"/>
    <w:rsid w:val="00C1669D"/>
    <w:rsid w:val="00C16813"/>
    <w:rsid w:val="00C171E1"/>
    <w:rsid w:val="00C2075A"/>
    <w:rsid w:val="00C21CB4"/>
    <w:rsid w:val="00C23460"/>
    <w:rsid w:val="00C242FA"/>
    <w:rsid w:val="00C27153"/>
    <w:rsid w:val="00C3104E"/>
    <w:rsid w:val="00C3417C"/>
    <w:rsid w:val="00C343B4"/>
    <w:rsid w:val="00C36D5C"/>
    <w:rsid w:val="00C372D5"/>
    <w:rsid w:val="00C373A3"/>
    <w:rsid w:val="00C37A01"/>
    <w:rsid w:val="00C43CD5"/>
    <w:rsid w:val="00C44C4C"/>
    <w:rsid w:val="00C456DA"/>
    <w:rsid w:val="00C46CD9"/>
    <w:rsid w:val="00C46D3F"/>
    <w:rsid w:val="00C508DA"/>
    <w:rsid w:val="00C511BB"/>
    <w:rsid w:val="00C511C5"/>
    <w:rsid w:val="00C51C6F"/>
    <w:rsid w:val="00C54789"/>
    <w:rsid w:val="00C55E04"/>
    <w:rsid w:val="00C567A6"/>
    <w:rsid w:val="00C61828"/>
    <w:rsid w:val="00C62DD6"/>
    <w:rsid w:val="00C66E9C"/>
    <w:rsid w:val="00C6789C"/>
    <w:rsid w:val="00C708C3"/>
    <w:rsid w:val="00C73127"/>
    <w:rsid w:val="00C74B95"/>
    <w:rsid w:val="00C80E9C"/>
    <w:rsid w:val="00C820BB"/>
    <w:rsid w:val="00C822EA"/>
    <w:rsid w:val="00C82743"/>
    <w:rsid w:val="00C82E56"/>
    <w:rsid w:val="00C83E78"/>
    <w:rsid w:val="00C852DA"/>
    <w:rsid w:val="00C86BE4"/>
    <w:rsid w:val="00C9044F"/>
    <w:rsid w:val="00C90BF2"/>
    <w:rsid w:val="00C928CC"/>
    <w:rsid w:val="00C92FAD"/>
    <w:rsid w:val="00C95A78"/>
    <w:rsid w:val="00CA18B6"/>
    <w:rsid w:val="00CA1A42"/>
    <w:rsid w:val="00CA22E4"/>
    <w:rsid w:val="00CA24C9"/>
    <w:rsid w:val="00CA2541"/>
    <w:rsid w:val="00CA2906"/>
    <w:rsid w:val="00CA4343"/>
    <w:rsid w:val="00CA77E0"/>
    <w:rsid w:val="00CB1996"/>
    <w:rsid w:val="00CB2E99"/>
    <w:rsid w:val="00CB30DD"/>
    <w:rsid w:val="00CB514B"/>
    <w:rsid w:val="00CB5529"/>
    <w:rsid w:val="00CB72E4"/>
    <w:rsid w:val="00CB794D"/>
    <w:rsid w:val="00CC03E6"/>
    <w:rsid w:val="00CC0DC7"/>
    <w:rsid w:val="00CC0F60"/>
    <w:rsid w:val="00CC1FEF"/>
    <w:rsid w:val="00CC31B3"/>
    <w:rsid w:val="00CC3D00"/>
    <w:rsid w:val="00CC4126"/>
    <w:rsid w:val="00CC665A"/>
    <w:rsid w:val="00CC7D98"/>
    <w:rsid w:val="00CD097C"/>
    <w:rsid w:val="00CD12A3"/>
    <w:rsid w:val="00CD3875"/>
    <w:rsid w:val="00CD3B1B"/>
    <w:rsid w:val="00CD729E"/>
    <w:rsid w:val="00CE382F"/>
    <w:rsid w:val="00CE3C75"/>
    <w:rsid w:val="00CE3E3F"/>
    <w:rsid w:val="00CE469D"/>
    <w:rsid w:val="00CE4E60"/>
    <w:rsid w:val="00CE4FF7"/>
    <w:rsid w:val="00CE614C"/>
    <w:rsid w:val="00CF0D2C"/>
    <w:rsid w:val="00CF0D8B"/>
    <w:rsid w:val="00CF12E2"/>
    <w:rsid w:val="00CF51CD"/>
    <w:rsid w:val="00CF5A12"/>
    <w:rsid w:val="00CF60C8"/>
    <w:rsid w:val="00CF7F38"/>
    <w:rsid w:val="00D00225"/>
    <w:rsid w:val="00D0281D"/>
    <w:rsid w:val="00D02DF5"/>
    <w:rsid w:val="00D060F9"/>
    <w:rsid w:val="00D06180"/>
    <w:rsid w:val="00D1250D"/>
    <w:rsid w:val="00D12E01"/>
    <w:rsid w:val="00D13433"/>
    <w:rsid w:val="00D2005E"/>
    <w:rsid w:val="00D20F0F"/>
    <w:rsid w:val="00D2203E"/>
    <w:rsid w:val="00D24E18"/>
    <w:rsid w:val="00D250F5"/>
    <w:rsid w:val="00D25613"/>
    <w:rsid w:val="00D25B25"/>
    <w:rsid w:val="00D276B9"/>
    <w:rsid w:val="00D3086A"/>
    <w:rsid w:val="00D3157F"/>
    <w:rsid w:val="00D3235A"/>
    <w:rsid w:val="00D32D64"/>
    <w:rsid w:val="00D356D7"/>
    <w:rsid w:val="00D35E3F"/>
    <w:rsid w:val="00D367D4"/>
    <w:rsid w:val="00D368B1"/>
    <w:rsid w:val="00D41DBB"/>
    <w:rsid w:val="00D43325"/>
    <w:rsid w:val="00D437BC"/>
    <w:rsid w:val="00D4531D"/>
    <w:rsid w:val="00D463C1"/>
    <w:rsid w:val="00D51053"/>
    <w:rsid w:val="00D53C7A"/>
    <w:rsid w:val="00D5629B"/>
    <w:rsid w:val="00D6153E"/>
    <w:rsid w:val="00D6386A"/>
    <w:rsid w:val="00D6388D"/>
    <w:rsid w:val="00D63D08"/>
    <w:rsid w:val="00D64DE7"/>
    <w:rsid w:val="00D674FC"/>
    <w:rsid w:val="00D709BD"/>
    <w:rsid w:val="00D7205E"/>
    <w:rsid w:val="00D72497"/>
    <w:rsid w:val="00D73ABE"/>
    <w:rsid w:val="00D762D0"/>
    <w:rsid w:val="00D7674D"/>
    <w:rsid w:val="00D76C6E"/>
    <w:rsid w:val="00D77480"/>
    <w:rsid w:val="00D8075A"/>
    <w:rsid w:val="00D8110F"/>
    <w:rsid w:val="00D81CD3"/>
    <w:rsid w:val="00D81E74"/>
    <w:rsid w:val="00D81F03"/>
    <w:rsid w:val="00D82212"/>
    <w:rsid w:val="00D8265A"/>
    <w:rsid w:val="00D83C49"/>
    <w:rsid w:val="00D84CA3"/>
    <w:rsid w:val="00D85A35"/>
    <w:rsid w:val="00D8634A"/>
    <w:rsid w:val="00D879B1"/>
    <w:rsid w:val="00D90468"/>
    <w:rsid w:val="00D917B1"/>
    <w:rsid w:val="00D94024"/>
    <w:rsid w:val="00D96A46"/>
    <w:rsid w:val="00D970B9"/>
    <w:rsid w:val="00DA0EF4"/>
    <w:rsid w:val="00DA0F2D"/>
    <w:rsid w:val="00DA22C0"/>
    <w:rsid w:val="00DA29AB"/>
    <w:rsid w:val="00DA2E0D"/>
    <w:rsid w:val="00DA32E3"/>
    <w:rsid w:val="00DA3762"/>
    <w:rsid w:val="00DA3E76"/>
    <w:rsid w:val="00DA417F"/>
    <w:rsid w:val="00DA4378"/>
    <w:rsid w:val="00DA5C07"/>
    <w:rsid w:val="00DA5C6C"/>
    <w:rsid w:val="00DA6412"/>
    <w:rsid w:val="00DA7204"/>
    <w:rsid w:val="00DA7825"/>
    <w:rsid w:val="00DB0591"/>
    <w:rsid w:val="00DB11B1"/>
    <w:rsid w:val="00DB23DE"/>
    <w:rsid w:val="00DB4123"/>
    <w:rsid w:val="00DB426E"/>
    <w:rsid w:val="00DB589F"/>
    <w:rsid w:val="00DB58A0"/>
    <w:rsid w:val="00DB62D1"/>
    <w:rsid w:val="00DC0DDC"/>
    <w:rsid w:val="00DC1508"/>
    <w:rsid w:val="00DC3BD0"/>
    <w:rsid w:val="00DC4B3F"/>
    <w:rsid w:val="00DC5774"/>
    <w:rsid w:val="00DC741D"/>
    <w:rsid w:val="00DC75C4"/>
    <w:rsid w:val="00DD05CE"/>
    <w:rsid w:val="00DD0A85"/>
    <w:rsid w:val="00DD1A36"/>
    <w:rsid w:val="00DD25AF"/>
    <w:rsid w:val="00DD3628"/>
    <w:rsid w:val="00DD4674"/>
    <w:rsid w:val="00DD511F"/>
    <w:rsid w:val="00DD64BF"/>
    <w:rsid w:val="00DD7386"/>
    <w:rsid w:val="00DD7585"/>
    <w:rsid w:val="00DE0303"/>
    <w:rsid w:val="00DE0ECC"/>
    <w:rsid w:val="00DE2437"/>
    <w:rsid w:val="00DE3219"/>
    <w:rsid w:val="00DF2139"/>
    <w:rsid w:val="00DF25AE"/>
    <w:rsid w:val="00DF2888"/>
    <w:rsid w:val="00DF2A59"/>
    <w:rsid w:val="00DF2F06"/>
    <w:rsid w:val="00DF4679"/>
    <w:rsid w:val="00DF5BA9"/>
    <w:rsid w:val="00DF7FBA"/>
    <w:rsid w:val="00E01286"/>
    <w:rsid w:val="00E0217D"/>
    <w:rsid w:val="00E02238"/>
    <w:rsid w:val="00E02993"/>
    <w:rsid w:val="00E029FA"/>
    <w:rsid w:val="00E03350"/>
    <w:rsid w:val="00E03944"/>
    <w:rsid w:val="00E0408B"/>
    <w:rsid w:val="00E0730F"/>
    <w:rsid w:val="00E1146D"/>
    <w:rsid w:val="00E13760"/>
    <w:rsid w:val="00E14408"/>
    <w:rsid w:val="00E14B5E"/>
    <w:rsid w:val="00E14F07"/>
    <w:rsid w:val="00E155AF"/>
    <w:rsid w:val="00E15CC7"/>
    <w:rsid w:val="00E23686"/>
    <w:rsid w:val="00E239E9"/>
    <w:rsid w:val="00E244F6"/>
    <w:rsid w:val="00E27037"/>
    <w:rsid w:val="00E27737"/>
    <w:rsid w:val="00E30F54"/>
    <w:rsid w:val="00E324F4"/>
    <w:rsid w:val="00E32C69"/>
    <w:rsid w:val="00E3381C"/>
    <w:rsid w:val="00E33DD6"/>
    <w:rsid w:val="00E3462E"/>
    <w:rsid w:val="00E3711F"/>
    <w:rsid w:val="00E403F3"/>
    <w:rsid w:val="00E40D83"/>
    <w:rsid w:val="00E429A8"/>
    <w:rsid w:val="00E42FC4"/>
    <w:rsid w:val="00E44492"/>
    <w:rsid w:val="00E44F88"/>
    <w:rsid w:val="00E45814"/>
    <w:rsid w:val="00E45A8B"/>
    <w:rsid w:val="00E46233"/>
    <w:rsid w:val="00E464D3"/>
    <w:rsid w:val="00E5071E"/>
    <w:rsid w:val="00E514BF"/>
    <w:rsid w:val="00E5161E"/>
    <w:rsid w:val="00E5276B"/>
    <w:rsid w:val="00E52B0B"/>
    <w:rsid w:val="00E54812"/>
    <w:rsid w:val="00E55933"/>
    <w:rsid w:val="00E55BF0"/>
    <w:rsid w:val="00E61CCB"/>
    <w:rsid w:val="00E64745"/>
    <w:rsid w:val="00E64AD0"/>
    <w:rsid w:val="00E679E5"/>
    <w:rsid w:val="00E70949"/>
    <w:rsid w:val="00E70FF4"/>
    <w:rsid w:val="00E71B6C"/>
    <w:rsid w:val="00E72099"/>
    <w:rsid w:val="00E744F0"/>
    <w:rsid w:val="00E74726"/>
    <w:rsid w:val="00E74C38"/>
    <w:rsid w:val="00E76E56"/>
    <w:rsid w:val="00E77431"/>
    <w:rsid w:val="00E77B10"/>
    <w:rsid w:val="00E80212"/>
    <w:rsid w:val="00E80B90"/>
    <w:rsid w:val="00E811EF"/>
    <w:rsid w:val="00E81D1B"/>
    <w:rsid w:val="00E8275A"/>
    <w:rsid w:val="00E82966"/>
    <w:rsid w:val="00E835E4"/>
    <w:rsid w:val="00E8401B"/>
    <w:rsid w:val="00E8426D"/>
    <w:rsid w:val="00E84F76"/>
    <w:rsid w:val="00E960A2"/>
    <w:rsid w:val="00E96CA6"/>
    <w:rsid w:val="00E97761"/>
    <w:rsid w:val="00EA2796"/>
    <w:rsid w:val="00EA2C6F"/>
    <w:rsid w:val="00EA4C8A"/>
    <w:rsid w:val="00EA54DC"/>
    <w:rsid w:val="00EA6130"/>
    <w:rsid w:val="00EA684F"/>
    <w:rsid w:val="00EA762F"/>
    <w:rsid w:val="00EB0039"/>
    <w:rsid w:val="00EB0212"/>
    <w:rsid w:val="00EB11D7"/>
    <w:rsid w:val="00EB15CC"/>
    <w:rsid w:val="00EB1CB1"/>
    <w:rsid w:val="00EB2BF3"/>
    <w:rsid w:val="00EB3908"/>
    <w:rsid w:val="00EB3EA2"/>
    <w:rsid w:val="00EB4346"/>
    <w:rsid w:val="00EB55ED"/>
    <w:rsid w:val="00EB70C9"/>
    <w:rsid w:val="00EC0688"/>
    <w:rsid w:val="00EC2D8F"/>
    <w:rsid w:val="00EC2ED4"/>
    <w:rsid w:val="00EC33A6"/>
    <w:rsid w:val="00EC36F1"/>
    <w:rsid w:val="00EC3F0B"/>
    <w:rsid w:val="00EC508F"/>
    <w:rsid w:val="00EC6263"/>
    <w:rsid w:val="00EC6B47"/>
    <w:rsid w:val="00EC6C4E"/>
    <w:rsid w:val="00EC75C3"/>
    <w:rsid w:val="00ED0056"/>
    <w:rsid w:val="00ED08C6"/>
    <w:rsid w:val="00ED1CD0"/>
    <w:rsid w:val="00ED3391"/>
    <w:rsid w:val="00ED3CB2"/>
    <w:rsid w:val="00ED43FC"/>
    <w:rsid w:val="00ED46FC"/>
    <w:rsid w:val="00ED4BF5"/>
    <w:rsid w:val="00ED6ED3"/>
    <w:rsid w:val="00EE08AE"/>
    <w:rsid w:val="00EE2031"/>
    <w:rsid w:val="00EE268B"/>
    <w:rsid w:val="00EE3621"/>
    <w:rsid w:val="00EE438B"/>
    <w:rsid w:val="00EE7D0A"/>
    <w:rsid w:val="00EF0DBD"/>
    <w:rsid w:val="00EF3206"/>
    <w:rsid w:val="00EF3A8A"/>
    <w:rsid w:val="00EF3C05"/>
    <w:rsid w:val="00EF3EAF"/>
    <w:rsid w:val="00EF4180"/>
    <w:rsid w:val="00EF4D9E"/>
    <w:rsid w:val="00EF5297"/>
    <w:rsid w:val="00EF58C8"/>
    <w:rsid w:val="00EF6507"/>
    <w:rsid w:val="00F00727"/>
    <w:rsid w:val="00F00F66"/>
    <w:rsid w:val="00F015A0"/>
    <w:rsid w:val="00F01D7D"/>
    <w:rsid w:val="00F02022"/>
    <w:rsid w:val="00F030D2"/>
    <w:rsid w:val="00F04109"/>
    <w:rsid w:val="00F04B4B"/>
    <w:rsid w:val="00F05CCA"/>
    <w:rsid w:val="00F06289"/>
    <w:rsid w:val="00F07902"/>
    <w:rsid w:val="00F12B2F"/>
    <w:rsid w:val="00F12EE6"/>
    <w:rsid w:val="00F158C4"/>
    <w:rsid w:val="00F1637B"/>
    <w:rsid w:val="00F17676"/>
    <w:rsid w:val="00F17A48"/>
    <w:rsid w:val="00F20A46"/>
    <w:rsid w:val="00F22513"/>
    <w:rsid w:val="00F2720F"/>
    <w:rsid w:val="00F302B6"/>
    <w:rsid w:val="00F30D29"/>
    <w:rsid w:val="00F3147A"/>
    <w:rsid w:val="00F32D83"/>
    <w:rsid w:val="00F33B2B"/>
    <w:rsid w:val="00F33ED8"/>
    <w:rsid w:val="00F3616B"/>
    <w:rsid w:val="00F36565"/>
    <w:rsid w:val="00F371DC"/>
    <w:rsid w:val="00F37890"/>
    <w:rsid w:val="00F41EEA"/>
    <w:rsid w:val="00F4259B"/>
    <w:rsid w:val="00F42BEC"/>
    <w:rsid w:val="00F43432"/>
    <w:rsid w:val="00F44173"/>
    <w:rsid w:val="00F44BA3"/>
    <w:rsid w:val="00F453AE"/>
    <w:rsid w:val="00F46292"/>
    <w:rsid w:val="00F5017F"/>
    <w:rsid w:val="00F50F6C"/>
    <w:rsid w:val="00F51641"/>
    <w:rsid w:val="00F52D91"/>
    <w:rsid w:val="00F5629A"/>
    <w:rsid w:val="00F56BEB"/>
    <w:rsid w:val="00F6167D"/>
    <w:rsid w:val="00F6576B"/>
    <w:rsid w:val="00F65CF2"/>
    <w:rsid w:val="00F667CE"/>
    <w:rsid w:val="00F66CAC"/>
    <w:rsid w:val="00F6739C"/>
    <w:rsid w:val="00F730E0"/>
    <w:rsid w:val="00F74DF3"/>
    <w:rsid w:val="00F768E8"/>
    <w:rsid w:val="00F76F57"/>
    <w:rsid w:val="00F77ED6"/>
    <w:rsid w:val="00F8030A"/>
    <w:rsid w:val="00F81D19"/>
    <w:rsid w:val="00F820D1"/>
    <w:rsid w:val="00F835BD"/>
    <w:rsid w:val="00F84795"/>
    <w:rsid w:val="00F913E2"/>
    <w:rsid w:val="00F925FD"/>
    <w:rsid w:val="00F94065"/>
    <w:rsid w:val="00F94956"/>
    <w:rsid w:val="00FA0A65"/>
    <w:rsid w:val="00FA0C7E"/>
    <w:rsid w:val="00FA136A"/>
    <w:rsid w:val="00FA20F4"/>
    <w:rsid w:val="00FA2B6B"/>
    <w:rsid w:val="00FA3BF3"/>
    <w:rsid w:val="00FA5A36"/>
    <w:rsid w:val="00FA7CF4"/>
    <w:rsid w:val="00FB0B13"/>
    <w:rsid w:val="00FB33FA"/>
    <w:rsid w:val="00FB38E0"/>
    <w:rsid w:val="00FB4D8F"/>
    <w:rsid w:val="00FB5800"/>
    <w:rsid w:val="00FB6D4C"/>
    <w:rsid w:val="00FC3CCB"/>
    <w:rsid w:val="00FC49B7"/>
    <w:rsid w:val="00FC4BD5"/>
    <w:rsid w:val="00FC4FCE"/>
    <w:rsid w:val="00FC6660"/>
    <w:rsid w:val="00FD0A86"/>
    <w:rsid w:val="00FD256D"/>
    <w:rsid w:val="00FD336E"/>
    <w:rsid w:val="00FD3A2A"/>
    <w:rsid w:val="00FD4058"/>
    <w:rsid w:val="00FD4071"/>
    <w:rsid w:val="00FD4681"/>
    <w:rsid w:val="00FD50BF"/>
    <w:rsid w:val="00FE01F5"/>
    <w:rsid w:val="00FE27A6"/>
    <w:rsid w:val="00FE3051"/>
    <w:rsid w:val="00FE30FB"/>
    <w:rsid w:val="00FE3A8E"/>
    <w:rsid w:val="00FE3D01"/>
    <w:rsid w:val="00FE5016"/>
    <w:rsid w:val="00FE5A71"/>
    <w:rsid w:val="00FE7914"/>
    <w:rsid w:val="00FE79C8"/>
    <w:rsid w:val="00FF07DE"/>
    <w:rsid w:val="00FF2661"/>
    <w:rsid w:val="00FF2EBC"/>
    <w:rsid w:val="00FF3A84"/>
    <w:rsid w:val="00FF3A9F"/>
    <w:rsid w:val="00FF4D25"/>
    <w:rsid w:val="00FF6577"/>
    <w:rsid w:val="00FF71B7"/>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style="mso-position-horizontal-relative:page;mso-position-vertical-relative:page" fillcolor="white" stroke="f">
      <v:fill color="white"/>
      <v:stroke weight="1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746EF4"/>
    <w:pPr>
      <w:keepLines/>
      <w:spacing w:after="120" w:line="300" w:lineRule="exact"/>
      <w:ind w:left="851"/>
    </w:pPr>
    <w:rPr>
      <w:rFonts w:ascii="Arial" w:hAnsi="Arial"/>
      <w:sz w:val="21"/>
      <w:szCs w:val="21"/>
      <w:lang w:eastAsia="en-US"/>
    </w:rPr>
  </w:style>
  <w:style w:type="paragraph" w:styleId="Heading1">
    <w:name w:val="heading 1"/>
    <w:basedOn w:val="Normal"/>
    <w:next w:val="Normal"/>
    <w:link w:val="Heading1Char"/>
    <w:qFormat/>
    <w:rsid w:val="00F4259B"/>
    <w:pPr>
      <w:keepNext/>
      <w:spacing w:before="240" w:after="60" w:line="240" w:lineRule="auto"/>
      <w:outlineLvl w:val="0"/>
    </w:pPr>
    <w:rPr>
      <w:rFonts w:cs="Arial"/>
      <w:b/>
      <w:bCs/>
      <w:kern w:val="32"/>
      <w:sz w:val="24"/>
      <w:szCs w:val="32"/>
    </w:rPr>
  </w:style>
  <w:style w:type="paragraph" w:styleId="Heading2">
    <w:name w:val="heading 2"/>
    <w:basedOn w:val="Normal"/>
    <w:next w:val="Normal"/>
    <w:link w:val="Heading2Char"/>
    <w:qFormat/>
    <w:rsid w:val="00F4259B"/>
    <w:pPr>
      <w:keepNext/>
      <w:spacing w:before="240" w:after="60"/>
      <w:outlineLvl w:val="1"/>
    </w:pPr>
    <w:rPr>
      <w:rFonts w:cs="Arial"/>
      <w:b/>
      <w:bCs/>
      <w:i/>
      <w:iCs/>
      <w:szCs w:val="28"/>
    </w:rPr>
  </w:style>
  <w:style w:type="paragraph" w:styleId="Heading3">
    <w:name w:val="heading 3"/>
    <w:basedOn w:val="Normal"/>
    <w:next w:val="Normal"/>
    <w:link w:val="Heading3Char"/>
    <w:qFormat/>
    <w:rsid w:val="000B447C"/>
    <w:pPr>
      <w:keepNext/>
      <w:keepLines w:val="0"/>
      <w:spacing w:line="240" w:lineRule="auto"/>
      <w:ind w:left="0"/>
      <w:outlineLvl w:val="2"/>
    </w:pPr>
    <w:rPr>
      <w:rFonts w:ascii="Arial Narrow" w:hAnsi="Arial Narrow"/>
      <w:b/>
      <w:bCs/>
      <w:i/>
      <w:sz w:val="24"/>
      <w:szCs w:val="26"/>
      <w:lang w:eastAsia="en-AU"/>
    </w:rPr>
  </w:style>
  <w:style w:type="paragraph" w:styleId="Heading4">
    <w:name w:val="heading 4"/>
    <w:basedOn w:val="Normal"/>
    <w:next w:val="Normal"/>
    <w:link w:val="Heading4Char"/>
    <w:qFormat/>
    <w:rsid w:val="000B447C"/>
    <w:pPr>
      <w:keepNext/>
      <w:keepLines w:val="0"/>
      <w:spacing w:after="60" w:line="240" w:lineRule="auto"/>
      <w:ind w:left="0"/>
      <w:outlineLvl w:val="3"/>
    </w:pPr>
    <w:rPr>
      <w:rFonts w:ascii="Arial Narrow" w:hAnsi="Arial Narrow"/>
      <w:bCs/>
      <w:i/>
      <w:sz w:val="24"/>
      <w:szCs w:val="28"/>
      <w:lang w:eastAsia="en-AU"/>
    </w:rPr>
  </w:style>
  <w:style w:type="paragraph" w:styleId="Heading5">
    <w:name w:val="heading 5"/>
    <w:basedOn w:val="Normal"/>
    <w:next w:val="Normal"/>
    <w:link w:val="Heading5Char"/>
    <w:qFormat/>
    <w:rsid w:val="000B447C"/>
    <w:pPr>
      <w:keepLines w:val="0"/>
      <w:tabs>
        <w:tab w:val="left" w:pos="709"/>
        <w:tab w:val="left" w:pos="1418"/>
        <w:tab w:val="left" w:pos="2126"/>
        <w:tab w:val="right" w:pos="9356"/>
      </w:tabs>
      <w:spacing w:before="240" w:after="60" w:line="240" w:lineRule="auto"/>
      <w:ind w:left="0"/>
      <w:outlineLvl w:val="4"/>
    </w:pPr>
    <w:rPr>
      <w:rFonts w:ascii="Times New Roman" w:hAnsi="Times New Roman"/>
      <w:sz w:val="22"/>
      <w:szCs w:val="24"/>
      <w:lang w:eastAsia="en-AU"/>
    </w:rPr>
  </w:style>
  <w:style w:type="paragraph" w:styleId="Heading6">
    <w:name w:val="heading 6"/>
    <w:basedOn w:val="Normal"/>
    <w:next w:val="Normal"/>
    <w:link w:val="Heading6Char"/>
    <w:qFormat/>
    <w:rsid w:val="000B447C"/>
    <w:pPr>
      <w:keepLines w:val="0"/>
      <w:tabs>
        <w:tab w:val="left" w:pos="709"/>
        <w:tab w:val="left" w:pos="1418"/>
        <w:tab w:val="left" w:pos="2126"/>
        <w:tab w:val="right" w:pos="9356"/>
      </w:tabs>
      <w:spacing w:before="240" w:after="60" w:line="240" w:lineRule="auto"/>
      <w:ind w:left="0"/>
      <w:outlineLvl w:val="5"/>
    </w:pPr>
    <w:rPr>
      <w:rFonts w:ascii="Times New Roman" w:hAnsi="Times New Roman"/>
      <w:i/>
      <w:sz w:val="22"/>
      <w:szCs w:val="24"/>
      <w:lang w:eastAsia="en-AU"/>
    </w:rPr>
  </w:style>
  <w:style w:type="paragraph" w:styleId="Heading7">
    <w:name w:val="heading 7"/>
    <w:basedOn w:val="Normal"/>
    <w:next w:val="Normal"/>
    <w:link w:val="Heading7Char"/>
    <w:qFormat/>
    <w:rsid w:val="000B447C"/>
    <w:pPr>
      <w:keepLines w:val="0"/>
      <w:tabs>
        <w:tab w:val="left" w:pos="709"/>
        <w:tab w:val="left" w:pos="1418"/>
        <w:tab w:val="left" w:pos="2126"/>
        <w:tab w:val="right" w:pos="9356"/>
      </w:tabs>
      <w:spacing w:before="240" w:after="60" w:line="240" w:lineRule="auto"/>
      <w:ind w:left="0"/>
      <w:outlineLvl w:val="6"/>
    </w:pPr>
    <w:rPr>
      <w:rFonts w:ascii="Times New Roman" w:hAnsi="Times New Roman"/>
      <w:sz w:val="20"/>
      <w:szCs w:val="24"/>
      <w:lang w:eastAsia="en-AU"/>
    </w:rPr>
  </w:style>
  <w:style w:type="paragraph" w:styleId="Heading8">
    <w:name w:val="heading 8"/>
    <w:basedOn w:val="Normal"/>
    <w:next w:val="Normal"/>
    <w:link w:val="Heading8Char"/>
    <w:qFormat/>
    <w:rsid w:val="000B447C"/>
    <w:pPr>
      <w:keepLines w:val="0"/>
      <w:tabs>
        <w:tab w:val="left" w:pos="709"/>
        <w:tab w:val="left" w:pos="1418"/>
        <w:tab w:val="left" w:pos="2126"/>
        <w:tab w:val="right" w:pos="9356"/>
      </w:tabs>
      <w:spacing w:before="240" w:after="60" w:line="240" w:lineRule="auto"/>
      <w:ind w:left="0"/>
      <w:outlineLvl w:val="7"/>
    </w:pPr>
    <w:rPr>
      <w:rFonts w:ascii="Times New Roman" w:hAnsi="Times New Roman"/>
      <w:i/>
      <w:sz w:val="20"/>
      <w:szCs w:val="24"/>
      <w:lang w:eastAsia="en-AU"/>
    </w:rPr>
  </w:style>
  <w:style w:type="paragraph" w:styleId="Heading9">
    <w:name w:val="heading 9"/>
    <w:basedOn w:val="Normal"/>
    <w:next w:val="Normal"/>
    <w:link w:val="Heading9Char"/>
    <w:qFormat/>
    <w:rsid w:val="000B447C"/>
    <w:pPr>
      <w:keepLines w:val="0"/>
      <w:tabs>
        <w:tab w:val="left" w:pos="709"/>
        <w:tab w:val="left" w:pos="1418"/>
        <w:tab w:val="left" w:pos="2126"/>
        <w:tab w:val="right" w:pos="9356"/>
      </w:tabs>
      <w:spacing w:before="240" w:after="60" w:line="240" w:lineRule="auto"/>
      <w:ind w:left="0"/>
      <w:outlineLvl w:val="8"/>
    </w:pPr>
    <w:rPr>
      <w:rFonts w:ascii="Times New Roman" w:hAnsi="Times New Roman"/>
      <w:b/>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47C"/>
    <w:rPr>
      <w:rFonts w:ascii="Arial" w:hAnsi="Arial" w:cs="Arial"/>
      <w:b/>
      <w:bCs/>
      <w:kern w:val="32"/>
      <w:sz w:val="24"/>
      <w:szCs w:val="32"/>
      <w:lang w:eastAsia="en-US"/>
    </w:rPr>
  </w:style>
  <w:style w:type="character" w:customStyle="1" w:styleId="Heading2Char">
    <w:name w:val="Heading 2 Char"/>
    <w:basedOn w:val="DefaultParagraphFont"/>
    <w:link w:val="Heading2"/>
    <w:rsid w:val="000B447C"/>
    <w:rPr>
      <w:rFonts w:ascii="Arial" w:hAnsi="Arial" w:cs="Arial"/>
      <w:b/>
      <w:bCs/>
      <w:i/>
      <w:iCs/>
      <w:sz w:val="21"/>
      <w:szCs w:val="28"/>
      <w:lang w:eastAsia="en-US"/>
    </w:rPr>
  </w:style>
  <w:style w:type="character" w:customStyle="1" w:styleId="Heading3Char">
    <w:name w:val="Heading 3 Char"/>
    <w:basedOn w:val="DefaultParagraphFont"/>
    <w:link w:val="Heading3"/>
    <w:rsid w:val="000B447C"/>
    <w:rPr>
      <w:rFonts w:ascii="Arial Narrow" w:hAnsi="Arial Narrow"/>
      <w:b/>
      <w:bCs/>
      <w:i/>
      <w:sz w:val="24"/>
      <w:szCs w:val="26"/>
    </w:rPr>
  </w:style>
  <w:style w:type="character" w:customStyle="1" w:styleId="Heading4Char">
    <w:name w:val="Heading 4 Char"/>
    <w:basedOn w:val="DefaultParagraphFont"/>
    <w:link w:val="Heading4"/>
    <w:rsid w:val="000B447C"/>
    <w:rPr>
      <w:rFonts w:ascii="Arial Narrow" w:hAnsi="Arial Narrow"/>
      <w:bCs/>
      <w:i/>
      <w:sz w:val="24"/>
      <w:szCs w:val="28"/>
    </w:rPr>
  </w:style>
  <w:style w:type="character" w:customStyle="1" w:styleId="Heading5Char">
    <w:name w:val="Heading 5 Char"/>
    <w:basedOn w:val="DefaultParagraphFont"/>
    <w:link w:val="Heading5"/>
    <w:rsid w:val="000B447C"/>
    <w:rPr>
      <w:sz w:val="22"/>
      <w:szCs w:val="24"/>
    </w:rPr>
  </w:style>
  <w:style w:type="character" w:customStyle="1" w:styleId="Heading6Char">
    <w:name w:val="Heading 6 Char"/>
    <w:basedOn w:val="DefaultParagraphFont"/>
    <w:link w:val="Heading6"/>
    <w:rsid w:val="000B447C"/>
    <w:rPr>
      <w:i/>
      <w:sz w:val="22"/>
      <w:szCs w:val="24"/>
    </w:rPr>
  </w:style>
  <w:style w:type="character" w:customStyle="1" w:styleId="Heading7Char">
    <w:name w:val="Heading 7 Char"/>
    <w:basedOn w:val="DefaultParagraphFont"/>
    <w:link w:val="Heading7"/>
    <w:rsid w:val="000B447C"/>
    <w:rPr>
      <w:szCs w:val="24"/>
    </w:rPr>
  </w:style>
  <w:style w:type="character" w:customStyle="1" w:styleId="Heading8Char">
    <w:name w:val="Heading 8 Char"/>
    <w:basedOn w:val="DefaultParagraphFont"/>
    <w:link w:val="Heading8"/>
    <w:rsid w:val="000B447C"/>
    <w:rPr>
      <w:i/>
      <w:szCs w:val="24"/>
    </w:rPr>
  </w:style>
  <w:style w:type="character" w:customStyle="1" w:styleId="Heading9Char">
    <w:name w:val="Heading 9 Char"/>
    <w:basedOn w:val="DefaultParagraphFont"/>
    <w:link w:val="Heading9"/>
    <w:rsid w:val="000B447C"/>
    <w:rPr>
      <w:b/>
      <w:i/>
      <w:sz w:val="18"/>
      <w:szCs w:val="24"/>
    </w:rPr>
  </w:style>
  <w:style w:type="paragraph" w:customStyle="1" w:styleId="MainHeader">
    <w:name w:val="Main Header"/>
    <w:basedOn w:val="Heading1"/>
    <w:rsid w:val="00F4259B"/>
    <w:pPr>
      <w:spacing w:before="0" w:after="120"/>
      <w:jc w:val="center"/>
    </w:pPr>
  </w:style>
  <w:style w:type="paragraph" w:customStyle="1" w:styleId="AGRHeading1">
    <w:name w:val="AGR Heading 1"/>
    <w:next w:val="AGRBodyText"/>
    <w:autoRedefine/>
    <w:rsid w:val="0083183F"/>
    <w:pPr>
      <w:pageBreakBefore/>
      <w:spacing w:after="720" w:line="480" w:lineRule="exact"/>
      <w:outlineLvl w:val="0"/>
    </w:pPr>
    <w:rPr>
      <w:rFonts w:ascii="Arial" w:hAnsi="Arial" w:cs="Arial"/>
      <w:b/>
      <w:color w:val="808080"/>
      <w:w w:val="90"/>
      <w:sz w:val="48"/>
      <w:szCs w:val="36"/>
      <w:lang w:eastAsia="en-US"/>
    </w:rPr>
  </w:style>
  <w:style w:type="paragraph" w:customStyle="1" w:styleId="AGRBodyText">
    <w:name w:val="AGR Body Text"/>
    <w:link w:val="AGRBodyTextChar"/>
    <w:autoRedefine/>
    <w:rsid w:val="00DE0303"/>
    <w:pPr>
      <w:keepLines/>
      <w:spacing w:after="120" w:line="300" w:lineRule="exact"/>
      <w:ind w:left="851"/>
    </w:pPr>
    <w:rPr>
      <w:rFonts w:ascii="Arial" w:hAnsi="Arial" w:cs="Arial"/>
      <w:sz w:val="21"/>
      <w:szCs w:val="21"/>
      <w:lang w:val="en-US" w:eastAsia="en-US"/>
    </w:rPr>
  </w:style>
  <w:style w:type="character" w:customStyle="1" w:styleId="AGRBodyTextChar">
    <w:name w:val="AGR Body Text Char"/>
    <w:basedOn w:val="DefaultParagraphFont"/>
    <w:link w:val="AGRBodyText"/>
    <w:rsid w:val="00DE0303"/>
    <w:rPr>
      <w:rFonts w:ascii="Arial" w:hAnsi="Arial" w:cs="Arial"/>
      <w:sz w:val="21"/>
      <w:szCs w:val="21"/>
      <w:lang w:val="en-US" w:eastAsia="en-US"/>
    </w:rPr>
  </w:style>
  <w:style w:type="paragraph" w:styleId="Footer">
    <w:name w:val="footer"/>
    <w:basedOn w:val="Normal"/>
    <w:link w:val="FooterChar"/>
    <w:rsid w:val="00746EF4"/>
    <w:pPr>
      <w:tabs>
        <w:tab w:val="center" w:pos="4153"/>
        <w:tab w:val="right" w:pos="8306"/>
      </w:tabs>
    </w:pPr>
  </w:style>
  <w:style w:type="character" w:customStyle="1" w:styleId="FooterChar">
    <w:name w:val="Footer Char"/>
    <w:basedOn w:val="DefaultParagraphFont"/>
    <w:link w:val="Footer"/>
    <w:rsid w:val="000B447C"/>
    <w:rPr>
      <w:rFonts w:ascii="Arial" w:hAnsi="Arial"/>
      <w:sz w:val="21"/>
      <w:szCs w:val="21"/>
      <w:lang w:eastAsia="en-US"/>
    </w:rPr>
  </w:style>
  <w:style w:type="paragraph" w:customStyle="1" w:styleId="AGRFooterOdd">
    <w:name w:val="AGR Footer Odd"/>
    <w:rsid w:val="00746EF4"/>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TableText">
    <w:name w:val="AGR Table Text"/>
    <w:basedOn w:val="AGRSpeakersletter"/>
    <w:rsid w:val="002D4B8D"/>
    <w:pPr>
      <w:spacing w:line="280" w:lineRule="exact"/>
    </w:pPr>
    <w:rPr>
      <w:rFonts w:cs="Arial"/>
      <w:sz w:val="20"/>
    </w:rPr>
  </w:style>
  <w:style w:type="paragraph" w:customStyle="1" w:styleId="AGRSpeakersletter">
    <w:name w:val="AGR Speakers letter"/>
    <w:basedOn w:val="Normal"/>
    <w:rsid w:val="00074668"/>
    <w:pPr>
      <w:ind w:left="0"/>
    </w:pPr>
    <w:rPr>
      <w:szCs w:val="20"/>
    </w:rPr>
  </w:style>
  <w:style w:type="paragraph" w:customStyle="1" w:styleId="AGRBulletText">
    <w:name w:val="AGR Bullet Text"/>
    <w:basedOn w:val="AGRBodyText"/>
    <w:link w:val="AGRBulletTextCharChar"/>
    <w:autoRedefine/>
    <w:rsid w:val="009E5CE6"/>
    <w:pPr>
      <w:numPr>
        <w:numId w:val="14"/>
      </w:numPr>
      <w:tabs>
        <w:tab w:val="left" w:pos="2127"/>
      </w:tabs>
    </w:pPr>
    <w:rPr>
      <w:szCs w:val="24"/>
    </w:rPr>
  </w:style>
  <w:style w:type="character" w:customStyle="1" w:styleId="AGRBulletTextCharChar">
    <w:name w:val="AGR Bullet Text Char Char"/>
    <w:basedOn w:val="AGRBodyTextChar"/>
    <w:link w:val="AGRBulletText"/>
    <w:rsid w:val="009E5CE6"/>
    <w:rPr>
      <w:rFonts w:ascii="Arial" w:hAnsi="Arial" w:cs="Arial"/>
      <w:sz w:val="21"/>
      <w:szCs w:val="24"/>
      <w:lang w:val="en-US" w:eastAsia="en-US"/>
    </w:rPr>
  </w:style>
  <w:style w:type="paragraph" w:customStyle="1" w:styleId="AGRHeading2">
    <w:name w:val="AGR Heading 2"/>
    <w:next w:val="AGRBodyText"/>
    <w:link w:val="AGRHeading2Char"/>
    <w:rsid w:val="00746EF4"/>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746EF4"/>
    <w:rPr>
      <w:rFonts w:ascii="Arial" w:hAnsi="Arial" w:cs="Arial"/>
      <w:b/>
      <w:w w:val="90"/>
      <w:sz w:val="28"/>
      <w:szCs w:val="28"/>
      <w:lang w:val="en-AU" w:eastAsia="en-US" w:bidi="ar-SA"/>
    </w:rPr>
  </w:style>
  <w:style w:type="paragraph" w:customStyle="1" w:styleId="AGRHeading3">
    <w:name w:val="AGR Heading 3"/>
    <w:next w:val="AGRBodyText"/>
    <w:autoRedefine/>
    <w:rsid w:val="00C708C3"/>
    <w:pPr>
      <w:spacing w:before="160"/>
      <w:ind w:left="851"/>
    </w:pPr>
    <w:rPr>
      <w:rFonts w:ascii="Arial" w:hAnsi="Arial" w:cs="Arial"/>
      <w:b/>
      <w:color w:val="808080"/>
      <w:w w:val="90"/>
      <w:sz w:val="24"/>
      <w:szCs w:val="19"/>
      <w:lang w:eastAsia="en-US"/>
    </w:rPr>
  </w:style>
  <w:style w:type="paragraph" w:customStyle="1" w:styleId="AGRHeading4">
    <w:name w:val="AGR Heading 4"/>
    <w:basedOn w:val="AGRHeading3"/>
    <w:next w:val="AGRBodyText"/>
    <w:rsid w:val="00746EF4"/>
    <w:pPr>
      <w:spacing w:line="280" w:lineRule="exact"/>
    </w:pPr>
    <w:rPr>
      <w:b w:val="0"/>
      <w:i/>
      <w:w w:val="100"/>
      <w:sz w:val="22"/>
      <w:szCs w:val="20"/>
    </w:rPr>
  </w:style>
  <w:style w:type="character" w:styleId="PageNumber">
    <w:name w:val="page number"/>
    <w:basedOn w:val="DefaultParagraphFont"/>
    <w:rsid w:val="008713AF"/>
  </w:style>
  <w:style w:type="paragraph" w:customStyle="1" w:styleId="AGRFooterEven">
    <w:name w:val="AGR Footer Even"/>
    <w:rsid w:val="008713AF"/>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TOCNumbers">
    <w:name w:val="AGR TOC Numbers"/>
    <w:basedOn w:val="AGRTOC"/>
    <w:rsid w:val="00B7323D"/>
    <w:pPr>
      <w:tabs>
        <w:tab w:val="decimal" w:pos="643"/>
      </w:tabs>
    </w:pPr>
  </w:style>
  <w:style w:type="paragraph" w:customStyle="1" w:styleId="AGRTOC">
    <w:name w:val="AGR TOC"/>
    <w:basedOn w:val="Normal"/>
    <w:rsid w:val="00201259"/>
    <w:pPr>
      <w:spacing w:line="270" w:lineRule="exact"/>
      <w:ind w:left="0"/>
    </w:pPr>
    <w:rPr>
      <w:b/>
    </w:rPr>
  </w:style>
  <w:style w:type="paragraph" w:customStyle="1" w:styleId="AGRTableTextBold">
    <w:name w:val="AGR Table Text Bold"/>
    <w:basedOn w:val="AGRTableText"/>
    <w:next w:val="AGRTableText"/>
    <w:rsid w:val="009F3906"/>
    <w:rPr>
      <w:b/>
    </w:rPr>
  </w:style>
  <w:style w:type="table" w:styleId="TableGrid">
    <w:name w:val="Table Grid"/>
    <w:basedOn w:val="TableNormal"/>
    <w:rsid w:val="00074668"/>
    <w:pPr>
      <w:keepLines/>
      <w:spacing w:after="120" w:line="300" w:lineRule="exact"/>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TableNumbers">
    <w:name w:val="AGR Table Numbers"/>
    <w:basedOn w:val="AGRTableText"/>
    <w:rsid w:val="009F3906"/>
    <w:pPr>
      <w:tabs>
        <w:tab w:val="decimal" w:pos="811"/>
      </w:tabs>
    </w:pPr>
  </w:style>
  <w:style w:type="paragraph" w:customStyle="1" w:styleId="AGRTableNumbersBold">
    <w:name w:val="AGR Table Numbers Bold"/>
    <w:basedOn w:val="AGRTableNumbers"/>
    <w:next w:val="AGRTableNumbers"/>
    <w:rsid w:val="009F3906"/>
    <w:rPr>
      <w:b/>
    </w:rPr>
  </w:style>
  <w:style w:type="paragraph" w:customStyle="1" w:styleId="BulletedBody">
    <w:name w:val="Bulleted Body"/>
    <w:basedOn w:val="Normal"/>
    <w:rsid w:val="0028294C"/>
    <w:pPr>
      <w:keepLines w:val="0"/>
      <w:numPr>
        <w:numId w:val="1"/>
      </w:numPr>
      <w:spacing w:after="100"/>
      <w:jc w:val="both"/>
    </w:pPr>
  </w:style>
  <w:style w:type="paragraph" w:customStyle="1" w:styleId="AGRTOCNumbers-notbold">
    <w:name w:val="AGR TOC Numbers - not bold"/>
    <w:basedOn w:val="AGRTOCNumbers"/>
    <w:rsid w:val="00E52B0B"/>
    <w:rPr>
      <w:b w:val="0"/>
    </w:rPr>
  </w:style>
  <w:style w:type="paragraph" w:customStyle="1" w:styleId="AGRHeadingComment">
    <w:name w:val="AGR Heading Comment"/>
    <w:rsid w:val="00333A41"/>
    <w:pPr>
      <w:pBdr>
        <w:top w:val="single" w:sz="2" w:space="3" w:color="auto"/>
      </w:pBdr>
      <w:spacing w:before="240" w:after="60" w:line="280" w:lineRule="exact"/>
      <w:ind w:left="851"/>
    </w:pPr>
    <w:rPr>
      <w:rFonts w:ascii="Arial Bold" w:hAnsi="Arial Bold" w:cs="Arial"/>
      <w:b/>
      <w:iCs/>
      <w:sz w:val="21"/>
      <w:szCs w:val="22"/>
      <w:lang w:val="en-US" w:eastAsia="en-US"/>
    </w:rPr>
  </w:style>
  <w:style w:type="paragraph" w:customStyle="1" w:styleId="StyleAGRBodyCommentItalic">
    <w:name w:val="Style AGR Body Comment + Italic"/>
    <w:basedOn w:val="Normal"/>
    <w:autoRedefine/>
    <w:rsid w:val="00AD0379"/>
    <w:pPr>
      <w:pBdr>
        <w:bottom w:val="single" w:sz="2" w:space="4" w:color="auto"/>
      </w:pBdr>
    </w:pPr>
    <w:rPr>
      <w:rFonts w:cs="Arial"/>
      <w:i/>
      <w:iCs/>
      <w:szCs w:val="19"/>
      <w:lang w:eastAsia="en-AU"/>
    </w:rPr>
  </w:style>
  <w:style w:type="paragraph" w:customStyle="1" w:styleId="AGRBodyComment">
    <w:name w:val="AGR Body Comment"/>
    <w:basedOn w:val="AGRBodyText"/>
    <w:autoRedefine/>
    <w:rsid w:val="00352AFD"/>
    <w:pPr>
      <w:numPr>
        <w:numId w:val="7"/>
      </w:numPr>
      <w:pBdr>
        <w:bottom w:val="single" w:sz="2" w:space="4" w:color="auto"/>
      </w:pBdr>
    </w:pPr>
    <w:rPr>
      <w:i/>
      <w:iCs/>
      <w:szCs w:val="19"/>
      <w:lang w:eastAsia="en-AU"/>
    </w:rPr>
  </w:style>
  <w:style w:type="paragraph" w:customStyle="1" w:styleId="TableTextArial10ptLeft127cm">
    <w:name w:val="Table Text + Arial 10 pt Left:  1.27 cm"/>
    <w:basedOn w:val="Normal"/>
    <w:rsid w:val="00177A69"/>
    <w:pPr>
      <w:keepLines w:val="0"/>
      <w:spacing w:after="100"/>
      <w:ind w:left="720"/>
    </w:pPr>
    <w:rPr>
      <w:sz w:val="20"/>
    </w:rPr>
  </w:style>
  <w:style w:type="paragraph" w:styleId="DocumentMap">
    <w:name w:val="Document Map"/>
    <w:basedOn w:val="Normal"/>
    <w:link w:val="DocumentMapChar"/>
    <w:semiHidden/>
    <w:rsid w:val="00A95C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B447C"/>
    <w:rPr>
      <w:rFonts w:ascii="Tahoma" w:hAnsi="Tahoma" w:cs="Tahoma"/>
      <w:shd w:val="clear" w:color="auto" w:fill="000080"/>
      <w:lang w:eastAsia="en-US"/>
    </w:rPr>
  </w:style>
  <w:style w:type="paragraph" w:customStyle="1" w:styleId="AGRtablenotation">
    <w:name w:val="AGR table notation"/>
    <w:basedOn w:val="AGRBodyText"/>
    <w:rsid w:val="00A95CC8"/>
    <w:rPr>
      <w:sz w:val="16"/>
    </w:rPr>
  </w:style>
  <w:style w:type="paragraph" w:customStyle="1" w:styleId="Heading-L6">
    <w:name w:val="Heading - L6"/>
    <w:basedOn w:val="Normal"/>
    <w:next w:val="Normal"/>
    <w:link w:val="Heading-L6Char"/>
    <w:rsid w:val="00FB5800"/>
    <w:pPr>
      <w:keepLines w:val="0"/>
      <w:ind w:left="0"/>
    </w:pPr>
    <w:rPr>
      <w:b/>
      <w:i/>
    </w:rPr>
  </w:style>
  <w:style w:type="character" w:customStyle="1" w:styleId="Heading-L6Char">
    <w:name w:val="Heading - L6 Char"/>
    <w:basedOn w:val="DefaultParagraphFont"/>
    <w:link w:val="Heading-L6"/>
    <w:rsid w:val="00FB5800"/>
    <w:rPr>
      <w:rFonts w:ascii="Arial" w:hAnsi="Arial"/>
      <w:b/>
      <w:i/>
      <w:sz w:val="21"/>
      <w:szCs w:val="21"/>
      <w:lang w:val="en-AU" w:eastAsia="en-US" w:bidi="ar-SA"/>
    </w:rPr>
  </w:style>
  <w:style w:type="paragraph" w:styleId="Caption">
    <w:name w:val="caption"/>
    <w:basedOn w:val="Normal"/>
    <w:next w:val="Normal"/>
    <w:qFormat/>
    <w:rsid w:val="00FB5800"/>
    <w:pPr>
      <w:keepLines w:val="0"/>
      <w:spacing w:before="120"/>
      <w:ind w:left="0"/>
      <w:jc w:val="both"/>
    </w:pPr>
    <w:rPr>
      <w:b/>
    </w:rPr>
  </w:style>
  <w:style w:type="paragraph" w:customStyle="1" w:styleId="StyleAGRTableTextLeft0cmHanging127cm">
    <w:name w:val="Style AGR Table Text + Left:  0 cm Hanging:  1.27 cm"/>
    <w:basedOn w:val="AGRTableText"/>
    <w:rsid w:val="00FB5800"/>
    <w:pPr>
      <w:keepLines w:val="0"/>
      <w:spacing w:after="0"/>
    </w:pPr>
    <w:rPr>
      <w:rFonts w:cs="Times New Roman"/>
    </w:rPr>
  </w:style>
  <w:style w:type="paragraph" w:customStyle="1" w:styleId="Heading">
    <w:name w:val="Heading"/>
    <w:basedOn w:val="Normal"/>
    <w:rsid w:val="00C44C4C"/>
    <w:pPr>
      <w:keepLines w:val="0"/>
      <w:pBdr>
        <w:top w:val="single" w:sz="12" w:space="1" w:color="auto"/>
        <w:left w:val="single" w:sz="12" w:space="4" w:color="auto"/>
        <w:bottom w:val="single" w:sz="12" w:space="1" w:color="auto"/>
        <w:right w:val="single" w:sz="12" w:space="4" w:color="auto"/>
      </w:pBdr>
      <w:shd w:val="pct12" w:color="auto" w:fill="FFFFFF"/>
      <w:spacing w:after="360"/>
      <w:ind w:left="0"/>
      <w:jc w:val="center"/>
    </w:pPr>
    <w:rPr>
      <w:b/>
      <w:sz w:val="32"/>
    </w:rPr>
  </w:style>
  <w:style w:type="paragraph" w:customStyle="1" w:styleId="StyleAGRTableTextLeft0cmHanging127cm1">
    <w:name w:val="Style AGR Table Text + Left:  0 cm Hanging:  1.27 cm1"/>
    <w:basedOn w:val="AGRTableText"/>
    <w:rsid w:val="00C44C4C"/>
    <w:pPr>
      <w:keepLines w:val="0"/>
      <w:spacing w:after="0"/>
    </w:pPr>
    <w:rPr>
      <w:rFonts w:cs="Times New Roman"/>
    </w:rPr>
  </w:style>
  <w:style w:type="paragraph" w:styleId="BalloonText">
    <w:name w:val="Balloon Text"/>
    <w:basedOn w:val="Normal"/>
    <w:link w:val="BalloonTextChar"/>
    <w:semiHidden/>
    <w:rsid w:val="00C44C4C"/>
    <w:pPr>
      <w:keepLines w:val="0"/>
      <w:ind w:left="0"/>
      <w:jc w:val="both"/>
    </w:pPr>
    <w:rPr>
      <w:rFonts w:ascii="Tahoma" w:hAnsi="Tahoma" w:cs="Tahoma"/>
      <w:sz w:val="16"/>
      <w:szCs w:val="16"/>
    </w:rPr>
  </w:style>
  <w:style w:type="character" w:customStyle="1" w:styleId="BalloonTextChar">
    <w:name w:val="Balloon Text Char"/>
    <w:basedOn w:val="DefaultParagraphFont"/>
    <w:link w:val="BalloonText"/>
    <w:semiHidden/>
    <w:rsid w:val="000B447C"/>
    <w:rPr>
      <w:rFonts w:ascii="Tahoma" w:hAnsi="Tahoma" w:cs="Tahoma"/>
      <w:sz w:val="16"/>
      <w:szCs w:val="16"/>
      <w:lang w:eastAsia="en-US"/>
    </w:rPr>
  </w:style>
  <w:style w:type="table" w:customStyle="1" w:styleId="AGRTable">
    <w:name w:val="AGR Table"/>
    <w:basedOn w:val="TableNormal"/>
    <w:rsid w:val="0079133F"/>
    <w:rPr>
      <w:rFonts w:ascii="Arial" w:hAnsi="Arial"/>
    </w:rPr>
    <w:tblPr>
      <w:tblInd w:w="1418" w:type="dxa"/>
      <w:tblCellMar>
        <w:top w:w="57" w:type="dxa"/>
        <w:left w:w="0" w:type="dxa"/>
        <w:bottom w:w="57" w:type="dxa"/>
        <w:right w:w="0" w:type="dxa"/>
      </w:tblCellMar>
    </w:tblPr>
  </w:style>
  <w:style w:type="paragraph" w:styleId="CommentText">
    <w:name w:val="annotation text"/>
    <w:basedOn w:val="Normal"/>
    <w:link w:val="CommentTextChar"/>
    <w:semiHidden/>
    <w:rsid w:val="002A77CD"/>
    <w:rPr>
      <w:sz w:val="20"/>
      <w:szCs w:val="20"/>
    </w:rPr>
  </w:style>
  <w:style w:type="character" w:customStyle="1" w:styleId="CommentTextChar">
    <w:name w:val="Comment Text Char"/>
    <w:basedOn w:val="DefaultParagraphFont"/>
    <w:link w:val="CommentText"/>
    <w:semiHidden/>
    <w:rsid w:val="000B447C"/>
    <w:rPr>
      <w:rFonts w:ascii="Arial" w:hAnsi="Arial"/>
      <w:lang w:eastAsia="en-US"/>
    </w:rPr>
  </w:style>
  <w:style w:type="paragraph" w:styleId="CommentSubject">
    <w:name w:val="annotation subject"/>
    <w:basedOn w:val="CommentText"/>
    <w:next w:val="CommentText"/>
    <w:link w:val="CommentSubjectChar"/>
    <w:semiHidden/>
    <w:rsid w:val="002A77CD"/>
    <w:pPr>
      <w:keepLines w:val="0"/>
      <w:spacing w:after="240" w:line="240" w:lineRule="auto"/>
      <w:ind w:left="0"/>
      <w:jc w:val="both"/>
    </w:pPr>
    <w:rPr>
      <w:rFonts w:ascii="Times New Roman" w:hAnsi="Times New Roman"/>
      <w:b/>
      <w:bCs/>
    </w:rPr>
  </w:style>
  <w:style w:type="character" w:customStyle="1" w:styleId="CommentSubjectChar">
    <w:name w:val="Comment Subject Char"/>
    <w:basedOn w:val="CommentTextChar"/>
    <w:link w:val="CommentSubject"/>
    <w:semiHidden/>
    <w:rsid w:val="000B447C"/>
    <w:rPr>
      <w:rFonts w:ascii="Arial" w:hAnsi="Arial"/>
      <w:b/>
      <w:bCs/>
      <w:lang w:eastAsia="en-US"/>
    </w:rPr>
  </w:style>
  <w:style w:type="paragraph" w:customStyle="1" w:styleId="Default">
    <w:name w:val="Default"/>
    <w:rsid w:val="00A428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301452"/>
    <w:rPr>
      <w:sz w:val="16"/>
      <w:szCs w:val="16"/>
    </w:rPr>
  </w:style>
  <w:style w:type="character" w:styleId="Hyperlink">
    <w:name w:val="Hyperlink"/>
    <w:basedOn w:val="DefaultParagraphFont"/>
    <w:rsid w:val="00F00F66"/>
    <w:rPr>
      <w:color w:val="0000FF" w:themeColor="hyperlink"/>
      <w:u w:val="single"/>
    </w:rPr>
  </w:style>
  <w:style w:type="paragraph" w:styleId="BodyTextIndent2">
    <w:name w:val="Body Text Indent 2"/>
    <w:basedOn w:val="Normal"/>
    <w:link w:val="BodyTextIndent2Char"/>
    <w:rsid w:val="000B447C"/>
    <w:pPr>
      <w:spacing w:line="480" w:lineRule="auto"/>
      <w:ind w:left="283"/>
    </w:pPr>
  </w:style>
  <w:style w:type="character" w:customStyle="1" w:styleId="BodyTextIndent2Char">
    <w:name w:val="Body Text Indent 2 Char"/>
    <w:basedOn w:val="DefaultParagraphFont"/>
    <w:link w:val="BodyTextIndent2"/>
    <w:rsid w:val="000B447C"/>
    <w:rPr>
      <w:rFonts w:ascii="Arial" w:hAnsi="Arial"/>
      <w:sz w:val="21"/>
      <w:szCs w:val="21"/>
      <w:lang w:eastAsia="en-US"/>
    </w:rPr>
  </w:style>
  <w:style w:type="paragraph" w:styleId="BodyTextIndent3">
    <w:name w:val="Body Text Indent 3"/>
    <w:basedOn w:val="Normal"/>
    <w:link w:val="BodyTextIndent3Char"/>
    <w:rsid w:val="000B447C"/>
    <w:pPr>
      <w:ind w:left="283"/>
    </w:pPr>
    <w:rPr>
      <w:sz w:val="16"/>
      <w:szCs w:val="16"/>
    </w:rPr>
  </w:style>
  <w:style w:type="character" w:customStyle="1" w:styleId="BodyTextIndent3Char">
    <w:name w:val="Body Text Indent 3 Char"/>
    <w:basedOn w:val="DefaultParagraphFont"/>
    <w:link w:val="BodyTextIndent3"/>
    <w:rsid w:val="000B447C"/>
    <w:rPr>
      <w:rFonts w:ascii="Arial" w:hAnsi="Arial"/>
      <w:sz w:val="16"/>
      <w:szCs w:val="16"/>
      <w:lang w:eastAsia="en-US"/>
    </w:rPr>
  </w:style>
  <w:style w:type="paragraph" w:customStyle="1" w:styleId="Style1">
    <w:name w:val="Style1"/>
    <w:basedOn w:val="Normal"/>
    <w:rsid w:val="000B447C"/>
    <w:pPr>
      <w:keepLines w:val="0"/>
      <w:spacing w:after="0" w:line="240" w:lineRule="auto"/>
      <w:ind w:left="0"/>
    </w:pPr>
    <w:rPr>
      <w:rFonts w:ascii="Times New Roman" w:hAnsi="Times New Roman"/>
      <w:sz w:val="24"/>
      <w:szCs w:val="24"/>
      <w:lang w:eastAsia="en-AU"/>
    </w:rPr>
  </w:style>
  <w:style w:type="paragraph" w:customStyle="1" w:styleId="comment">
    <w:name w:val="comment"/>
    <w:basedOn w:val="Normal"/>
    <w:rsid w:val="000B447C"/>
    <w:pPr>
      <w:keepLines w:val="0"/>
      <w:spacing w:after="0" w:line="240" w:lineRule="auto"/>
      <w:ind w:left="709"/>
    </w:pPr>
    <w:rPr>
      <w:rFonts w:ascii="Times New Roman" w:hAnsi="Times New Roman"/>
      <w:sz w:val="24"/>
      <w:szCs w:val="24"/>
      <w:lang w:eastAsia="en-AU"/>
    </w:rPr>
  </w:style>
  <w:style w:type="paragraph" w:styleId="BodyTextIndent">
    <w:name w:val="Body Text Indent"/>
    <w:basedOn w:val="Normal"/>
    <w:link w:val="BodyTextIndentChar"/>
    <w:rsid w:val="00F77ED6"/>
    <w:pPr>
      <w:keepLines w:val="0"/>
      <w:overflowPunct w:val="0"/>
      <w:autoSpaceDE w:val="0"/>
      <w:autoSpaceDN w:val="0"/>
      <w:adjustRightInd w:val="0"/>
      <w:spacing w:line="240" w:lineRule="auto"/>
      <w:ind w:left="425"/>
      <w:textAlignment w:val="baseline"/>
    </w:pPr>
    <w:rPr>
      <w:rFonts w:ascii="Times New Roman" w:hAnsi="Times New Roman"/>
      <w:sz w:val="24"/>
      <w:szCs w:val="20"/>
      <w:lang w:eastAsia="en-AU"/>
    </w:rPr>
  </w:style>
  <w:style w:type="character" w:customStyle="1" w:styleId="BodyTextIndentChar">
    <w:name w:val="Body Text Indent Char"/>
    <w:basedOn w:val="DefaultParagraphFont"/>
    <w:link w:val="BodyTextIndent"/>
    <w:rsid w:val="000B447C"/>
    <w:rPr>
      <w:sz w:val="24"/>
    </w:rPr>
  </w:style>
  <w:style w:type="paragraph" w:styleId="BlockText">
    <w:name w:val="Block Text"/>
    <w:basedOn w:val="Normal"/>
    <w:uiPriority w:val="99"/>
    <w:rsid w:val="000B447C"/>
    <w:pPr>
      <w:keepLines w:val="0"/>
      <w:spacing w:line="240" w:lineRule="auto"/>
      <w:ind w:left="1440" w:right="1440"/>
    </w:pPr>
    <w:rPr>
      <w:rFonts w:ascii="Times New Roman" w:hAnsi="Times New Roman"/>
      <w:sz w:val="24"/>
      <w:szCs w:val="24"/>
      <w:lang w:eastAsia="en-AU"/>
    </w:rPr>
  </w:style>
  <w:style w:type="paragraph" w:styleId="ListBullet">
    <w:name w:val="List Bullet"/>
    <w:basedOn w:val="Normal"/>
    <w:rsid w:val="00F77ED6"/>
    <w:pPr>
      <w:keepLines w:val="0"/>
      <w:numPr>
        <w:numId w:val="2"/>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FootnoteText">
    <w:name w:val="footnote text"/>
    <w:basedOn w:val="Normal"/>
    <w:link w:val="FootnoteTextChar"/>
    <w:rsid w:val="000B447C"/>
    <w:pPr>
      <w:keepLines w:val="0"/>
      <w:spacing w:after="0" w:line="240" w:lineRule="auto"/>
      <w:ind w:left="0"/>
    </w:pPr>
    <w:rPr>
      <w:rFonts w:ascii="Times New Roman" w:hAnsi="Times New Roman"/>
      <w:sz w:val="18"/>
      <w:szCs w:val="24"/>
      <w:lang w:eastAsia="en-AU"/>
    </w:rPr>
  </w:style>
  <w:style w:type="character" w:customStyle="1" w:styleId="FootnoteTextChar">
    <w:name w:val="Footnote Text Char"/>
    <w:basedOn w:val="DefaultParagraphFont"/>
    <w:link w:val="FootnoteText"/>
    <w:rsid w:val="000B447C"/>
    <w:rPr>
      <w:sz w:val="18"/>
      <w:szCs w:val="24"/>
    </w:rPr>
  </w:style>
  <w:style w:type="paragraph" w:customStyle="1" w:styleId="Graphic">
    <w:name w:val="Graphic"/>
    <w:basedOn w:val="Signature"/>
    <w:rsid w:val="000B447C"/>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B447C"/>
    <w:pPr>
      <w:keepLines w:val="0"/>
      <w:spacing w:after="0" w:line="240" w:lineRule="auto"/>
      <w:ind w:left="0"/>
    </w:pPr>
    <w:rPr>
      <w:rFonts w:ascii="Times New Roman" w:hAnsi="Times New Roman"/>
      <w:sz w:val="24"/>
      <w:szCs w:val="24"/>
      <w:lang w:eastAsia="en-AU"/>
    </w:rPr>
  </w:style>
  <w:style w:type="character" w:customStyle="1" w:styleId="SignatureChar">
    <w:name w:val="Signature Char"/>
    <w:basedOn w:val="DefaultParagraphFont"/>
    <w:link w:val="Signature"/>
    <w:rsid w:val="000B447C"/>
    <w:rPr>
      <w:sz w:val="24"/>
      <w:szCs w:val="24"/>
    </w:rPr>
  </w:style>
  <w:style w:type="paragraph" w:styleId="ListBullet2">
    <w:name w:val="List Bullet 2"/>
    <w:basedOn w:val="ListBullet"/>
    <w:rsid w:val="000B447C"/>
    <w:pPr>
      <w:numPr>
        <w:ilvl w:val="1"/>
      </w:numPr>
      <w:tabs>
        <w:tab w:val="clear" w:pos="850"/>
      </w:tabs>
      <w:ind w:left="709" w:hanging="709"/>
    </w:pPr>
  </w:style>
  <w:style w:type="paragraph" w:styleId="MacroText">
    <w:name w:val="macro"/>
    <w:link w:val="MacroTextChar"/>
    <w:rsid w:val="000B447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Arial Unicode MS"/>
      <w:sz w:val="18"/>
      <w:lang w:val="en-GB" w:eastAsia="en-US"/>
    </w:rPr>
  </w:style>
  <w:style w:type="character" w:customStyle="1" w:styleId="MacroTextChar">
    <w:name w:val="Macro Text Char"/>
    <w:basedOn w:val="DefaultParagraphFont"/>
    <w:link w:val="MacroText"/>
    <w:rsid w:val="000B447C"/>
    <w:rPr>
      <w:rFonts w:ascii="Courier New" w:hAnsi="Courier New" w:cs="Arial Unicode MS"/>
      <w:sz w:val="18"/>
      <w:lang w:val="en-GB" w:eastAsia="en-US"/>
    </w:rPr>
  </w:style>
  <w:style w:type="paragraph" w:styleId="Title">
    <w:name w:val="Title"/>
    <w:basedOn w:val="Normal"/>
    <w:link w:val="TitleChar"/>
    <w:qFormat/>
    <w:rsid w:val="000B447C"/>
    <w:pPr>
      <w:keepLines w:val="0"/>
      <w:tabs>
        <w:tab w:val="left" w:pos="284"/>
      </w:tabs>
      <w:spacing w:after="0" w:line="240" w:lineRule="auto"/>
      <w:ind w:left="0"/>
      <w:jc w:val="center"/>
    </w:pPr>
    <w:rPr>
      <w:b/>
      <w:sz w:val="24"/>
      <w:szCs w:val="24"/>
      <w:lang w:eastAsia="en-AU"/>
    </w:rPr>
  </w:style>
  <w:style w:type="character" w:customStyle="1" w:styleId="TitleChar">
    <w:name w:val="Title Char"/>
    <w:basedOn w:val="DefaultParagraphFont"/>
    <w:link w:val="Title"/>
    <w:rsid w:val="000B447C"/>
    <w:rPr>
      <w:rFonts w:ascii="Arial" w:hAnsi="Arial"/>
      <w:b/>
      <w:sz w:val="24"/>
      <w:szCs w:val="24"/>
    </w:rPr>
  </w:style>
  <w:style w:type="paragraph" w:styleId="EndnoteText">
    <w:name w:val="endnote text"/>
    <w:basedOn w:val="Normal"/>
    <w:link w:val="EndnoteTextChar"/>
    <w:rsid w:val="000B447C"/>
    <w:pPr>
      <w:keepLines w:val="0"/>
      <w:spacing w:after="0" w:line="240" w:lineRule="auto"/>
      <w:ind w:left="0"/>
    </w:pPr>
    <w:rPr>
      <w:rFonts w:ascii="Times New Roman" w:hAnsi="Times New Roman"/>
      <w:sz w:val="20"/>
      <w:szCs w:val="24"/>
      <w:lang w:eastAsia="en-AU"/>
    </w:rPr>
  </w:style>
  <w:style w:type="character" w:customStyle="1" w:styleId="EndnoteTextChar">
    <w:name w:val="Endnote Text Char"/>
    <w:basedOn w:val="DefaultParagraphFont"/>
    <w:link w:val="EndnoteText"/>
    <w:rsid w:val="000B447C"/>
    <w:rPr>
      <w:szCs w:val="24"/>
    </w:rPr>
  </w:style>
  <w:style w:type="paragraph" w:customStyle="1" w:styleId="Bullet1">
    <w:name w:val="Bullet 1"/>
    <w:basedOn w:val="ListBullet"/>
    <w:rsid w:val="000B447C"/>
    <w:rPr>
      <w:bCs/>
    </w:rPr>
  </w:style>
  <w:style w:type="paragraph" w:customStyle="1" w:styleId="Bullet2">
    <w:name w:val="Bullet 2"/>
    <w:basedOn w:val="ListBullet2"/>
    <w:rsid w:val="000B447C"/>
    <w:rPr>
      <w:bCs/>
    </w:rPr>
  </w:style>
  <w:style w:type="paragraph" w:styleId="TOC1">
    <w:name w:val="toc 1"/>
    <w:basedOn w:val="Normal"/>
    <w:next w:val="Normal"/>
    <w:autoRedefine/>
    <w:rsid w:val="00F77ED6"/>
    <w:pPr>
      <w:keepLines w:val="0"/>
      <w:tabs>
        <w:tab w:val="left" w:pos="284"/>
        <w:tab w:val="left" w:pos="1134"/>
      </w:tabs>
      <w:spacing w:after="0" w:line="240" w:lineRule="auto"/>
      <w:ind w:left="-108"/>
    </w:pPr>
    <w:rPr>
      <w:rFonts w:ascii="Arial Narrow" w:hAnsi="Arial Narrow"/>
      <w:b/>
      <w:sz w:val="22"/>
      <w:szCs w:val="22"/>
      <w:lang w:eastAsia="en-AU"/>
    </w:rPr>
  </w:style>
  <w:style w:type="paragraph" w:styleId="TOC2">
    <w:name w:val="toc 2"/>
    <w:basedOn w:val="TOC1"/>
    <w:next w:val="Normal"/>
    <w:autoRedefine/>
    <w:rsid w:val="000B447C"/>
    <w:pPr>
      <w:ind w:left="240"/>
    </w:pPr>
    <w:rPr>
      <w:b w:val="0"/>
      <w:bCs/>
      <w:caps/>
      <w:smallCaps/>
    </w:rPr>
  </w:style>
  <w:style w:type="paragraph" w:styleId="TOC3">
    <w:name w:val="toc 3"/>
    <w:basedOn w:val="TOC2"/>
    <w:next w:val="Normal"/>
    <w:autoRedefine/>
    <w:rsid w:val="000B447C"/>
    <w:pPr>
      <w:ind w:left="480"/>
    </w:pPr>
    <w:rPr>
      <w:i/>
      <w:iCs/>
      <w:smallCaps w:val="0"/>
    </w:rPr>
  </w:style>
  <w:style w:type="paragraph" w:styleId="Index1">
    <w:name w:val="index 1"/>
    <w:basedOn w:val="Normal"/>
    <w:next w:val="Normal"/>
    <w:rsid w:val="000B447C"/>
    <w:pPr>
      <w:keepLines w:val="0"/>
      <w:tabs>
        <w:tab w:val="left" w:pos="709"/>
        <w:tab w:val="left" w:pos="1418"/>
        <w:tab w:val="left" w:pos="2126"/>
        <w:tab w:val="left" w:pos="9356"/>
      </w:tabs>
      <w:spacing w:after="0" w:line="240" w:lineRule="auto"/>
      <w:ind w:left="0"/>
    </w:pPr>
    <w:rPr>
      <w:rFonts w:ascii="Times New Roman" w:hAnsi="Times New Roman"/>
      <w:sz w:val="24"/>
      <w:szCs w:val="24"/>
      <w:lang w:eastAsia="en-AU"/>
    </w:rPr>
  </w:style>
  <w:style w:type="paragraph" w:styleId="Index2">
    <w:name w:val="index 2"/>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styleId="Index3">
    <w:name w:val="index 3"/>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customStyle="1" w:styleId="Indent1">
    <w:name w:val="Indent1"/>
    <w:basedOn w:val="Normal"/>
    <w:next w:val="Normal"/>
    <w:rsid w:val="000B447C"/>
    <w:pPr>
      <w:keepLines w:val="0"/>
      <w:tabs>
        <w:tab w:val="left" w:pos="709"/>
        <w:tab w:val="left" w:pos="1418"/>
        <w:tab w:val="left" w:pos="2126"/>
        <w:tab w:val="right" w:pos="9356"/>
      </w:tabs>
      <w:spacing w:after="0" w:line="240" w:lineRule="auto"/>
      <w:ind w:left="709" w:hanging="709"/>
    </w:pPr>
    <w:rPr>
      <w:rFonts w:ascii="Times New Roman" w:hAnsi="Times New Roman"/>
      <w:sz w:val="24"/>
      <w:szCs w:val="24"/>
      <w:lang w:eastAsia="en-AU"/>
    </w:rPr>
  </w:style>
  <w:style w:type="paragraph" w:customStyle="1" w:styleId="Indent2">
    <w:name w:val="Indent2"/>
    <w:basedOn w:val="Indent1"/>
    <w:next w:val="Normal"/>
    <w:rsid w:val="000B447C"/>
    <w:pPr>
      <w:ind w:left="1418"/>
    </w:pPr>
  </w:style>
  <w:style w:type="paragraph" w:customStyle="1" w:styleId="Indent3">
    <w:name w:val="Indent3"/>
    <w:basedOn w:val="Indent2"/>
    <w:next w:val="Normal"/>
    <w:rsid w:val="000B447C"/>
    <w:pPr>
      <w:tabs>
        <w:tab w:val="clear" w:pos="709"/>
        <w:tab w:val="clear" w:pos="1418"/>
        <w:tab w:val="clear" w:pos="2126"/>
        <w:tab w:val="clear" w:pos="9356"/>
      </w:tabs>
      <w:ind w:left="2127"/>
      <w:textAlignment w:val="baseline"/>
    </w:pPr>
  </w:style>
  <w:style w:type="paragraph" w:styleId="TOC4">
    <w:name w:val="toc 4"/>
    <w:basedOn w:val="Normal"/>
    <w:next w:val="Normal"/>
    <w:autoRedefine/>
    <w:rsid w:val="000B447C"/>
    <w:pPr>
      <w:keepLines w:val="0"/>
      <w:spacing w:after="0" w:line="240" w:lineRule="auto"/>
      <w:ind w:left="720"/>
    </w:pPr>
    <w:rPr>
      <w:rFonts w:ascii="Times New Roman" w:hAnsi="Times New Roman"/>
      <w:sz w:val="24"/>
      <w:lang w:eastAsia="en-AU"/>
    </w:rPr>
  </w:style>
  <w:style w:type="paragraph" w:styleId="TOC5">
    <w:name w:val="toc 5"/>
    <w:basedOn w:val="Normal"/>
    <w:next w:val="Normal"/>
    <w:autoRedefine/>
    <w:rsid w:val="000B447C"/>
    <w:pPr>
      <w:keepLines w:val="0"/>
      <w:spacing w:after="0" w:line="240" w:lineRule="auto"/>
      <w:ind w:left="960"/>
    </w:pPr>
    <w:rPr>
      <w:rFonts w:ascii="Times New Roman" w:hAnsi="Times New Roman"/>
      <w:sz w:val="24"/>
      <w:lang w:eastAsia="en-AU"/>
    </w:rPr>
  </w:style>
  <w:style w:type="paragraph" w:styleId="TOC6">
    <w:name w:val="toc 6"/>
    <w:basedOn w:val="Normal"/>
    <w:next w:val="Normal"/>
    <w:autoRedefine/>
    <w:rsid w:val="000B447C"/>
    <w:pPr>
      <w:keepLines w:val="0"/>
      <w:spacing w:after="0" w:line="240" w:lineRule="auto"/>
      <w:ind w:left="1200"/>
    </w:pPr>
    <w:rPr>
      <w:rFonts w:ascii="Times New Roman" w:hAnsi="Times New Roman"/>
      <w:sz w:val="24"/>
      <w:lang w:eastAsia="en-AU"/>
    </w:rPr>
  </w:style>
  <w:style w:type="paragraph" w:styleId="TOC7">
    <w:name w:val="toc 7"/>
    <w:basedOn w:val="Normal"/>
    <w:next w:val="Normal"/>
    <w:autoRedefine/>
    <w:rsid w:val="000B447C"/>
    <w:pPr>
      <w:keepLines w:val="0"/>
      <w:spacing w:after="0" w:line="240" w:lineRule="auto"/>
      <w:ind w:left="1440"/>
    </w:pPr>
    <w:rPr>
      <w:rFonts w:ascii="Times New Roman" w:hAnsi="Times New Roman"/>
      <w:sz w:val="24"/>
      <w:lang w:eastAsia="en-AU"/>
    </w:rPr>
  </w:style>
  <w:style w:type="paragraph" w:styleId="TOC8">
    <w:name w:val="toc 8"/>
    <w:basedOn w:val="Normal"/>
    <w:next w:val="Normal"/>
    <w:autoRedefine/>
    <w:rsid w:val="000B447C"/>
    <w:pPr>
      <w:keepLines w:val="0"/>
      <w:spacing w:after="0" w:line="240" w:lineRule="auto"/>
      <w:ind w:left="1680"/>
    </w:pPr>
    <w:rPr>
      <w:rFonts w:ascii="Times New Roman" w:hAnsi="Times New Roman"/>
      <w:sz w:val="24"/>
      <w:lang w:eastAsia="en-AU"/>
    </w:rPr>
  </w:style>
  <w:style w:type="paragraph" w:styleId="TOC9">
    <w:name w:val="toc 9"/>
    <w:basedOn w:val="Normal"/>
    <w:next w:val="Normal"/>
    <w:autoRedefine/>
    <w:rsid w:val="000B447C"/>
    <w:pPr>
      <w:keepLines w:val="0"/>
      <w:spacing w:after="0" w:line="240" w:lineRule="auto"/>
      <w:ind w:left="1920"/>
    </w:pPr>
    <w:rPr>
      <w:rFonts w:ascii="Times New Roman" w:hAnsi="Times New Roman"/>
      <w:sz w:val="24"/>
      <w:lang w:eastAsia="en-AU"/>
    </w:rPr>
  </w:style>
  <w:style w:type="paragraph" w:styleId="NormalWeb">
    <w:name w:val="Normal (Web)"/>
    <w:basedOn w:val="Normal"/>
    <w:rsid w:val="000B447C"/>
    <w:pPr>
      <w:keepLines w:val="0"/>
      <w:spacing w:before="100" w:beforeAutospacing="1" w:after="100" w:afterAutospacing="1" w:line="240" w:lineRule="auto"/>
      <w:ind w:left="0"/>
    </w:pPr>
    <w:rPr>
      <w:rFonts w:ascii="Arial Unicode MS" w:eastAsia="Arial Unicode MS" w:hAnsi="Arial Unicode MS" w:cs="Wingdings" w:hint="eastAsia"/>
      <w:color w:val="000000"/>
      <w:sz w:val="24"/>
      <w:szCs w:val="24"/>
      <w:lang w:eastAsia="en-AU"/>
    </w:rPr>
  </w:style>
  <w:style w:type="character" w:styleId="FollowedHyperlink">
    <w:name w:val="FollowedHyperlink"/>
    <w:basedOn w:val="DefaultParagraphFont"/>
    <w:rsid w:val="000B447C"/>
    <w:rPr>
      <w:color w:val="800080"/>
      <w:u w:val="single"/>
    </w:rPr>
  </w:style>
  <w:style w:type="paragraph" w:styleId="List">
    <w:name w:val="List"/>
    <w:basedOn w:val="Normal"/>
    <w:rsid w:val="000B447C"/>
    <w:pPr>
      <w:keepLines w:val="0"/>
      <w:spacing w:after="0" w:line="240" w:lineRule="auto"/>
      <w:ind w:left="283" w:hanging="283"/>
    </w:pPr>
    <w:rPr>
      <w:rFonts w:ascii="Times New Roman" w:hAnsi="Times New Roman"/>
      <w:sz w:val="24"/>
      <w:szCs w:val="24"/>
      <w:lang w:eastAsia="en-AU"/>
    </w:rPr>
  </w:style>
  <w:style w:type="character" w:customStyle="1" w:styleId="Description">
    <w:name w:val="Description"/>
    <w:basedOn w:val="DefaultParagraphFont"/>
    <w:rsid w:val="000B447C"/>
    <w:rPr>
      <w:rFonts w:ascii="Arial" w:hAnsi="Arial" w:cs="Arial"/>
      <w:color w:val="800000"/>
      <w:kern w:val="32"/>
      <w:sz w:val="20"/>
      <w:szCs w:val="32"/>
    </w:rPr>
  </w:style>
  <w:style w:type="paragraph" w:styleId="ListNumber">
    <w:name w:val="List Number"/>
    <w:basedOn w:val="Normal"/>
    <w:rsid w:val="00F77ED6"/>
    <w:pPr>
      <w:keepLines w:val="0"/>
      <w:numPr>
        <w:numId w:val="3"/>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Alpha">
    <w:name w:val="List Alpha"/>
    <w:basedOn w:val="Normal"/>
    <w:rsid w:val="00F77ED6"/>
    <w:pPr>
      <w:keepLines w:val="0"/>
      <w:numPr>
        <w:numId w:val="4"/>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Roman">
    <w:name w:val="List Roman"/>
    <w:basedOn w:val="Normal"/>
    <w:rsid w:val="00F77ED6"/>
    <w:pPr>
      <w:keepLines w:val="0"/>
      <w:numPr>
        <w:numId w:val="5"/>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BodyText2">
    <w:name w:val="Body Text 2"/>
    <w:basedOn w:val="Normal"/>
    <w:link w:val="BodyText2Char"/>
    <w:rsid w:val="000B447C"/>
    <w:pPr>
      <w:keepLines w:val="0"/>
      <w:spacing w:after="0" w:line="240" w:lineRule="auto"/>
      <w:ind w:left="0"/>
    </w:pPr>
    <w:rPr>
      <w:rFonts w:ascii="Times New Roman" w:hAnsi="Times New Roman"/>
      <w:sz w:val="16"/>
      <w:szCs w:val="24"/>
      <w:lang w:eastAsia="en-AU"/>
    </w:rPr>
  </w:style>
  <w:style w:type="character" w:customStyle="1" w:styleId="BodyText2Char">
    <w:name w:val="Body Text 2 Char"/>
    <w:basedOn w:val="DefaultParagraphFont"/>
    <w:link w:val="BodyText2"/>
    <w:rsid w:val="000B447C"/>
    <w:rPr>
      <w:sz w:val="16"/>
      <w:szCs w:val="24"/>
    </w:rPr>
  </w:style>
  <w:style w:type="paragraph" w:styleId="BodyText3">
    <w:name w:val="Body Text 3"/>
    <w:basedOn w:val="Normal"/>
    <w:link w:val="BodyText3Char"/>
    <w:rsid w:val="000B447C"/>
    <w:pPr>
      <w:keepLines w:val="0"/>
      <w:tabs>
        <w:tab w:val="left" w:pos="0"/>
      </w:tabs>
      <w:spacing w:after="360" w:line="240" w:lineRule="auto"/>
      <w:ind w:left="0"/>
      <w:jc w:val="both"/>
    </w:pPr>
    <w:rPr>
      <w:sz w:val="22"/>
      <w:szCs w:val="24"/>
      <w:lang w:eastAsia="en-AU"/>
    </w:rPr>
  </w:style>
  <w:style w:type="character" w:customStyle="1" w:styleId="BodyText3Char">
    <w:name w:val="Body Text 3 Char"/>
    <w:basedOn w:val="DefaultParagraphFont"/>
    <w:link w:val="BodyText3"/>
    <w:rsid w:val="000B447C"/>
    <w:rPr>
      <w:rFonts w:ascii="Arial" w:hAnsi="Arial"/>
      <w:sz w:val="22"/>
      <w:szCs w:val="24"/>
    </w:rPr>
  </w:style>
  <w:style w:type="paragraph" w:customStyle="1" w:styleId="TAFRBodyText">
    <w:name w:val="TAFR Body Text"/>
    <w:basedOn w:val="Normal"/>
    <w:rsid w:val="000B447C"/>
    <w:pPr>
      <w:keepLines w:val="0"/>
      <w:suppressAutoHyphens/>
      <w:autoSpaceDE w:val="0"/>
      <w:autoSpaceDN w:val="0"/>
      <w:adjustRightInd w:val="0"/>
      <w:spacing w:after="113" w:line="280" w:lineRule="atLeast"/>
      <w:ind w:left="0"/>
      <w:textAlignment w:val="center"/>
    </w:pPr>
    <w:rPr>
      <w:rFonts w:ascii="Arial MT Std" w:hAnsi="Arial MT Std" w:cs="Arial MT Std"/>
      <w:color w:val="000000"/>
      <w:w w:val="95"/>
      <w:lang w:eastAsia="en-AU"/>
    </w:rPr>
  </w:style>
  <w:style w:type="paragraph" w:customStyle="1" w:styleId="NoteHeading3TAFRNotes">
    <w:name w:val="Note Heading 3 (TAFR Notes)"/>
    <w:basedOn w:val="Normal"/>
    <w:rsid w:val="000B447C"/>
    <w:pPr>
      <w:keepNext/>
      <w:keepLines w:val="0"/>
      <w:suppressAutoHyphens/>
      <w:autoSpaceDE w:val="0"/>
      <w:autoSpaceDN w:val="0"/>
      <w:adjustRightInd w:val="0"/>
      <w:spacing w:before="57" w:after="0" w:line="320" w:lineRule="atLeast"/>
      <w:ind w:left="0"/>
      <w:textAlignment w:val="center"/>
    </w:pPr>
    <w:rPr>
      <w:rFonts w:ascii="Arial MT Std Cond" w:hAnsi="Arial MT Std Cond" w:cs="Arial MT Std Cond"/>
      <w:color w:val="FF6307"/>
      <w:w w:val="95"/>
      <w:sz w:val="26"/>
      <w:szCs w:val="26"/>
      <w:lang w:val="en-GB" w:eastAsia="en-AU"/>
    </w:rPr>
  </w:style>
  <w:style w:type="paragraph" w:customStyle="1" w:styleId="NoteHeading2letter">
    <w:name w:val="Note Heading 2 (letter)"/>
    <w:basedOn w:val="Normal"/>
    <w:rsid w:val="000B447C"/>
    <w:pPr>
      <w:keepNext/>
      <w:keepLines w:val="0"/>
      <w:tabs>
        <w:tab w:val="left" w:pos="340"/>
      </w:tabs>
      <w:suppressAutoHyphens/>
      <w:autoSpaceDE w:val="0"/>
      <w:autoSpaceDN w:val="0"/>
      <w:adjustRightInd w:val="0"/>
      <w:spacing w:before="57" w:after="0" w:line="320" w:lineRule="atLeast"/>
      <w:ind w:left="340" w:hanging="340"/>
      <w:textAlignment w:val="center"/>
    </w:pPr>
    <w:rPr>
      <w:rFonts w:ascii="Arial MT Std" w:hAnsi="Arial MT Std" w:cs="Arial MT Std"/>
      <w:color w:val="FF6307"/>
      <w:w w:val="90"/>
      <w:sz w:val="28"/>
      <w:szCs w:val="28"/>
      <w:lang w:eastAsia="en-AU"/>
    </w:rPr>
  </w:style>
  <w:style w:type="paragraph" w:customStyle="1" w:styleId="TAFRromanheadingTAFRNotes">
    <w:name w:val="TAFR roman heading (TAFR Notes)"/>
    <w:basedOn w:val="Normal"/>
    <w:rsid w:val="000B447C"/>
    <w:pPr>
      <w:keepNext/>
      <w:keepLines w:val="0"/>
      <w:tabs>
        <w:tab w:val="left" w:pos="340"/>
        <w:tab w:val="left" w:pos="680"/>
      </w:tabs>
      <w:suppressAutoHyphens/>
      <w:autoSpaceDE w:val="0"/>
      <w:autoSpaceDN w:val="0"/>
      <w:adjustRightInd w:val="0"/>
      <w:spacing w:before="57" w:after="0" w:line="290" w:lineRule="atLeast"/>
      <w:ind w:left="340" w:hanging="340"/>
      <w:textAlignment w:val="center"/>
    </w:pPr>
    <w:rPr>
      <w:rFonts w:ascii="Arial MT Std Medium" w:hAnsi="Arial MT Std Medium" w:cs="Arial MT Std Medium"/>
      <w:color w:val="000000"/>
      <w:w w:val="90"/>
      <w:lang w:eastAsia="en-AU"/>
    </w:rPr>
  </w:style>
  <w:style w:type="character" w:customStyle="1" w:styleId="TAFRbold">
    <w:name w:val="TAFR bold"/>
    <w:rsid w:val="000B447C"/>
    <w:rPr>
      <w:b/>
      <w:bCs/>
    </w:rPr>
  </w:style>
  <w:style w:type="paragraph" w:customStyle="1" w:styleId="Tabletextheading">
    <w:name w:val="Table text heading"/>
    <w:basedOn w:val="Default"/>
    <w:next w:val="Default"/>
    <w:link w:val="TabletextheadingChar"/>
    <w:rsid w:val="000B447C"/>
    <w:pPr>
      <w:spacing w:before="20" w:after="20"/>
    </w:pPr>
    <w:rPr>
      <w:rFonts w:cs="Times New Roman"/>
      <w:color w:val="auto"/>
    </w:rPr>
  </w:style>
  <w:style w:type="character" w:customStyle="1" w:styleId="TabletextheadingChar">
    <w:name w:val="Table text heading Char"/>
    <w:basedOn w:val="DefaultParagraphFont"/>
    <w:link w:val="Tabletextheading"/>
    <w:rsid w:val="000B447C"/>
    <w:rPr>
      <w:rFonts w:ascii="Arial" w:hAnsi="Arial"/>
      <w:sz w:val="24"/>
      <w:szCs w:val="24"/>
    </w:rPr>
  </w:style>
  <w:style w:type="paragraph" w:customStyle="1" w:styleId="SmallLine">
    <w:name w:val="Small Line"/>
    <w:basedOn w:val="Normal"/>
    <w:link w:val="SmallLineChar"/>
    <w:rsid w:val="000B447C"/>
    <w:pPr>
      <w:keepLines w:val="0"/>
      <w:spacing w:before="120" w:after="0" w:line="240" w:lineRule="auto"/>
      <w:ind w:left="0"/>
      <w:jc w:val="both"/>
    </w:pPr>
    <w:rPr>
      <w:rFonts w:ascii="Times New Roman" w:hAnsi="Times New Roman"/>
      <w:sz w:val="4"/>
      <w:szCs w:val="4"/>
    </w:rPr>
  </w:style>
  <w:style w:type="character" w:customStyle="1" w:styleId="SmallLineChar">
    <w:name w:val="Small Line Char"/>
    <w:basedOn w:val="DefaultParagraphFont"/>
    <w:link w:val="SmallLine"/>
    <w:locked/>
    <w:rsid w:val="000B447C"/>
    <w:rPr>
      <w:sz w:val="4"/>
      <w:szCs w:val="4"/>
      <w:lang w:eastAsia="en-US"/>
    </w:rPr>
  </w:style>
  <w:style w:type="paragraph" w:customStyle="1" w:styleId="Source">
    <w:name w:val="Source"/>
    <w:basedOn w:val="Normal"/>
    <w:next w:val="Normal"/>
    <w:link w:val="SourceChar"/>
    <w:locked/>
    <w:rsid w:val="000B447C"/>
    <w:pPr>
      <w:keepLines w:val="0"/>
      <w:spacing w:before="120" w:after="0" w:line="240" w:lineRule="auto"/>
      <w:ind w:left="0"/>
      <w:jc w:val="both"/>
    </w:pPr>
    <w:rPr>
      <w:rFonts w:ascii="Times New Roman" w:hAnsi="Times New Roman"/>
      <w:i/>
      <w:iCs/>
      <w:sz w:val="18"/>
      <w:szCs w:val="18"/>
    </w:rPr>
  </w:style>
  <w:style w:type="character" w:customStyle="1" w:styleId="SourceChar">
    <w:name w:val="Source Char"/>
    <w:basedOn w:val="DefaultParagraphFont"/>
    <w:link w:val="Source"/>
    <w:locked/>
    <w:rsid w:val="000B447C"/>
    <w:rPr>
      <w:i/>
      <w:iCs/>
      <w:sz w:val="18"/>
      <w:szCs w:val="18"/>
      <w:lang w:eastAsia="en-US"/>
    </w:rPr>
  </w:style>
  <w:style w:type="paragraph" w:customStyle="1" w:styleId="TableText">
    <w:name w:val="Table Text"/>
    <w:basedOn w:val="Normal"/>
    <w:rsid w:val="000B447C"/>
    <w:pPr>
      <w:keepLines w:val="0"/>
      <w:spacing w:before="30" w:after="30" w:line="240" w:lineRule="auto"/>
      <w:ind w:left="0"/>
    </w:pPr>
    <w:rPr>
      <w:rFonts w:cs="Arial"/>
      <w:sz w:val="18"/>
      <w:szCs w:val="18"/>
      <w:lang w:eastAsia="en-AU"/>
    </w:rPr>
  </w:style>
  <w:style w:type="paragraph" w:styleId="TOCHeading">
    <w:name w:val="TOC Heading"/>
    <w:basedOn w:val="Normal"/>
    <w:qFormat/>
    <w:rsid w:val="000B447C"/>
    <w:pPr>
      <w:keepLines w:val="0"/>
      <w:spacing w:before="80" w:after="400" w:line="520" w:lineRule="exact"/>
      <w:ind w:left="0"/>
    </w:pPr>
    <w:rPr>
      <w:rFonts w:ascii="Arial Bold" w:hAnsi="Arial Bold" w:cs="Arial Bold"/>
      <w:b/>
      <w:bCs/>
      <w:sz w:val="32"/>
      <w:szCs w:val="32"/>
    </w:rPr>
  </w:style>
  <w:style w:type="paragraph" w:customStyle="1" w:styleId="dotpoint">
    <w:name w:val="dot point"/>
    <w:basedOn w:val="Normal"/>
    <w:link w:val="dotpointChar"/>
    <w:rsid w:val="000B447C"/>
    <w:pPr>
      <w:keepLines w:val="0"/>
      <w:numPr>
        <w:numId w:val="6"/>
      </w:numPr>
      <w:tabs>
        <w:tab w:val="left" w:pos="1980"/>
      </w:tabs>
      <w:spacing w:after="140" w:line="240" w:lineRule="atLeast"/>
      <w:jc w:val="both"/>
    </w:pPr>
    <w:rPr>
      <w:sz w:val="20"/>
      <w:szCs w:val="20"/>
    </w:rPr>
  </w:style>
  <w:style w:type="character" w:customStyle="1" w:styleId="dotpointChar">
    <w:name w:val="dot point Char"/>
    <w:basedOn w:val="DefaultParagraphFont"/>
    <w:link w:val="dotpoint"/>
    <w:rsid w:val="000B447C"/>
    <w:rPr>
      <w:rFonts w:ascii="Arial" w:hAnsi="Arial"/>
      <w:lang w:eastAsia="en-US"/>
    </w:rPr>
  </w:style>
  <w:style w:type="paragraph" w:styleId="ListParagraph">
    <w:name w:val="List Paragraph"/>
    <w:basedOn w:val="Normal"/>
    <w:uiPriority w:val="34"/>
    <w:qFormat/>
    <w:rsid w:val="00BB203E"/>
    <w:pPr>
      <w:keepLines w:val="0"/>
      <w:spacing w:after="0" w:line="240" w:lineRule="auto"/>
      <w:ind w:left="720"/>
    </w:pPr>
    <w:rPr>
      <w:rFonts w:ascii="Times New Roman" w:hAnsi="Times New Roman"/>
      <w:sz w:val="24"/>
      <w:szCs w:val="24"/>
    </w:rPr>
  </w:style>
  <w:style w:type="paragraph" w:styleId="Header">
    <w:name w:val="header"/>
    <w:basedOn w:val="Normal"/>
    <w:link w:val="HeaderChar"/>
    <w:uiPriority w:val="99"/>
    <w:rsid w:val="00C708C3"/>
    <w:pPr>
      <w:tabs>
        <w:tab w:val="center" w:pos="4153"/>
        <w:tab w:val="right" w:pos="8306"/>
      </w:tabs>
    </w:pPr>
  </w:style>
  <w:style w:type="character" w:customStyle="1" w:styleId="HeaderChar">
    <w:name w:val="Header Char"/>
    <w:basedOn w:val="DefaultParagraphFont"/>
    <w:link w:val="Header"/>
    <w:uiPriority w:val="99"/>
    <w:rsid w:val="00C708C3"/>
    <w:rPr>
      <w:rFonts w:ascii="Arial" w:hAnsi="Arial"/>
      <w:sz w:val="21"/>
      <w:szCs w:val="21"/>
      <w:lang w:eastAsia="en-US"/>
    </w:rPr>
  </w:style>
  <w:style w:type="character" w:styleId="FootnoteReference">
    <w:name w:val="footnote reference"/>
    <w:rsid w:val="007B1B9B"/>
    <w:rPr>
      <w:vertAlign w:val="superscript"/>
    </w:rPr>
  </w:style>
  <w:style w:type="paragraph" w:styleId="Revision">
    <w:name w:val="Revision"/>
    <w:hidden/>
    <w:uiPriority w:val="99"/>
    <w:semiHidden/>
    <w:rsid w:val="00520280"/>
    <w:rPr>
      <w:rFonts w:ascii="Arial" w:hAnsi="Arial"/>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746EF4"/>
    <w:pPr>
      <w:keepLines/>
      <w:spacing w:after="120" w:line="300" w:lineRule="exact"/>
      <w:ind w:left="851"/>
    </w:pPr>
    <w:rPr>
      <w:rFonts w:ascii="Arial" w:hAnsi="Arial"/>
      <w:sz w:val="21"/>
      <w:szCs w:val="21"/>
      <w:lang w:eastAsia="en-US"/>
    </w:rPr>
  </w:style>
  <w:style w:type="paragraph" w:styleId="Heading1">
    <w:name w:val="heading 1"/>
    <w:basedOn w:val="Normal"/>
    <w:next w:val="Normal"/>
    <w:link w:val="Heading1Char"/>
    <w:qFormat/>
    <w:rsid w:val="00F4259B"/>
    <w:pPr>
      <w:keepNext/>
      <w:spacing w:before="240" w:after="60" w:line="240" w:lineRule="auto"/>
      <w:outlineLvl w:val="0"/>
    </w:pPr>
    <w:rPr>
      <w:rFonts w:cs="Arial"/>
      <w:b/>
      <w:bCs/>
      <w:kern w:val="32"/>
      <w:sz w:val="24"/>
      <w:szCs w:val="32"/>
    </w:rPr>
  </w:style>
  <w:style w:type="paragraph" w:styleId="Heading2">
    <w:name w:val="heading 2"/>
    <w:basedOn w:val="Normal"/>
    <w:next w:val="Normal"/>
    <w:link w:val="Heading2Char"/>
    <w:qFormat/>
    <w:rsid w:val="00F4259B"/>
    <w:pPr>
      <w:keepNext/>
      <w:spacing w:before="240" w:after="60"/>
      <w:outlineLvl w:val="1"/>
    </w:pPr>
    <w:rPr>
      <w:rFonts w:cs="Arial"/>
      <w:b/>
      <w:bCs/>
      <w:i/>
      <w:iCs/>
      <w:szCs w:val="28"/>
    </w:rPr>
  </w:style>
  <w:style w:type="paragraph" w:styleId="Heading3">
    <w:name w:val="heading 3"/>
    <w:basedOn w:val="Normal"/>
    <w:next w:val="Normal"/>
    <w:link w:val="Heading3Char"/>
    <w:qFormat/>
    <w:rsid w:val="000B447C"/>
    <w:pPr>
      <w:keepNext/>
      <w:keepLines w:val="0"/>
      <w:spacing w:line="240" w:lineRule="auto"/>
      <w:ind w:left="0"/>
      <w:outlineLvl w:val="2"/>
    </w:pPr>
    <w:rPr>
      <w:rFonts w:ascii="Arial Narrow" w:hAnsi="Arial Narrow"/>
      <w:b/>
      <w:bCs/>
      <w:i/>
      <w:sz w:val="24"/>
      <w:szCs w:val="26"/>
      <w:lang w:eastAsia="en-AU"/>
    </w:rPr>
  </w:style>
  <w:style w:type="paragraph" w:styleId="Heading4">
    <w:name w:val="heading 4"/>
    <w:basedOn w:val="Normal"/>
    <w:next w:val="Normal"/>
    <w:link w:val="Heading4Char"/>
    <w:qFormat/>
    <w:rsid w:val="000B447C"/>
    <w:pPr>
      <w:keepNext/>
      <w:keepLines w:val="0"/>
      <w:spacing w:after="60" w:line="240" w:lineRule="auto"/>
      <w:ind w:left="0"/>
      <w:outlineLvl w:val="3"/>
    </w:pPr>
    <w:rPr>
      <w:rFonts w:ascii="Arial Narrow" w:hAnsi="Arial Narrow"/>
      <w:bCs/>
      <w:i/>
      <w:sz w:val="24"/>
      <w:szCs w:val="28"/>
      <w:lang w:eastAsia="en-AU"/>
    </w:rPr>
  </w:style>
  <w:style w:type="paragraph" w:styleId="Heading5">
    <w:name w:val="heading 5"/>
    <w:basedOn w:val="Normal"/>
    <w:next w:val="Normal"/>
    <w:link w:val="Heading5Char"/>
    <w:qFormat/>
    <w:rsid w:val="000B447C"/>
    <w:pPr>
      <w:keepLines w:val="0"/>
      <w:tabs>
        <w:tab w:val="left" w:pos="709"/>
        <w:tab w:val="left" w:pos="1418"/>
        <w:tab w:val="left" w:pos="2126"/>
        <w:tab w:val="right" w:pos="9356"/>
      </w:tabs>
      <w:spacing w:before="240" w:after="60" w:line="240" w:lineRule="auto"/>
      <w:ind w:left="0"/>
      <w:outlineLvl w:val="4"/>
    </w:pPr>
    <w:rPr>
      <w:rFonts w:ascii="Times New Roman" w:hAnsi="Times New Roman"/>
      <w:sz w:val="22"/>
      <w:szCs w:val="24"/>
      <w:lang w:eastAsia="en-AU"/>
    </w:rPr>
  </w:style>
  <w:style w:type="paragraph" w:styleId="Heading6">
    <w:name w:val="heading 6"/>
    <w:basedOn w:val="Normal"/>
    <w:next w:val="Normal"/>
    <w:link w:val="Heading6Char"/>
    <w:qFormat/>
    <w:rsid w:val="000B447C"/>
    <w:pPr>
      <w:keepLines w:val="0"/>
      <w:tabs>
        <w:tab w:val="left" w:pos="709"/>
        <w:tab w:val="left" w:pos="1418"/>
        <w:tab w:val="left" w:pos="2126"/>
        <w:tab w:val="right" w:pos="9356"/>
      </w:tabs>
      <w:spacing w:before="240" w:after="60" w:line="240" w:lineRule="auto"/>
      <w:ind w:left="0"/>
      <w:outlineLvl w:val="5"/>
    </w:pPr>
    <w:rPr>
      <w:rFonts w:ascii="Times New Roman" w:hAnsi="Times New Roman"/>
      <w:i/>
      <w:sz w:val="22"/>
      <w:szCs w:val="24"/>
      <w:lang w:eastAsia="en-AU"/>
    </w:rPr>
  </w:style>
  <w:style w:type="paragraph" w:styleId="Heading7">
    <w:name w:val="heading 7"/>
    <w:basedOn w:val="Normal"/>
    <w:next w:val="Normal"/>
    <w:link w:val="Heading7Char"/>
    <w:qFormat/>
    <w:rsid w:val="000B447C"/>
    <w:pPr>
      <w:keepLines w:val="0"/>
      <w:tabs>
        <w:tab w:val="left" w:pos="709"/>
        <w:tab w:val="left" w:pos="1418"/>
        <w:tab w:val="left" w:pos="2126"/>
        <w:tab w:val="right" w:pos="9356"/>
      </w:tabs>
      <w:spacing w:before="240" w:after="60" w:line="240" w:lineRule="auto"/>
      <w:ind w:left="0"/>
      <w:outlineLvl w:val="6"/>
    </w:pPr>
    <w:rPr>
      <w:rFonts w:ascii="Times New Roman" w:hAnsi="Times New Roman"/>
      <w:sz w:val="20"/>
      <w:szCs w:val="24"/>
      <w:lang w:eastAsia="en-AU"/>
    </w:rPr>
  </w:style>
  <w:style w:type="paragraph" w:styleId="Heading8">
    <w:name w:val="heading 8"/>
    <w:basedOn w:val="Normal"/>
    <w:next w:val="Normal"/>
    <w:link w:val="Heading8Char"/>
    <w:qFormat/>
    <w:rsid w:val="000B447C"/>
    <w:pPr>
      <w:keepLines w:val="0"/>
      <w:tabs>
        <w:tab w:val="left" w:pos="709"/>
        <w:tab w:val="left" w:pos="1418"/>
        <w:tab w:val="left" w:pos="2126"/>
        <w:tab w:val="right" w:pos="9356"/>
      </w:tabs>
      <w:spacing w:before="240" w:after="60" w:line="240" w:lineRule="auto"/>
      <w:ind w:left="0"/>
      <w:outlineLvl w:val="7"/>
    </w:pPr>
    <w:rPr>
      <w:rFonts w:ascii="Times New Roman" w:hAnsi="Times New Roman"/>
      <w:i/>
      <w:sz w:val="20"/>
      <w:szCs w:val="24"/>
      <w:lang w:eastAsia="en-AU"/>
    </w:rPr>
  </w:style>
  <w:style w:type="paragraph" w:styleId="Heading9">
    <w:name w:val="heading 9"/>
    <w:basedOn w:val="Normal"/>
    <w:next w:val="Normal"/>
    <w:link w:val="Heading9Char"/>
    <w:qFormat/>
    <w:rsid w:val="000B447C"/>
    <w:pPr>
      <w:keepLines w:val="0"/>
      <w:tabs>
        <w:tab w:val="left" w:pos="709"/>
        <w:tab w:val="left" w:pos="1418"/>
        <w:tab w:val="left" w:pos="2126"/>
        <w:tab w:val="right" w:pos="9356"/>
      </w:tabs>
      <w:spacing w:before="240" w:after="60" w:line="240" w:lineRule="auto"/>
      <w:ind w:left="0"/>
      <w:outlineLvl w:val="8"/>
    </w:pPr>
    <w:rPr>
      <w:rFonts w:ascii="Times New Roman" w:hAnsi="Times New Roman"/>
      <w:b/>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47C"/>
    <w:rPr>
      <w:rFonts w:ascii="Arial" w:hAnsi="Arial" w:cs="Arial"/>
      <w:b/>
      <w:bCs/>
      <w:kern w:val="32"/>
      <w:sz w:val="24"/>
      <w:szCs w:val="32"/>
      <w:lang w:eastAsia="en-US"/>
    </w:rPr>
  </w:style>
  <w:style w:type="character" w:customStyle="1" w:styleId="Heading2Char">
    <w:name w:val="Heading 2 Char"/>
    <w:basedOn w:val="DefaultParagraphFont"/>
    <w:link w:val="Heading2"/>
    <w:rsid w:val="000B447C"/>
    <w:rPr>
      <w:rFonts w:ascii="Arial" w:hAnsi="Arial" w:cs="Arial"/>
      <w:b/>
      <w:bCs/>
      <w:i/>
      <w:iCs/>
      <w:sz w:val="21"/>
      <w:szCs w:val="28"/>
      <w:lang w:eastAsia="en-US"/>
    </w:rPr>
  </w:style>
  <w:style w:type="character" w:customStyle="1" w:styleId="Heading3Char">
    <w:name w:val="Heading 3 Char"/>
    <w:basedOn w:val="DefaultParagraphFont"/>
    <w:link w:val="Heading3"/>
    <w:rsid w:val="000B447C"/>
    <w:rPr>
      <w:rFonts w:ascii="Arial Narrow" w:hAnsi="Arial Narrow"/>
      <w:b/>
      <w:bCs/>
      <w:i/>
      <w:sz w:val="24"/>
      <w:szCs w:val="26"/>
    </w:rPr>
  </w:style>
  <w:style w:type="character" w:customStyle="1" w:styleId="Heading4Char">
    <w:name w:val="Heading 4 Char"/>
    <w:basedOn w:val="DefaultParagraphFont"/>
    <w:link w:val="Heading4"/>
    <w:rsid w:val="000B447C"/>
    <w:rPr>
      <w:rFonts w:ascii="Arial Narrow" w:hAnsi="Arial Narrow"/>
      <w:bCs/>
      <w:i/>
      <w:sz w:val="24"/>
      <w:szCs w:val="28"/>
    </w:rPr>
  </w:style>
  <w:style w:type="character" w:customStyle="1" w:styleId="Heading5Char">
    <w:name w:val="Heading 5 Char"/>
    <w:basedOn w:val="DefaultParagraphFont"/>
    <w:link w:val="Heading5"/>
    <w:rsid w:val="000B447C"/>
    <w:rPr>
      <w:sz w:val="22"/>
      <w:szCs w:val="24"/>
    </w:rPr>
  </w:style>
  <w:style w:type="character" w:customStyle="1" w:styleId="Heading6Char">
    <w:name w:val="Heading 6 Char"/>
    <w:basedOn w:val="DefaultParagraphFont"/>
    <w:link w:val="Heading6"/>
    <w:rsid w:val="000B447C"/>
    <w:rPr>
      <w:i/>
      <w:sz w:val="22"/>
      <w:szCs w:val="24"/>
    </w:rPr>
  </w:style>
  <w:style w:type="character" w:customStyle="1" w:styleId="Heading7Char">
    <w:name w:val="Heading 7 Char"/>
    <w:basedOn w:val="DefaultParagraphFont"/>
    <w:link w:val="Heading7"/>
    <w:rsid w:val="000B447C"/>
    <w:rPr>
      <w:szCs w:val="24"/>
    </w:rPr>
  </w:style>
  <w:style w:type="character" w:customStyle="1" w:styleId="Heading8Char">
    <w:name w:val="Heading 8 Char"/>
    <w:basedOn w:val="DefaultParagraphFont"/>
    <w:link w:val="Heading8"/>
    <w:rsid w:val="000B447C"/>
    <w:rPr>
      <w:i/>
      <w:szCs w:val="24"/>
    </w:rPr>
  </w:style>
  <w:style w:type="character" w:customStyle="1" w:styleId="Heading9Char">
    <w:name w:val="Heading 9 Char"/>
    <w:basedOn w:val="DefaultParagraphFont"/>
    <w:link w:val="Heading9"/>
    <w:rsid w:val="000B447C"/>
    <w:rPr>
      <w:b/>
      <w:i/>
      <w:sz w:val="18"/>
      <w:szCs w:val="24"/>
    </w:rPr>
  </w:style>
  <w:style w:type="paragraph" w:customStyle="1" w:styleId="MainHeader">
    <w:name w:val="Main Header"/>
    <w:basedOn w:val="Heading1"/>
    <w:rsid w:val="00F4259B"/>
    <w:pPr>
      <w:spacing w:before="0" w:after="120"/>
      <w:jc w:val="center"/>
    </w:pPr>
  </w:style>
  <w:style w:type="paragraph" w:customStyle="1" w:styleId="AGRHeading1">
    <w:name w:val="AGR Heading 1"/>
    <w:next w:val="AGRBodyText"/>
    <w:autoRedefine/>
    <w:rsid w:val="0083183F"/>
    <w:pPr>
      <w:pageBreakBefore/>
      <w:spacing w:after="720" w:line="480" w:lineRule="exact"/>
      <w:outlineLvl w:val="0"/>
    </w:pPr>
    <w:rPr>
      <w:rFonts w:ascii="Arial" w:hAnsi="Arial" w:cs="Arial"/>
      <w:b/>
      <w:color w:val="808080"/>
      <w:w w:val="90"/>
      <w:sz w:val="48"/>
      <w:szCs w:val="36"/>
      <w:lang w:eastAsia="en-US"/>
    </w:rPr>
  </w:style>
  <w:style w:type="paragraph" w:customStyle="1" w:styleId="AGRBodyText">
    <w:name w:val="AGR Body Text"/>
    <w:link w:val="AGRBodyTextChar"/>
    <w:autoRedefine/>
    <w:rsid w:val="00DE0303"/>
    <w:pPr>
      <w:keepLines/>
      <w:spacing w:after="120" w:line="300" w:lineRule="exact"/>
      <w:ind w:left="851"/>
    </w:pPr>
    <w:rPr>
      <w:rFonts w:ascii="Arial" w:hAnsi="Arial" w:cs="Arial"/>
      <w:sz w:val="21"/>
      <w:szCs w:val="21"/>
      <w:lang w:val="en-US" w:eastAsia="en-US"/>
    </w:rPr>
  </w:style>
  <w:style w:type="character" w:customStyle="1" w:styleId="AGRBodyTextChar">
    <w:name w:val="AGR Body Text Char"/>
    <w:basedOn w:val="DefaultParagraphFont"/>
    <w:link w:val="AGRBodyText"/>
    <w:rsid w:val="00DE0303"/>
    <w:rPr>
      <w:rFonts w:ascii="Arial" w:hAnsi="Arial" w:cs="Arial"/>
      <w:sz w:val="21"/>
      <w:szCs w:val="21"/>
      <w:lang w:val="en-US" w:eastAsia="en-US"/>
    </w:rPr>
  </w:style>
  <w:style w:type="paragraph" w:styleId="Footer">
    <w:name w:val="footer"/>
    <w:basedOn w:val="Normal"/>
    <w:link w:val="FooterChar"/>
    <w:rsid w:val="00746EF4"/>
    <w:pPr>
      <w:tabs>
        <w:tab w:val="center" w:pos="4153"/>
        <w:tab w:val="right" w:pos="8306"/>
      </w:tabs>
    </w:pPr>
  </w:style>
  <w:style w:type="character" w:customStyle="1" w:styleId="FooterChar">
    <w:name w:val="Footer Char"/>
    <w:basedOn w:val="DefaultParagraphFont"/>
    <w:link w:val="Footer"/>
    <w:rsid w:val="000B447C"/>
    <w:rPr>
      <w:rFonts w:ascii="Arial" w:hAnsi="Arial"/>
      <w:sz w:val="21"/>
      <w:szCs w:val="21"/>
      <w:lang w:eastAsia="en-US"/>
    </w:rPr>
  </w:style>
  <w:style w:type="paragraph" w:customStyle="1" w:styleId="AGRFooterOdd">
    <w:name w:val="AGR Footer Odd"/>
    <w:rsid w:val="00746EF4"/>
    <w:pPr>
      <w:tabs>
        <w:tab w:val="right" w:pos="7938"/>
        <w:tab w:val="right" w:pos="8786"/>
      </w:tabs>
      <w:spacing w:line="260" w:lineRule="exact"/>
      <w:ind w:right="-3"/>
    </w:pPr>
    <w:rPr>
      <w:rFonts w:ascii="Microsoft Sans Serif" w:hAnsi="Microsoft Sans Serif" w:cs="Microsoft Sans Serif"/>
      <w:sz w:val="18"/>
      <w:szCs w:val="18"/>
      <w:lang w:eastAsia="en-US"/>
    </w:rPr>
  </w:style>
  <w:style w:type="paragraph" w:customStyle="1" w:styleId="AGRTableText">
    <w:name w:val="AGR Table Text"/>
    <w:basedOn w:val="AGRSpeakersletter"/>
    <w:rsid w:val="002D4B8D"/>
    <w:pPr>
      <w:spacing w:line="280" w:lineRule="exact"/>
    </w:pPr>
    <w:rPr>
      <w:rFonts w:cs="Arial"/>
      <w:sz w:val="20"/>
    </w:rPr>
  </w:style>
  <w:style w:type="paragraph" w:customStyle="1" w:styleId="AGRSpeakersletter">
    <w:name w:val="AGR Speakers letter"/>
    <w:basedOn w:val="Normal"/>
    <w:rsid w:val="00074668"/>
    <w:pPr>
      <w:ind w:left="0"/>
    </w:pPr>
    <w:rPr>
      <w:szCs w:val="20"/>
    </w:rPr>
  </w:style>
  <w:style w:type="paragraph" w:customStyle="1" w:styleId="AGRBulletText">
    <w:name w:val="AGR Bullet Text"/>
    <w:basedOn w:val="AGRBodyText"/>
    <w:link w:val="AGRBulletTextCharChar"/>
    <w:autoRedefine/>
    <w:rsid w:val="009E5CE6"/>
    <w:pPr>
      <w:numPr>
        <w:numId w:val="14"/>
      </w:numPr>
      <w:tabs>
        <w:tab w:val="left" w:pos="2127"/>
      </w:tabs>
    </w:pPr>
    <w:rPr>
      <w:szCs w:val="24"/>
    </w:rPr>
  </w:style>
  <w:style w:type="character" w:customStyle="1" w:styleId="AGRBulletTextCharChar">
    <w:name w:val="AGR Bullet Text Char Char"/>
    <w:basedOn w:val="AGRBodyTextChar"/>
    <w:link w:val="AGRBulletText"/>
    <w:rsid w:val="009E5CE6"/>
    <w:rPr>
      <w:rFonts w:ascii="Arial" w:hAnsi="Arial" w:cs="Arial"/>
      <w:sz w:val="21"/>
      <w:szCs w:val="24"/>
      <w:lang w:val="en-US" w:eastAsia="en-US"/>
    </w:rPr>
  </w:style>
  <w:style w:type="paragraph" w:customStyle="1" w:styleId="AGRHeading2">
    <w:name w:val="AGR Heading 2"/>
    <w:next w:val="AGRBodyText"/>
    <w:link w:val="AGRHeading2Char"/>
    <w:rsid w:val="00746EF4"/>
    <w:pPr>
      <w:keepNext/>
      <w:spacing w:after="60" w:line="380" w:lineRule="exact"/>
      <w:ind w:left="851"/>
      <w:outlineLvl w:val="0"/>
    </w:pPr>
    <w:rPr>
      <w:rFonts w:ascii="Arial" w:hAnsi="Arial" w:cs="Arial"/>
      <w:b/>
      <w:w w:val="90"/>
      <w:sz w:val="28"/>
      <w:szCs w:val="28"/>
      <w:lang w:eastAsia="en-US"/>
    </w:rPr>
  </w:style>
  <w:style w:type="character" w:customStyle="1" w:styleId="AGRHeading2Char">
    <w:name w:val="AGR Heading 2 Char"/>
    <w:basedOn w:val="DefaultParagraphFont"/>
    <w:link w:val="AGRHeading2"/>
    <w:rsid w:val="00746EF4"/>
    <w:rPr>
      <w:rFonts w:ascii="Arial" w:hAnsi="Arial" w:cs="Arial"/>
      <w:b/>
      <w:w w:val="90"/>
      <w:sz w:val="28"/>
      <w:szCs w:val="28"/>
      <w:lang w:val="en-AU" w:eastAsia="en-US" w:bidi="ar-SA"/>
    </w:rPr>
  </w:style>
  <w:style w:type="paragraph" w:customStyle="1" w:styleId="AGRHeading3">
    <w:name w:val="AGR Heading 3"/>
    <w:next w:val="AGRBodyText"/>
    <w:autoRedefine/>
    <w:rsid w:val="00C708C3"/>
    <w:pPr>
      <w:spacing w:before="160"/>
      <w:ind w:left="851"/>
    </w:pPr>
    <w:rPr>
      <w:rFonts w:ascii="Arial" w:hAnsi="Arial" w:cs="Arial"/>
      <w:b/>
      <w:color w:val="808080"/>
      <w:w w:val="90"/>
      <w:sz w:val="24"/>
      <w:szCs w:val="19"/>
      <w:lang w:eastAsia="en-US"/>
    </w:rPr>
  </w:style>
  <w:style w:type="paragraph" w:customStyle="1" w:styleId="AGRHeading4">
    <w:name w:val="AGR Heading 4"/>
    <w:basedOn w:val="AGRHeading3"/>
    <w:next w:val="AGRBodyText"/>
    <w:rsid w:val="00746EF4"/>
    <w:pPr>
      <w:spacing w:line="280" w:lineRule="exact"/>
    </w:pPr>
    <w:rPr>
      <w:b w:val="0"/>
      <w:i/>
      <w:w w:val="100"/>
      <w:sz w:val="22"/>
      <w:szCs w:val="20"/>
    </w:rPr>
  </w:style>
  <w:style w:type="character" w:styleId="PageNumber">
    <w:name w:val="page number"/>
    <w:basedOn w:val="DefaultParagraphFont"/>
    <w:rsid w:val="008713AF"/>
  </w:style>
  <w:style w:type="paragraph" w:customStyle="1" w:styleId="AGRFooterEven">
    <w:name w:val="AGR Footer Even"/>
    <w:rsid w:val="008713AF"/>
    <w:pPr>
      <w:tabs>
        <w:tab w:val="left" w:pos="851"/>
        <w:tab w:val="right" w:pos="7088"/>
        <w:tab w:val="right" w:pos="7938"/>
      </w:tabs>
      <w:spacing w:line="260" w:lineRule="exact"/>
    </w:pPr>
    <w:rPr>
      <w:rFonts w:ascii="Microsoft Sans Serif" w:hAnsi="Microsoft Sans Serif" w:cs="Microsoft Sans Serif"/>
      <w:sz w:val="18"/>
      <w:szCs w:val="18"/>
      <w:lang w:eastAsia="en-US"/>
    </w:rPr>
  </w:style>
  <w:style w:type="paragraph" w:customStyle="1" w:styleId="AGRTOCNumbers">
    <w:name w:val="AGR TOC Numbers"/>
    <w:basedOn w:val="AGRTOC"/>
    <w:rsid w:val="00B7323D"/>
    <w:pPr>
      <w:tabs>
        <w:tab w:val="decimal" w:pos="643"/>
      </w:tabs>
    </w:pPr>
  </w:style>
  <w:style w:type="paragraph" w:customStyle="1" w:styleId="AGRTOC">
    <w:name w:val="AGR TOC"/>
    <w:basedOn w:val="Normal"/>
    <w:rsid w:val="00201259"/>
    <w:pPr>
      <w:spacing w:line="270" w:lineRule="exact"/>
      <w:ind w:left="0"/>
    </w:pPr>
    <w:rPr>
      <w:b/>
    </w:rPr>
  </w:style>
  <w:style w:type="paragraph" w:customStyle="1" w:styleId="AGRTableTextBold">
    <w:name w:val="AGR Table Text Bold"/>
    <w:basedOn w:val="AGRTableText"/>
    <w:next w:val="AGRTableText"/>
    <w:rsid w:val="009F3906"/>
    <w:rPr>
      <w:b/>
    </w:rPr>
  </w:style>
  <w:style w:type="table" w:styleId="TableGrid">
    <w:name w:val="Table Grid"/>
    <w:basedOn w:val="TableNormal"/>
    <w:rsid w:val="00074668"/>
    <w:pPr>
      <w:keepLines/>
      <w:spacing w:after="120" w:line="300" w:lineRule="exact"/>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TableNumbers">
    <w:name w:val="AGR Table Numbers"/>
    <w:basedOn w:val="AGRTableText"/>
    <w:rsid w:val="009F3906"/>
    <w:pPr>
      <w:tabs>
        <w:tab w:val="decimal" w:pos="811"/>
      </w:tabs>
    </w:pPr>
  </w:style>
  <w:style w:type="paragraph" w:customStyle="1" w:styleId="AGRTableNumbersBold">
    <w:name w:val="AGR Table Numbers Bold"/>
    <w:basedOn w:val="AGRTableNumbers"/>
    <w:next w:val="AGRTableNumbers"/>
    <w:rsid w:val="009F3906"/>
    <w:rPr>
      <w:b/>
    </w:rPr>
  </w:style>
  <w:style w:type="paragraph" w:customStyle="1" w:styleId="BulletedBody">
    <w:name w:val="Bulleted Body"/>
    <w:basedOn w:val="Normal"/>
    <w:rsid w:val="0028294C"/>
    <w:pPr>
      <w:keepLines w:val="0"/>
      <w:numPr>
        <w:numId w:val="1"/>
      </w:numPr>
      <w:spacing w:after="100"/>
      <w:jc w:val="both"/>
    </w:pPr>
  </w:style>
  <w:style w:type="paragraph" w:customStyle="1" w:styleId="AGRTOCNumbers-notbold">
    <w:name w:val="AGR TOC Numbers - not bold"/>
    <w:basedOn w:val="AGRTOCNumbers"/>
    <w:rsid w:val="00E52B0B"/>
    <w:rPr>
      <w:b w:val="0"/>
    </w:rPr>
  </w:style>
  <w:style w:type="paragraph" w:customStyle="1" w:styleId="AGRHeadingComment">
    <w:name w:val="AGR Heading Comment"/>
    <w:rsid w:val="00333A41"/>
    <w:pPr>
      <w:pBdr>
        <w:top w:val="single" w:sz="2" w:space="3" w:color="auto"/>
      </w:pBdr>
      <w:spacing w:before="240" w:after="60" w:line="280" w:lineRule="exact"/>
      <w:ind w:left="851"/>
    </w:pPr>
    <w:rPr>
      <w:rFonts w:ascii="Arial Bold" w:hAnsi="Arial Bold" w:cs="Arial"/>
      <w:b/>
      <w:iCs/>
      <w:sz w:val="21"/>
      <w:szCs w:val="22"/>
      <w:lang w:val="en-US" w:eastAsia="en-US"/>
    </w:rPr>
  </w:style>
  <w:style w:type="paragraph" w:customStyle="1" w:styleId="StyleAGRBodyCommentItalic">
    <w:name w:val="Style AGR Body Comment + Italic"/>
    <w:basedOn w:val="Normal"/>
    <w:autoRedefine/>
    <w:rsid w:val="00AD0379"/>
    <w:pPr>
      <w:pBdr>
        <w:bottom w:val="single" w:sz="2" w:space="4" w:color="auto"/>
      </w:pBdr>
    </w:pPr>
    <w:rPr>
      <w:rFonts w:cs="Arial"/>
      <w:i/>
      <w:iCs/>
      <w:szCs w:val="19"/>
      <w:lang w:eastAsia="en-AU"/>
    </w:rPr>
  </w:style>
  <w:style w:type="paragraph" w:customStyle="1" w:styleId="AGRBodyComment">
    <w:name w:val="AGR Body Comment"/>
    <w:basedOn w:val="AGRBodyText"/>
    <w:autoRedefine/>
    <w:rsid w:val="00352AFD"/>
    <w:pPr>
      <w:numPr>
        <w:numId w:val="7"/>
      </w:numPr>
      <w:pBdr>
        <w:bottom w:val="single" w:sz="2" w:space="4" w:color="auto"/>
      </w:pBdr>
    </w:pPr>
    <w:rPr>
      <w:i/>
      <w:iCs/>
      <w:szCs w:val="19"/>
      <w:lang w:eastAsia="en-AU"/>
    </w:rPr>
  </w:style>
  <w:style w:type="paragraph" w:customStyle="1" w:styleId="TableTextArial10ptLeft127cm">
    <w:name w:val="Table Text + Arial 10 pt Left:  1.27 cm"/>
    <w:basedOn w:val="Normal"/>
    <w:rsid w:val="00177A69"/>
    <w:pPr>
      <w:keepLines w:val="0"/>
      <w:spacing w:after="100"/>
      <w:ind w:left="720"/>
    </w:pPr>
    <w:rPr>
      <w:sz w:val="20"/>
    </w:rPr>
  </w:style>
  <w:style w:type="paragraph" w:styleId="DocumentMap">
    <w:name w:val="Document Map"/>
    <w:basedOn w:val="Normal"/>
    <w:link w:val="DocumentMapChar"/>
    <w:semiHidden/>
    <w:rsid w:val="00A95C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B447C"/>
    <w:rPr>
      <w:rFonts w:ascii="Tahoma" w:hAnsi="Tahoma" w:cs="Tahoma"/>
      <w:shd w:val="clear" w:color="auto" w:fill="000080"/>
      <w:lang w:eastAsia="en-US"/>
    </w:rPr>
  </w:style>
  <w:style w:type="paragraph" w:customStyle="1" w:styleId="AGRtablenotation">
    <w:name w:val="AGR table notation"/>
    <w:basedOn w:val="AGRBodyText"/>
    <w:rsid w:val="00A95CC8"/>
    <w:rPr>
      <w:sz w:val="16"/>
    </w:rPr>
  </w:style>
  <w:style w:type="paragraph" w:customStyle="1" w:styleId="Heading-L6">
    <w:name w:val="Heading - L6"/>
    <w:basedOn w:val="Normal"/>
    <w:next w:val="Normal"/>
    <w:link w:val="Heading-L6Char"/>
    <w:rsid w:val="00FB5800"/>
    <w:pPr>
      <w:keepLines w:val="0"/>
      <w:ind w:left="0"/>
    </w:pPr>
    <w:rPr>
      <w:b/>
      <w:i/>
    </w:rPr>
  </w:style>
  <w:style w:type="character" w:customStyle="1" w:styleId="Heading-L6Char">
    <w:name w:val="Heading - L6 Char"/>
    <w:basedOn w:val="DefaultParagraphFont"/>
    <w:link w:val="Heading-L6"/>
    <w:rsid w:val="00FB5800"/>
    <w:rPr>
      <w:rFonts w:ascii="Arial" w:hAnsi="Arial"/>
      <w:b/>
      <w:i/>
      <w:sz w:val="21"/>
      <w:szCs w:val="21"/>
      <w:lang w:val="en-AU" w:eastAsia="en-US" w:bidi="ar-SA"/>
    </w:rPr>
  </w:style>
  <w:style w:type="paragraph" w:styleId="Caption">
    <w:name w:val="caption"/>
    <w:basedOn w:val="Normal"/>
    <w:next w:val="Normal"/>
    <w:qFormat/>
    <w:rsid w:val="00FB5800"/>
    <w:pPr>
      <w:keepLines w:val="0"/>
      <w:spacing w:before="120"/>
      <w:ind w:left="0"/>
      <w:jc w:val="both"/>
    </w:pPr>
    <w:rPr>
      <w:b/>
    </w:rPr>
  </w:style>
  <w:style w:type="paragraph" w:customStyle="1" w:styleId="StyleAGRTableTextLeft0cmHanging127cm">
    <w:name w:val="Style AGR Table Text + Left:  0 cm Hanging:  1.27 cm"/>
    <w:basedOn w:val="AGRTableText"/>
    <w:rsid w:val="00FB5800"/>
    <w:pPr>
      <w:keepLines w:val="0"/>
      <w:spacing w:after="0"/>
    </w:pPr>
    <w:rPr>
      <w:rFonts w:cs="Times New Roman"/>
    </w:rPr>
  </w:style>
  <w:style w:type="paragraph" w:customStyle="1" w:styleId="Heading">
    <w:name w:val="Heading"/>
    <w:basedOn w:val="Normal"/>
    <w:rsid w:val="00C44C4C"/>
    <w:pPr>
      <w:keepLines w:val="0"/>
      <w:pBdr>
        <w:top w:val="single" w:sz="12" w:space="1" w:color="auto"/>
        <w:left w:val="single" w:sz="12" w:space="4" w:color="auto"/>
        <w:bottom w:val="single" w:sz="12" w:space="1" w:color="auto"/>
        <w:right w:val="single" w:sz="12" w:space="4" w:color="auto"/>
      </w:pBdr>
      <w:shd w:val="pct12" w:color="auto" w:fill="FFFFFF"/>
      <w:spacing w:after="360"/>
      <w:ind w:left="0"/>
      <w:jc w:val="center"/>
    </w:pPr>
    <w:rPr>
      <w:b/>
      <w:sz w:val="32"/>
    </w:rPr>
  </w:style>
  <w:style w:type="paragraph" w:customStyle="1" w:styleId="StyleAGRTableTextLeft0cmHanging127cm1">
    <w:name w:val="Style AGR Table Text + Left:  0 cm Hanging:  1.27 cm1"/>
    <w:basedOn w:val="AGRTableText"/>
    <w:rsid w:val="00C44C4C"/>
    <w:pPr>
      <w:keepLines w:val="0"/>
      <w:spacing w:after="0"/>
    </w:pPr>
    <w:rPr>
      <w:rFonts w:cs="Times New Roman"/>
    </w:rPr>
  </w:style>
  <w:style w:type="paragraph" w:styleId="BalloonText">
    <w:name w:val="Balloon Text"/>
    <w:basedOn w:val="Normal"/>
    <w:link w:val="BalloonTextChar"/>
    <w:semiHidden/>
    <w:rsid w:val="00C44C4C"/>
    <w:pPr>
      <w:keepLines w:val="0"/>
      <w:ind w:left="0"/>
      <w:jc w:val="both"/>
    </w:pPr>
    <w:rPr>
      <w:rFonts w:ascii="Tahoma" w:hAnsi="Tahoma" w:cs="Tahoma"/>
      <w:sz w:val="16"/>
      <w:szCs w:val="16"/>
    </w:rPr>
  </w:style>
  <w:style w:type="character" w:customStyle="1" w:styleId="BalloonTextChar">
    <w:name w:val="Balloon Text Char"/>
    <w:basedOn w:val="DefaultParagraphFont"/>
    <w:link w:val="BalloonText"/>
    <w:semiHidden/>
    <w:rsid w:val="000B447C"/>
    <w:rPr>
      <w:rFonts w:ascii="Tahoma" w:hAnsi="Tahoma" w:cs="Tahoma"/>
      <w:sz w:val="16"/>
      <w:szCs w:val="16"/>
      <w:lang w:eastAsia="en-US"/>
    </w:rPr>
  </w:style>
  <w:style w:type="table" w:customStyle="1" w:styleId="AGRTable">
    <w:name w:val="AGR Table"/>
    <w:basedOn w:val="TableNormal"/>
    <w:rsid w:val="0079133F"/>
    <w:rPr>
      <w:rFonts w:ascii="Arial" w:hAnsi="Arial"/>
    </w:rPr>
    <w:tblPr>
      <w:tblInd w:w="1418" w:type="dxa"/>
      <w:tblCellMar>
        <w:top w:w="57" w:type="dxa"/>
        <w:left w:w="0" w:type="dxa"/>
        <w:bottom w:w="57" w:type="dxa"/>
        <w:right w:w="0" w:type="dxa"/>
      </w:tblCellMar>
    </w:tblPr>
  </w:style>
  <w:style w:type="paragraph" w:styleId="CommentText">
    <w:name w:val="annotation text"/>
    <w:basedOn w:val="Normal"/>
    <w:link w:val="CommentTextChar"/>
    <w:semiHidden/>
    <w:rsid w:val="002A77CD"/>
    <w:rPr>
      <w:sz w:val="20"/>
      <w:szCs w:val="20"/>
    </w:rPr>
  </w:style>
  <w:style w:type="character" w:customStyle="1" w:styleId="CommentTextChar">
    <w:name w:val="Comment Text Char"/>
    <w:basedOn w:val="DefaultParagraphFont"/>
    <w:link w:val="CommentText"/>
    <w:semiHidden/>
    <w:rsid w:val="000B447C"/>
    <w:rPr>
      <w:rFonts w:ascii="Arial" w:hAnsi="Arial"/>
      <w:lang w:eastAsia="en-US"/>
    </w:rPr>
  </w:style>
  <w:style w:type="paragraph" w:styleId="CommentSubject">
    <w:name w:val="annotation subject"/>
    <w:basedOn w:val="CommentText"/>
    <w:next w:val="CommentText"/>
    <w:link w:val="CommentSubjectChar"/>
    <w:semiHidden/>
    <w:rsid w:val="002A77CD"/>
    <w:pPr>
      <w:keepLines w:val="0"/>
      <w:spacing w:after="240" w:line="240" w:lineRule="auto"/>
      <w:ind w:left="0"/>
      <w:jc w:val="both"/>
    </w:pPr>
    <w:rPr>
      <w:rFonts w:ascii="Times New Roman" w:hAnsi="Times New Roman"/>
      <w:b/>
      <w:bCs/>
    </w:rPr>
  </w:style>
  <w:style w:type="character" w:customStyle="1" w:styleId="CommentSubjectChar">
    <w:name w:val="Comment Subject Char"/>
    <w:basedOn w:val="CommentTextChar"/>
    <w:link w:val="CommentSubject"/>
    <w:semiHidden/>
    <w:rsid w:val="000B447C"/>
    <w:rPr>
      <w:rFonts w:ascii="Arial" w:hAnsi="Arial"/>
      <w:b/>
      <w:bCs/>
      <w:lang w:eastAsia="en-US"/>
    </w:rPr>
  </w:style>
  <w:style w:type="paragraph" w:customStyle="1" w:styleId="Default">
    <w:name w:val="Default"/>
    <w:rsid w:val="00A4286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301452"/>
    <w:rPr>
      <w:sz w:val="16"/>
      <w:szCs w:val="16"/>
    </w:rPr>
  </w:style>
  <w:style w:type="character" w:styleId="Hyperlink">
    <w:name w:val="Hyperlink"/>
    <w:basedOn w:val="DefaultParagraphFont"/>
    <w:rsid w:val="00F00F66"/>
    <w:rPr>
      <w:color w:val="0000FF" w:themeColor="hyperlink"/>
      <w:u w:val="single"/>
    </w:rPr>
  </w:style>
  <w:style w:type="paragraph" w:styleId="BodyTextIndent2">
    <w:name w:val="Body Text Indent 2"/>
    <w:basedOn w:val="Normal"/>
    <w:link w:val="BodyTextIndent2Char"/>
    <w:rsid w:val="000B447C"/>
    <w:pPr>
      <w:spacing w:line="480" w:lineRule="auto"/>
      <w:ind w:left="283"/>
    </w:pPr>
  </w:style>
  <w:style w:type="character" w:customStyle="1" w:styleId="BodyTextIndent2Char">
    <w:name w:val="Body Text Indent 2 Char"/>
    <w:basedOn w:val="DefaultParagraphFont"/>
    <w:link w:val="BodyTextIndent2"/>
    <w:rsid w:val="000B447C"/>
    <w:rPr>
      <w:rFonts w:ascii="Arial" w:hAnsi="Arial"/>
      <w:sz w:val="21"/>
      <w:szCs w:val="21"/>
      <w:lang w:eastAsia="en-US"/>
    </w:rPr>
  </w:style>
  <w:style w:type="paragraph" w:styleId="BodyTextIndent3">
    <w:name w:val="Body Text Indent 3"/>
    <w:basedOn w:val="Normal"/>
    <w:link w:val="BodyTextIndent3Char"/>
    <w:rsid w:val="000B447C"/>
    <w:pPr>
      <w:ind w:left="283"/>
    </w:pPr>
    <w:rPr>
      <w:sz w:val="16"/>
      <w:szCs w:val="16"/>
    </w:rPr>
  </w:style>
  <w:style w:type="character" w:customStyle="1" w:styleId="BodyTextIndent3Char">
    <w:name w:val="Body Text Indent 3 Char"/>
    <w:basedOn w:val="DefaultParagraphFont"/>
    <w:link w:val="BodyTextIndent3"/>
    <w:rsid w:val="000B447C"/>
    <w:rPr>
      <w:rFonts w:ascii="Arial" w:hAnsi="Arial"/>
      <w:sz w:val="16"/>
      <w:szCs w:val="16"/>
      <w:lang w:eastAsia="en-US"/>
    </w:rPr>
  </w:style>
  <w:style w:type="paragraph" w:customStyle="1" w:styleId="Style1">
    <w:name w:val="Style1"/>
    <w:basedOn w:val="Normal"/>
    <w:rsid w:val="000B447C"/>
    <w:pPr>
      <w:keepLines w:val="0"/>
      <w:spacing w:after="0" w:line="240" w:lineRule="auto"/>
      <w:ind w:left="0"/>
    </w:pPr>
    <w:rPr>
      <w:rFonts w:ascii="Times New Roman" w:hAnsi="Times New Roman"/>
      <w:sz w:val="24"/>
      <w:szCs w:val="24"/>
      <w:lang w:eastAsia="en-AU"/>
    </w:rPr>
  </w:style>
  <w:style w:type="paragraph" w:customStyle="1" w:styleId="comment">
    <w:name w:val="comment"/>
    <w:basedOn w:val="Normal"/>
    <w:rsid w:val="000B447C"/>
    <w:pPr>
      <w:keepLines w:val="0"/>
      <w:spacing w:after="0" w:line="240" w:lineRule="auto"/>
      <w:ind w:left="709"/>
    </w:pPr>
    <w:rPr>
      <w:rFonts w:ascii="Times New Roman" w:hAnsi="Times New Roman"/>
      <w:sz w:val="24"/>
      <w:szCs w:val="24"/>
      <w:lang w:eastAsia="en-AU"/>
    </w:rPr>
  </w:style>
  <w:style w:type="paragraph" w:styleId="BodyTextIndent">
    <w:name w:val="Body Text Indent"/>
    <w:basedOn w:val="Normal"/>
    <w:link w:val="BodyTextIndentChar"/>
    <w:rsid w:val="00F77ED6"/>
    <w:pPr>
      <w:keepLines w:val="0"/>
      <w:overflowPunct w:val="0"/>
      <w:autoSpaceDE w:val="0"/>
      <w:autoSpaceDN w:val="0"/>
      <w:adjustRightInd w:val="0"/>
      <w:spacing w:line="240" w:lineRule="auto"/>
      <w:ind w:left="425"/>
      <w:textAlignment w:val="baseline"/>
    </w:pPr>
    <w:rPr>
      <w:rFonts w:ascii="Times New Roman" w:hAnsi="Times New Roman"/>
      <w:sz w:val="24"/>
      <w:szCs w:val="20"/>
      <w:lang w:eastAsia="en-AU"/>
    </w:rPr>
  </w:style>
  <w:style w:type="character" w:customStyle="1" w:styleId="BodyTextIndentChar">
    <w:name w:val="Body Text Indent Char"/>
    <w:basedOn w:val="DefaultParagraphFont"/>
    <w:link w:val="BodyTextIndent"/>
    <w:rsid w:val="000B447C"/>
    <w:rPr>
      <w:sz w:val="24"/>
    </w:rPr>
  </w:style>
  <w:style w:type="paragraph" w:styleId="BlockText">
    <w:name w:val="Block Text"/>
    <w:basedOn w:val="Normal"/>
    <w:uiPriority w:val="99"/>
    <w:rsid w:val="000B447C"/>
    <w:pPr>
      <w:keepLines w:val="0"/>
      <w:spacing w:line="240" w:lineRule="auto"/>
      <w:ind w:left="1440" w:right="1440"/>
    </w:pPr>
    <w:rPr>
      <w:rFonts w:ascii="Times New Roman" w:hAnsi="Times New Roman"/>
      <w:sz w:val="24"/>
      <w:szCs w:val="24"/>
      <w:lang w:eastAsia="en-AU"/>
    </w:rPr>
  </w:style>
  <w:style w:type="paragraph" w:styleId="ListBullet">
    <w:name w:val="List Bullet"/>
    <w:basedOn w:val="Normal"/>
    <w:rsid w:val="00F77ED6"/>
    <w:pPr>
      <w:keepLines w:val="0"/>
      <w:numPr>
        <w:numId w:val="2"/>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FootnoteText">
    <w:name w:val="footnote text"/>
    <w:basedOn w:val="Normal"/>
    <w:link w:val="FootnoteTextChar"/>
    <w:rsid w:val="000B447C"/>
    <w:pPr>
      <w:keepLines w:val="0"/>
      <w:spacing w:after="0" w:line="240" w:lineRule="auto"/>
      <w:ind w:left="0"/>
    </w:pPr>
    <w:rPr>
      <w:rFonts w:ascii="Times New Roman" w:hAnsi="Times New Roman"/>
      <w:sz w:val="18"/>
      <w:szCs w:val="24"/>
      <w:lang w:eastAsia="en-AU"/>
    </w:rPr>
  </w:style>
  <w:style w:type="character" w:customStyle="1" w:styleId="FootnoteTextChar">
    <w:name w:val="Footnote Text Char"/>
    <w:basedOn w:val="DefaultParagraphFont"/>
    <w:link w:val="FootnoteText"/>
    <w:rsid w:val="000B447C"/>
    <w:rPr>
      <w:sz w:val="18"/>
      <w:szCs w:val="24"/>
    </w:rPr>
  </w:style>
  <w:style w:type="paragraph" w:customStyle="1" w:styleId="Graphic">
    <w:name w:val="Graphic"/>
    <w:basedOn w:val="Signature"/>
    <w:rsid w:val="000B447C"/>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link w:val="SignatureChar"/>
    <w:rsid w:val="000B447C"/>
    <w:pPr>
      <w:keepLines w:val="0"/>
      <w:spacing w:after="0" w:line="240" w:lineRule="auto"/>
      <w:ind w:left="0"/>
    </w:pPr>
    <w:rPr>
      <w:rFonts w:ascii="Times New Roman" w:hAnsi="Times New Roman"/>
      <w:sz w:val="24"/>
      <w:szCs w:val="24"/>
      <w:lang w:eastAsia="en-AU"/>
    </w:rPr>
  </w:style>
  <w:style w:type="character" w:customStyle="1" w:styleId="SignatureChar">
    <w:name w:val="Signature Char"/>
    <w:basedOn w:val="DefaultParagraphFont"/>
    <w:link w:val="Signature"/>
    <w:rsid w:val="000B447C"/>
    <w:rPr>
      <w:sz w:val="24"/>
      <w:szCs w:val="24"/>
    </w:rPr>
  </w:style>
  <w:style w:type="paragraph" w:styleId="ListBullet2">
    <w:name w:val="List Bullet 2"/>
    <w:basedOn w:val="ListBullet"/>
    <w:rsid w:val="000B447C"/>
    <w:pPr>
      <w:numPr>
        <w:ilvl w:val="1"/>
      </w:numPr>
      <w:tabs>
        <w:tab w:val="clear" w:pos="850"/>
      </w:tabs>
      <w:ind w:left="709" w:hanging="709"/>
    </w:pPr>
  </w:style>
  <w:style w:type="paragraph" w:styleId="MacroText">
    <w:name w:val="macro"/>
    <w:link w:val="MacroTextChar"/>
    <w:rsid w:val="000B447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Arial Unicode MS"/>
      <w:sz w:val="18"/>
      <w:lang w:val="en-GB" w:eastAsia="en-US"/>
    </w:rPr>
  </w:style>
  <w:style w:type="character" w:customStyle="1" w:styleId="MacroTextChar">
    <w:name w:val="Macro Text Char"/>
    <w:basedOn w:val="DefaultParagraphFont"/>
    <w:link w:val="MacroText"/>
    <w:rsid w:val="000B447C"/>
    <w:rPr>
      <w:rFonts w:ascii="Courier New" w:hAnsi="Courier New" w:cs="Arial Unicode MS"/>
      <w:sz w:val="18"/>
      <w:lang w:val="en-GB" w:eastAsia="en-US"/>
    </w:rPr>
  </w:style>
  <w:style w:type="paragraph" w:styleId="Title">
    <w:name w:val="Title"/>
    <w:basedOn w:val="Normal"/>
    <w:link w:val="TitleChar"/>
    <w:qFormat/>
    <w:rsid w:val="000B447C"/>
    <w:pPr>
      <w:keepLines w:val="0"/>
      <w:tabs>
        <w:tab w:val="left" w:pos="284"/>
      </w:tabs>
      <w:spacing w:after="0" w:line="240" w:lineRule="auto"/>
      <w:ind w:left="0"/>
      <w:jc w:val="center"/>
    </w:pPr>
    <w:rPr>
      <w:b/>
      <w:sz w:val="24"/>
      <w:szCs w:val="24"/>
      <w:lang w:eastAsia="en-AU"/>
    </w:rPr>
  </w:style>
  <w:style w:type="character" w:customStyle="1" w:styleId="TitleChar">
    <w:name w:val="Title Char"/>
    <w:basedOn w:val="DefaultParagraphFont"/>
    <w:link w:val="Title"/>
    <w:rsid w:val="000B447C"/>
    <w:rPr>
      <w:rFonts w:ascii="Arial" w:hAnsi="Arial"/>
      <w:b/>
      <w:sz w:val="24"/>
      <w:szCs w:val="24"/>
    </w:rPr>
  </w:style>
  <w:style w:type="paragraph" w:styleId="EndnoteText">
    <w:name w:val="endnote text"/>
    <w:basedOn w:val="Normal"/>
    <w:link w:val="EndnoteTextChar"/>
    <w:rsid w:val="000B447C"/>
    <w:pPr>
      <w:keepLines w:val="0"/>
      <w:spacing w:after="0" w:line="240" w:lineRule="auto"/>
      <w:ind w:left="0"/>
    </w:pPr>
    <w:rPr>
      <w:rFonts w:ascii="Times New Roman" w:hAnsi="Times New Roman"/>
      <w:sz w:val="20"/>
      <w:szCs w:val="24"/>
      <w:lang w:eastAsia="en-AU"/>
    </w:rPr>
  </w:style>
  <w:style w:type="character" w:customStyle="1" w:styleId="EndnoteTextChar">
    <w:name w:val="Endnote Text Char"/>
    <w:basedOn w:val="DefaultParagraphFont"/>
    <w:link w:val="EndnoteText"/>
    <w:rsid w:val="000B447C"/>
    <w:rPr>
      <w:szCs w:val="24"/>
    </w:rPr>
  </w:style>
  <w:style w:type="paragraph" w:customStyle="1" w:styleId="Bullet1">
    <w:name w:val="Bullet 1"/>
    <w:basedOn w:val="ListBullet"/>
    <w:rsid w:val="000B447C"/>
    <w:rPr>
      <w:bCs/>
    </w:rPr>
  </w:style>
  <w:style w:type="paragraph" w:customStyle="1" w:styleId="Bullet2">
    <w:name w:val="Bullet 2"/>
    <w:basedOn w:val="ListBullet2"/>
    <w:rsid w:val="000B447C"/>
    <w:rPr>
      <w:bCs/>
    </w:rPr>
  </w:style>
  <w:style w:type="paragraph" w:styleId="TOC1">
    <w:name w:val="toc 1"/>
    <w:basedOn w:val="Normal"/>
    <w:next w:val="Normal"/>
    <w:autoRedefine/>
    <w:rsid w:val="00F77ED6"/>
    <w:pPr>
      <w:keepLines w:val="0"/>
      <w:tabs>
        <w:tab w:val="left" w:pos="284"/>
        <w:tab w:val="left" w:pos="1134"/>
      </w:tabs>
      <w:spacing w:after="0" w:line="240" w:lineRule="auto"/>
      <w:ind w:left="-108"/>
    </w:pPr>
    <w:rPr>
      <w:rFonts w:ascii="Arial Narrow" w:hAnsi="Arial Narrow"/>
      <w:b/>
      <w:sz w:val="22"/>
      <w:szCs w:val="22"/>
      <w:lang w:eastAsia="en-AU"/>
    </w:rPr>
  </w:style>
  <w:style w:type="paragraph" w:styleId="TOC2">
    <w:name w:val="toc 2"/>
    <w:basedOn w:val="TOC1"/>
    <w:next w:val="Normal"/>
    <w:autoRedefine/>
    <w:rsid w:val="000B447C"/>
    <w:pPr>
      <w:ind w:left="240"/>
    </w:pPr>
    <w:rPr>
      <w:b w:val="0"/>
      <w:bCs/>
      <w:caps/>
      <w:smallCaps/>
    </w:rPr>
  </w:style>
  <w:style w:type="paragraph" w:styleId="TOC3">
    <w:name w:val="toc 3"/>
    <w:basedOn w:val="TOC2"/>
    <w:next w:val="Normal"/>
    <w:autoRedefine/>
    <w:rsid w:val="000B447C"/>
    <w:pPr>
      <w:ind w:left="480"/>
    </w:pPr>
    <w:rPr>
      <w:i/>
      <w:iCs/>
      <w:smallCaps w:val="0"/>
    </w:rPr>
  </w:style>
  <w:style w:type="paragraph" w:styleId="Index1">
    <w:name w:val="index 1"/>
    <w:basedOn w:val="Normal"/>
    <w:next w:val="Normal"/>
    <w:rsid w:val="000B447C"/>
    <w:pPr>
      <w:keepLines w:val="0"/>
      <w:tabs>
        <w:tab w:val="left" w:pos="709"/>
        <w:tab w:val="left" w:pos="1418"/>
        <w:tab w:val="left" w:pos="2126"/>
        <w:tab w:val="left" w:pos="9356"/>
      </w:tabs>
      <w:spacing w:after="0" w:line="240" w:lineRule="auto"/>
      <w:ind w:left="0"/>
    </w:pPr>
    <w:rPr>
      <w:rFonts w:ascii="Times New Roman" w:hAnsi="Times New Roman"/>
      <w:sz w:val="24"/>
      <w:szCs w:val="24"/>
      <w:lang w:eastAsia="en-AU"/>
    </w:rPr>
  </w:style>
  <w:style w:type="paragraph" w:styleId="Index2">
    <w:name w:val="index 2"/>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styleId="Index3">
    <w:name w:val="index 3"/>
    <w:basedOn w:val="Normal"/>
    <w:next w:val="Normal"/>
    <w:rsid w:val="000B447C"/>
    <w:pPr>
      <w:keepLines w:val="0"/>
      <w:tabs>
        <w:tab w:val="left" w:pos="709"/>
        <w:tab w:val="left" w:pos="1418"/>
        <w:tab w:val="left" w:pos="2126"/>
      </w:tabs>
      <w:spacing w:after="0" w:line="240" w:lineRule="auto"/>
      <w:ind w:left="0"/>
    </w:pPr>
    <w:rPr>
      <w:rFonts w:ascii="Times New Roman" w:hAnsi="Times New Roman"/>
      <w:sz w:val="24"/>
      <w:szCs w:val="24"/>
      <w:lang w:eastAsia="en-AU"/>
    </w:rPr>
  </w:style>
  <w:style w:type="paragraph" w:customStyle="1" w:styleId="Indent1">
    <w:name w:val="Indent1"/>
    <w:basedOn w:val="Normal"/>
    <w:next w:val="Normal"/>
    <w:rsid w:val="000B447C"/>
    <w:pPr>
      <w:keepLines w:val="0"/>
      <w:tabs>
        <w:tab w:val="left" w:pos="709"/>
        <w:tab w:val="left" w:pos="1418"/>
        <w:tab w:val="left" w:pos="2126"/>
        <w:tab w:val="right" w:pos="9356"/>
      </w:tabs>
      <w:spacing w:after="0" w:line="240" w:lineRule="auto"/>
      <w:ind w:left="709" w:hanging="709"/>
    </w:pPr>
    <w:rPr>
      <w:rFonts w:ascii="Times New Roman" w:hAnsi="Times New Roman"/>
      <w:sz w:val="24"/>
      <w:szCs w:val="24"/>
      <w:lang w:eastAsia="en-AU"/>
    </w:rPr>
  </w:style>
  <w:style w:type="paragraph" w:customStyle="1" w:styleId="Indent2">
    <w:name w:val="Indent2"/>
    <w:basedOn w:val="Indent1"/>
    <w:next w:val="Normal"/>
    <w:rsid w:val="000B447C"/>
    <w:pPr>
      <w:ind w:left="1418"/>
    </w:pPr>
  </w:style>
  <w:style w:type="paragraph" w:customStyle="1" w:styleId="Indent3">
    <w:name w:val="Indent3"/>
    <w:basedOn w:val="Indent2"/>
    <w:next w:val="Normal"/>
    <w:rsid w:val="000B447C"/>
    <w:pPr>
      <w:tabs>
        <w:tab w:val="clear" w:pos="709"/>
        <w:tab w:val="clear" w:pos="1418"/>
        <w:tab w:val="clear" w:pos="2126"/>
        <w:tab w:val="clear" w:pos="9356"/>
      </w:tabs>
      <w:ind w:left="2127"/>
      <w:textAlignment w:val="baseline"/>
    </w:pPr>
  </w:style>
  <w:style w:type="paragraph" w:styleId="TOC4">
    <w:name w:val="toc 4"/>
    <w:basedOn w:val="Normal"/>
    <w:next w:val="Normal"/>
    <w:autoRedefine/>
    <w:rsid w:val="000B447C"/>
    <w:pPr>
      <w:keepLines w:val="0"/>
      <w:spacing w:after="0" w:line="240" w:lineRule="auto"/>
      <w:ind w:left="720"/>
    </w:pPr>
    <w:rPr>
      <w:rFonts w:ascii="Times New Roman" w:hAnsi="Times New Roman"/>
      <w:sz w:val="24"/>
      <w:lang w:eastAsia="en-AU"/>
    </w:rPr>
  </w:style>
  <w:style w:type="paragraph" w:styleId="TOC5">
    <w:name w:val="toc 5"/>
    <w:basedOn w:val="Normal"/>
    <w:next w:val="Normal"/>
    <w:autoRedefine/>
    <w:rsid w:val="000B447C"/>
    <w:pPr>
      <w:keepLines w:val="0"/>
      <w:spacing w:after="0" w:line="240" w:lineRule="auto"/>
      <w:ind w:left="960"/>
    </w:pPr>
    <w:rPr>
      <w:rFonts w:ascii="Times New Roman" w:hAnsi="Times New Roman"/>
      <w:sz w:val="24"/>
      <w:lang w:eastAsia="en-AU"/>
    </w:rPr>
  </w:style>
  <w:style w:type="paragraph" w:styleId="TOC6">
    <w:name w:val="toc 6"/>
    <w:basedOn w:val="Normal"/>
    <w:next w:val="Normal"/>
    <w:autoRedefine/>
    <w:rsid w:val="000B447C"/>
    <w:pPr>
      <w:keepLines w:val="0"/>
      <w:spacing w:after="0" w:line="240" w:lineRule="auto"/>
      <w:ind w:left="1200"/>
    </w:pPr>
    <w:rPr>
      <w:rFonts w:ascii="Times New Roman" w:hAnsi="Times New Roman"/>
      <w:sz w:val="24"/>
      <w:lang w:eastAsia="en-AU"/>
    </w:rPr>
  </w:style>
  <w:style w:type="paragraph" w:styleId="TOC7">
    <w:name w:val="toc 7"/>
    <w:basedOn w:val="Normal"/>
    <w:next w:val="Normal"/>
    <w:autoRedefine/>
    <w:rsid w:val="000B447C"/>
    <w:pPr>
      <w:keepLines w:val="0"/>
      <w:spacing w:after="0" w:line="240" w:lineRule="auto"/>
      <w:ind w:left="1440"/>
    </w:pPr>
    <w:rPr>
      <w:rFonts w:ascii="Times New Roman" w:hAnsi="Times New Roman"/>
      <w:sz w:val="24"/>
      <w:lang w:eastAsia="en-AU"/>
    </w:rPr>
  </w:style>
  <w:style w:type="paragraph" w:styleId="TOC8">
    <w:name w:val="toc 8"/>
    <w:basedOn w:val="Normal"/>
    <w:next w:val="Normal"/>
    <w:autoRedefine/>
    <w:rsid w:val="000B447C"/>
    <w:pPr>
      <w:keepLines w:val="0"/>
      <w:spacing w:after="0" w:line="240" w:lineRule="auto"/>
      <w:ind w:left="1680"/>
    </w:pPr>
    <w:rPr>
      <w:rFonts w:ascii="Times New Roman" w:hAnsi="Times New Roman"/>
      <w:sz w:val="24"/>
      <w:lang w:eastAsia="en-AU"/>
    </w:rPr>
  </w:style>
  <w:style w:type="paragraph" w:styleId="TOC9">
    <w:name w:val="toc 9"/>
    <w:basedOn w:val="Normal"/>
    <w:next w:val="Normal"/>
    <w:autoRedefine/>
    <w:rsid w:val="000B447C"/>
    <w:pPr>
      <w:keepLines w:val="0"/>
      <w:spacing w:after="0" w:line="240" w:lineRule="auto"/>
      <w:ind w:left="1920"/>
    </w:pPr>
    <w:rPr>
      <w:rFonts w:ascii="Times New Roman" w:hAnsi="Times New Roman"/>
      <w:sz w:val="24"/>
      <w:lang w:eastAsia="en-AU"/>
    </w:rPr>
  </w:style>
  <w:style w:type="paragraph" w:styleId="NormalWeb">
    <w:name w:val="Normal (Web)"/>
    <w:basedOn w:val="Normal"/>
    <w:rsid w:val="000B447C"/>
    <w:pPr>
      <w:keepLines w:val="0"/>
      <w:spacing w:before="100" w:beforeAutospacing="1" w:after="100" w:afterAutospacing="1" w:line="240" w:lineRule="auto"/>
      <w:ind w:left="0"/>
    </w:pPr>
    <w:rPr>
      <w:rFonts w:ascii="Arial Unicode MS" w:eastAsia="Arial Unicode MS" w:hAnsi="Arial Unicode MS" w:cs="Wingdings" w:hint="eastAsia"/>
      <w:color w:val="000000"/>
      <w:sz w:val="24"/>
      <w:szCs w:val="24"/>
      <w:lang w:eastAsia="en-AU"/>
    </w:rPr>
  </w:style>
  <w:style w:type="character" w:styleId="FollowedHyperlink">
    <w:name w:val="FollowedHyperlink"/>
    <w:basedOn w:val="DefaultParagraphFont"/>
    <w:rsid w:val="000B447C"/>
    <w:rPr>
      <w:color w:val="800080"/>
      <w:u w:val="single"/>
    </w:rPr>
  </w:style>
  <w:style w:type="paragraph" w:styleId="List">
    <w:name w:val="List"/>
    <w:basedOn w:val="Normal"/>
    <w:rsid w:val="000B447C"/>
    <w:pPr>
      <w:keepLines w:val="0"/>
      <w:spacing w:after="0" w:line="240" w:lineRule="auto"/>
      <w:ind w:left="283" w:hanging="283"/>
    </w:pPr>
    <w:rPr>
      <w:rFonts w:ascii="Times New Roman" w:hAnsi="Times New Roman"/>
      <w:sz w:val="24"/>
      <w:szCs w:val="24"/>
      <w:lang w:eastAsia="en-AU"/>
    </w:rPr>
  </w:style>
  <w:style w:type="character" w:customStyle="1" w:styleId="Description">
    <w:name w:val="Description"/>
    <w:basedOn w:val="DefaultParagraphFont"/>
    <w:rsid w:val="000B447C"/>
    <w:rPr>
      <w:rFonts w:ascii="Arial" w:hAnsi="Arial" w:cs="Arial"/>
      <w:color w:val="800000"/>
      <w:kern w:val="32"/>
      <w:sz w:val="20"/>
      <w:szCs w:val="32"/>
    </w:rPr>
  </w:style>
  <w:style w:type="paragraph" w:styleId="ListNumber">
    <w:name w:val="List Number"/>
    <w:basedOn w:val="Normal"/>
    <w:rsid w:val="00F77ED6"/>
    <w:pPr>
      <w:keepLines w:val="0"/>
      <w:numPr>
        <w:numId w:val="3"/>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Alpha">
    <w:name w:val="List Alpha"/>
    <w:basedOn w:val="Normal"/>
    <w:rsid w:val="00F77ED6"/>
    <w:pPr>
      <w:keepLines w:val="0"/>
      <w:numPr>
        <w:numId w:val="4"/>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customStyle="1" w:styleId="ListRoman">
    <w:name w:val="List Roman"/>
    <w:basedOn w:val="Normal"/>
    <w:rsid w:val="00F77ED6"/>
    <w:pPr>
      <w:keepLines w:val="0"/>
      <w:numPr>
        <w:numId w:val="5"/>
      </w:numPr>
      <w:overflowPunct w:val="0"/>
      <w:autoSpaceDE w:val="0"/>
      <w:autoSpaceDN w:val="0"/>
      <w:adjustRightInd w:val="0"/>
      <w:spacing w:line="240" w:lineRule="auto"/>
      <w:textAlignment w:val="baseline"/>
    </w:pPr>
    <w:rPr>
      <w:rFonts w:ascii="Times New Roman" w:hAnsi="Times New Roman"/>
      <w:sz w:val="24"/>
      <w:szCs w:val="20"/>
      <w:lang w:eastAsia="en-AU"/>
    </w:rPr>
  </w:style>
  <w:style w:type="paragraph" w:styleId="BodyText2">
    <w:name w:val="Body Text 2"/>
    <w:basedOn w:val="Normal"/>
    <w:link w:val="BodyText2Char"/>
    <w:rsid w:val="000B447C"/>
    <w:pPr>
      <w:keepLines w:val="0"/>
      <w:spacing w:after="0" w:line="240" w:lineRule="auto"/>
      <w:ind w:left="0"/>
    </w:pPr>
    <w:rPr>
      <w:rFonts w:ascii="Times New Roman" w:hAnsi="Times New Roman"/>
      <w:sz w:val="16"/>
      <w:szCs w:val="24"/>
      <w:lang w:eastAsia="en-AU"/>
    </w:rPr>
  </w:style>
  <w:style w:type="character" w:customStyle="1" w:styleId="BodyText2Char">
    <w:name w:val="Body Text 2 Char"/>
    <w:basedOn w:val="DefaultParagraphFont"/>
    <w:link w:val="BodyText2"/>
    <w:rsid w:val="000B447C"/>
    <w:rPr>
      <w:sz w:val="16"/>
      <w:szCs w:val="24"/>
    </w:rPr>
  </w:style>
  <w:style w:type="paragraph" w:styleId="BodyText3">
    <w:name w:val="Body Text 3"/>
    <w:basedOn w:val="Normal"/>
    <w:link w:val="BodyText3Char"/>
    <w:rsid w:val="000B447C"/>
    <w:pPr>
      <w:keepLines w:val="0"/>
      <w:tabs>
        <w:tab w:val="left" w:pos="0"/>
      </w:tabs>
      <w:spacing w:after="360" w:line="240" w:lineRule="auto"/>
      <w:ind w:left="0"/>
      <w:jc w:val="both"/>
    </w:pPr>
    <w:rPr>
      <w:sz w:val="22"/>
      <w:szCs w:val="24"/>
      <w:lang w:eastAsia="en-AU"/>
    </w:rPr>
  </w:style>
  <w:style w:type="character" w:customStyle="1" w:styleId="BodyText3Char">
    <w:name w:val="Body Text 3 Char"/>
    <w:basedOn w:val="DefaultParagraphFont"/>
    <w:link w:val="BodyText3"/>
    <w:rsid w:val="000B447C"/>
    <w:rPr>
      <w:rFonts w:ascii="Arial" w:hAnsi="Arial"/>
      <w:sz w:val="22"/>
      <w:szCs w:val="24"/>
    </w:rPr>
  </w:style>
  <w:style w:type="paragraph" w:customStyle="1" w:styleId="TAFRBodyText">
    <w:name w:val="TAFR Body Text"/>
    <w:basedOn w:val="Normal"/>
    <w:rsid w:val="000B447C"/>
    <w:pPr>
      <w:keepLines w:val="0"/>
      <w:suppressAutoHyphens/>
      <w:autoSpaceDE w:val="0"/>
      <w:autoSpaceDN w:val="0"/>
      <w:adjustRightInd w:val="0"/>
      <w:spacing w:after="113" w:line="280" w:lineRule="atLeast"/>
      <w:ind w:left="0"/>
      <w:textAlignment w:val="center"/>
    </w:pPr>
    <w:rPr>
      <w:rFonts w:ascii="Arial MT Std" w:hAnsi="Arial MT Std" w:cs="Arial MT Std"/>
      <w:color w:val="000000"/>
      <w:w w:val="95"/>
      <w:lang w:eastAsia="en-AU"/>
    </w:rPr>
  </w:style>
  <w:style w:type="paragraph" w:customStyle="1" w:styleId="NoteHeading3TAFRNotes">
    <w:name w:val="Note Heading 3 (TAFR Notes)"/>
    <w:basedOn w:val="Normal"/>
    <w:rsid w:val="000B447C"/>
    <w:pPr>
      <w:keepNext/>
      <w:keepLines w:val="0"/>
      <w:suppressAutoHyphens/>
      <w:autoSpaceDE w:val="0"/>
      <w:autoSpaceDN w:val="0"/>
      <w:adjustRightInd w:val="0"/>
      <w:spacing w:before="57" w:after="0" w:line="320" w:lineRule="atLeast"/>
      <w:ind w:left="0"/>
      <w:textAlignment w:val="center"/>
    </w:pPr>
    <w:rPr>
      <w:rFonts w:ascii="Arial MT Std Cond" w:hAnsi="Arial MT Std Cond" w:cs="Arial MT Std Cond"/>
      <w:color w:val="FF6307"/>
      <w:w w:val="95"/>
      <w:sz w:val="26"/>
      <w:szCs w:val="26"/>
      <w:lang w:val="en-GB" w:eastAsia="en-AU"/>
    </w:rPr>
  </w:style>
  <w:style w:type="paragraph" w:customStyle="1" w:styleId="NoteHeading2letter">
    <w:name w:val="Note Heading 2 (letter)"/>
    <w:basedOn w:val="Normal"/>
    <w:rsid w:val="000B447C"/>
    <w:pPr>
      <w:keepNext/>
      <w:keepLines w:val="0"/>
      <w:tabs>
        <w:tab w:val="left" w:pos="340"/>
      </w:tabs>
      <w:suppressAutoHyphens/>
      <w:autoSpaceDE w:val="0"/>
      <w:autoSpaceDN w:val="0"/>
      <w:adjustRightInd w:val="0"/>
      <w:spacing w:before="57" w:after="0" w:line="320" w:lineRule="atLeast"/>
      <w:ind w:left="340" w:hanging="340"/>
      <w:textAlignment w:val="center"/>
    </w:pPr>
    <w:rPr>
      <w:rFonts w:ascii="Arial MT Std" w:hAnsi="Arial MT Std" w:cs="Arial MT Std"/>
      <w:color w:val="FF6307"/>
      <w:w w:val="90"/>
      <w:sz w:val="28"/>
      <w:szCs w:val="28"/>
      <w:lang w:eastAsia="en-AU"/>
    </w:rPr>
  </w:style>
  <w:style w:type="paragraph" w:customStyle="1" w:styleId="TAFRromanheadingTAFRNotes">
    <w:name w:val="TAFR roman heading (TAFR Notes)"/>
    <w:basedOn w:val="Normal"/>
    <w:rsid w:val="000B447C"/>
    <w:pPr>
      <w:keepNext/>
      <w:keepLines w:val="0"/>
      <w:tabs>
        <w:tab w:val="left" w:pos="340"/>
        <w:tab w:val="left" w:pos="680"/>
      </w:tabs>
      <w:suppressAutoHyphens/>
      <w:autoSpaceDE w:val="0"/>
      <w:autoSpaceDN w:val="0"/>
      <w:adjustRightInd w:val="0"/>
      <w:spacing w:before="57" w:after="0" w:line="290" w:lineRule="atLeast"/>
      <w:ind w:left="340" w:hanging="340"/>
      <w:textAlignment w:val="center"/>
    </w:pPr>
    <w:rPr>
      <w:rFonts w:ascii="Arial MT Std Medium" w:hAnsi="Arial MT Std Medium" w:cs="Arial MT Std Medium"/>
      <w:color w:val="000000"/>
      <w:w w:val="90"/>
      <w:lang w:eastAsia="en-AU"/>
    </w:rPr>
  </w:style>
  <w:style w:type="character" w:customStyle="1" w:styleId="TAFRbold">
    <w:name w:val="TAFR bold"/>
    <w:rsid w:val="000B447C"/>
    <w:rPr>
      <w:b/>
      <w:bCs/>
    </w:rPr>
  </w:style>
  <w:style w:type="paragraph" w:customStyle="1" w:styleId="Tabletextheading">
    <w:name w:val="Table text heading"/>
    <w:basedOn w:val="Default"/>
    <w:next w:val="Default"/>
    <w:link w:val="TabletextheadingChar"/>
    <w:rsid w:val="000B447C"/>
    <w:pPr>
      <w:spacing w:before="20" w:after="20"/>
    </w:pPr>
    <w:rPr>
      <w:rFonts w:cs="Times New Roman"/>
      <w:color w:val="auto"/>
    </w:rPr>
  </w:style>
  <w:style w:type="character" w:customStyle="1" w:styleId="TabletextheadingChar">
    <w:name w:val="Table text heading Char"/>
    <w:basedOn w:val="DefaultParagraphFont"/>
    <w:link w:val="Tabletextheading"/>
    <w:rsid w:val="000B447C"/>
    <w:rPr>
      <w:rFonts w:ascii="Arial" w:hAnsi="Arial"/>
      <w:sz w:val="24"/>
      <w:szCs w:val="24"/>
    </w:rPr>
  </w:style>
  <w:style w:type="paragraph" w:customStyle="1" w:styleId="SmallLine">
    <w:name w:val="Small Line"/>
    <w:basedOn w:val="Normal"/>
    <w:link w:val="SmallLineChar"/>
    <w:rsid w:val="000B447C"/>
    <w:pPr>
      <w:keepLines w:val="0"/>
      <w:spacing w:before="120" w:after="0" w:line="240" w:lineRule="auto"/>
      <w:ind w:left="0"/>
      <w:jc w:val="both"/>
    </w:pPr>
    <w:rPr>
      <w:rFonts w:ascii="Times New Roman" w:hAnsi="Times New Roman"/>
      <w:sz w:val="4"/>
      <w:szCs w:val="4"/>
    </w:rPr>
  </w:style>
  <w:style w:type="character" w:customStyle="1" w:styleId="SmallLineChar">
    <w:name w:val="Small Line Char"/>
    <w:basedOn w:val="DefaultParagraphFont"/>
    <w:link w:val="SmallLine"/>
    <w:locked/>
    <w:rsid w:val="000B447C"/>
    <w:rPr>
      <w:sz w:val="4"/>
      <w:szCs w:val="4"/>
      <w:lang w:eastAsia="en-US"/>
    </w:rPr>
  </w:style>
  <w:style w:type="paragraph" w:customStyle="1" w:styleId="Source">
    <w:name w:val="Source"/>
    <w:basedOn w:val="Normal"/>
    <w:next w:val="Normal"/>
    <w:link w:val="SourceChar"/>
    <w:locked/>
    <w:rsid w:val="000B447C"/>
    <w:pPr>
      <w:keepLines w:val="0"/>
      <w:spacing w:before="120" w:after="0" w:line="240" w:lineRule="auto"/>
      <w:ind w:left="0"/>
      <w:jc w:val="both"/>
    </w:pPr>
    <w:rPr>
      <w:rFonts w:ascii="Times New Roman" w:hAnsi="Times New Roman"/>
      <w:i/>
      <w:iCs/>
      <w:sz w:val="18"/>
      <w:szCs w:val="18"/>
    </w:rPr>
  </w:style>
  <w:style w:type="character" w:customStyle="1" w:styleId="SourceChar">
    <w:name w:val="Source Char"/>
    <w:basedOn w:val="DefaultParagraphFont"/>
    <w:link w:val="Source"/>
    <w:locked/>
    <w:rsid w:val="000B447C"/>
    <w:rPr>
      <w:i/>
      <w:iCs/>
      <w:sz w:val="18"/>
      <w:szCs w:val="18"/>
      <w:lang w:eastAsia="en-US"/>
    </w:rPr>
  </w:style>
  <w:style w:type="paragraph" w:customStyle="1" w:styleId="TableText">
    <w:name w:val="Table Text"/>
    <w:basedOn w:val="Normal"/>
    <w:rsid w:val="000B447C"/>
    <w:pPr>
      <w:keepLines w:val="0"/>
      <w:spacing w:before="30" w:after="30" w:line="240" w:lineRule="auto"/>
      <w:ind w:left="0"/>
    </w:pPr>
    <w:rPr>
      <w:rFonts w:cs="Arial"/>
      <w:sz w:val="18"/>
      <w:szCs w:val="18"/>
      <w:lang w:eastAsia="en-AU"/>
    </w:rPr>
  </w:style>
  <w:style w:type="paragraph" w:styleId="TOCHeading">
    <w:name w:val="TOC Heading"/>
    <w:basedOn w:val="Normal"/>
    <w:qFormat/>
    <w:rsid w:val="000B447C"/>
    <w:pPr>
      <w:keepLines w:val="0"/>
      <w:spacing w:before="80" w:after="400" w:line="520" w:lineRule="exact"/>
      <w:ind w:left="0"/>
    </w:pPr>
    <w:rPr>
      <w:rFonts w:ascii="Arial Bold" w:hAnsi="Arial Bold" w:cs="Arial Bold"/>
      <w:b/>
      <w:bCs/>
      <w:sz w:val="32"/>
      <w:szCs w:val="32"/>
    </w:rPr>
  </w:style>
  <w:style w:type="paragraph" w:customStyle="1" w:styleId="dotpoint">
    <w:name w:val="dot point"/>
    <w:basedOn w:val="Normal"/>
    <w:link w:val="dotpointChar"/>
    <w:rsid w:val="000B447C"/>
    <w:pPr>
      <w:keepLines w:val="0"/>
      <w:numPr>
        <w:numId w:val="6"/>
      </w:numPr>
      <w:tabs>
        <w:tab w:val="left" w:pos="1980"/>
      </w:tabs>
      <w:spacing w:after="140" w:line="240" w:lineRule="atLeast"/>
      <w:jc w:val="both"/>
    </w:pPr>
    <w:rPr>
      <w:sz w:val="20"/>
      <w:szCs w:val="20"/>
    </w:rPr>
  </w:style>
  <w:style w:type="character" w:customStyle="1" w:styleId="dotpointChar">
    <w:name w:val="dot point Char"/>
    <w:basedOn w:val="DefaultParagraphFont"/>
    <w:link w:val="dotpoint"/>
    <w:rsid w:val="000B447C"/>
    <w:rPr>
      <w:rFonts w:ascii="Arial" w:hAnsi="Arial"/>
      <w:lang w:eastAsia="en-US"/>
    </w:rPr>
  </w:style>
  <w:style w:type="paragraph" w:styleId="ListParagraph">
    <w:name w:val="List Paragraph"/>
    <w:basedOn w:val="Normal"/>
    <w:uiPriority w:val="34"/>
    <w:qFormat/>
    <w:rsid w:val="00BB203E"/>
    <w:pPr>
      <w:keepLines w:val="0"/>
      <w:spacing w:after="0" w:line="240" w:lineRule="auto"/>
      <w:ind w:left="720"/>
    </w:pPr>
    <w:rPr>
      <w:rFonts w:ascii="Times New Roman" w:hAnsi="Times New Roman"/>
      <w:sz w:val="24"/>
      <w:szCs w:val="24"/>
    </w:rPr>
  </w:style>
  <w:style w:type="paragraph" w:styleId="Header">
    <w:name w:val="header"/>
    <w:basedOn w:val="Normal"/>
    <w:link w:val="HeaderChar"/>
    <w:uiPriority w:val="99"/>
    <w:rsid w:val="00C708C3"/>
    <w:pPr>
      <w:tabs>
        <w:tab w:val="center" w:pos="4153"/>
        <w:tab w:val="right" w:pos="8306"/>
      </w:tabs>
    </w:pPr>
  </w:style>
  <w:style w:type="character" w:customStyle="1" w:styleId="HeaderChar">
    <w:name w:val="Header Char"/>
    <w:basedOn w:val="DefaultParagraphFont"/>
    <w:link w:val="Header"/>
    <w:uiPriority w:val="99"/>
    <w:rsid w:val="00C708C3"/>
    <w:rPr>
      <w:rFonts w:ascii="Arial" w:hAnsi="Arial"/>
      <w:sz w:val="21"/>
      <w:szCs w:val="21"/>
      <w:lang w:eastAsia="en-US"/>
    </w:rPr>
  </w:style>
  <w:style w:type="character" w:styleId="FootnoteReference">
    <w:name w:val="footnote reference"/>
    <w:rsid w:val="007B1B9B"/>
    <w:rPr>
      <w:vertAlign w:val="superscript"/>
    </w:rPr>
  </w:style>
  <w:style w:type="paragraph" w:styleId="Revision">
    <w:name w:val="Revision"/>
    <w:hidden/>
    <w:uiPriority w:val="99"/>
    <w:semiHidden/>
    <w:rsid w:val="00520280"/>
    <w:rPr>
      <w:rFonts w:ascii="Arial" w:hAnsi="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64852">
      <w:bodyDiv w:val="1"/>
      <w:marLeft w:val="0"/>
      <w:marRight w:val="0"/>
      <w:marTop w:val="0"/>
      <w:marBottom w:val="0"/>
      <w:divBdr>
        <w:top w:val="none" w:sz="0" w:space="0" w:color="auto"/>
        <w:left w:val="none" w:sz="0" w:space="0" w:color="auto"/>
        <w:bottom w:val="none" w:sz="0" w:space="0" w:color="auto"/>
        <w:right w:val="none" w:sz="0" w:space="0" w:color="auto"/>
      </w:divBdr>
    </w:div>
    <w:div w:id="16112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4.png"/><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2.xml"/><Relationship Id="rId46"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image" Target="media/image5.png"/><Relationship Id="rId40" Type="http://schemas.openxmlformats.org/officeDocument/2006/relationships/header" Target="header14.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chart" Target="charts/chart2.xml"/><Relationship Id="rId49"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1.xml"/><Relationship Id="rId44"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chart" Target="charts/chart1.xml"/><Relationship Id="rId43" Type="http://schemas.openxmlformats.org/officeDocument/2006/relationships/header" Target="header17.xml"/><Relationship Id="rId4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theme" Target="theme/theme1.xml"/></Relationships>
</file>

<file path=word/_rels/footer8.xml.rels><?xml version="1.0" encoding="UTF-8" standalone="yes"?>
<Relationships xmlns="http://schemas.openxmlformats.org/package/2006/relationships"><Relationship Id="rId2" Type="http://schemas.openxmlformats.org/officeDocument/2006/relationships/hyperlink" Target="http://www.nt.gov.au/ago" TargetMode="External"/><Relationship Id="rId1" Type="http://schemas.openxmlformats.org/officeDocument/2006/relationships/hyperlink" Target="http://www.nt.gov.au/a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prod.main.ntgov\ntg\aug\dnh\groups\data\Audit\Natalie\NTAGO%20Audits\120095%20PMS%20-%20Aero%20Medical%20Services%20Contract%20-%20CareFlight\2000%20Reporting\2600%20Data%20for%20Reporting%20-%20flying%20hour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Fixed Wing Hours</a:t>
            </a:r>
          </a:p>
        </c:rich>
      </c:tx>
      <c:layout/>
      <c:overlay val="0"/>
    </c:title>
    <c:autoTitleDeleted val="0"/>
    <c:plotArea>
      <c:layout/>
      <c:lineChart>
        <c:grouping val="standard"/>
        <c:varyColors val="0"/>
        <c:ser>
          <c:idx val="0"/>
          <c:order val="0"/>
          <c:tx>
            <c:strRef>
              <c:f>Sheet1!$B$5</c:f>
              <c:strCache>
                <c:ptCount val="1"/>
                <c:pt idx="0">
                  <c:v>Fixed Wing Hours</c:v>
                </c:pt>
              </c:strCache>
            </c:strRef>
          </c:tx>
          <c:cat>
            <c:numRef>
              <c:f>Sheet1!$A$6:$A$20</c:f>
              <c:numCache>
                <c:formatCode>mmm\-yy</c:formatCode>
                <c:ptCount val="15"/>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numCache>
            </c:numRef>
          </c:cat>
          <c:val>
            <c:numRef>
              <c:f>Sheet1!$B$6:$B$20</c:f>
              <c:numCache>
                <c:formatCode>0.0</c:formatCode>
                <c:ptCount val="15"/>
                <c:pt idx="0">
                  <c:v>387.50000000000011</c:v>
                </c:pt>
                <c:pt idx="1">
                  <c:v>362.20000000000005</c:v>
                </c:pt>
                <c:pt idx="2">
                  <c:v>401.3</c:v>
                </c:pt>
                <c:pt idx="3">
                  <c:v>376.6</c:v>
                </c:pt>
                <c:pt idx="4">
                  <c:v>337.3</c:v>
                </c:pt>
                <c:pt idx="5">
                  <c:v>331.40000000000003</c:v>
                </c:pt>
                <c:pt idx="6">
                  <c:v>357.2</c:v>
                </c:pt>
                <c:pt idx="7">
                  <c:v>377.8</c:v>
                </c:pt>
                <c:pt idx="8">
                  <c:v>330.60000000000008</c:v>
                </c:pt>
                <c:pt idx="9">
                  <c:v>324.89999999999998</c:v>
                </c:pt>
                <c:pt idx="10">
                  <c:v>303.00000000000006</c:v>
                </c:pt>
                <c:pt idx="11">
                  <c:v>253.6</c:v>
                </c:pt>
                <c:pt idx="12">
                  <c:v>316.3</c:v>
                </c:pt>
                <c:pt idx="13">
                  <c:v>288.59999999999997</c:v>
                </c:pt>
                <c:pt idx="14">
                  <c:v>233.2</c:v>
                </c:pt>
              </c:numCache>
            </c:numRef>
          </c:val>
          <c:smooth val="0"/>
        </c:ser>
        <c:ser>
          <c:idx val="1"/>
          <c:order val="1"/>
          <c:tx>
            <c:strRef>
              <c:f>Sheet1!$E$5</c:f>
              <c:strCache>
                <c:ptCount val="1"/>
                <c:pt idx="0">
                  <c:v>Target Monthly Average FW Hours</c:v>
                </c:pt>
              </c:strCache>
            </c:strRef>
          </c:tx>
          <c:spPr>
            <a:ln>
              <a:solidFill>
                <a:sysClr val="windowText" lastClr="000000"/>
              </a:solidFill>
            </a:ln>
          </c:spPr>
          <c:marker>
            <c:symbol val="none"/>
          </c:marker>
          <c:val>
            <c:numRef>
              <c:f>Sheet1!$E$6:$E$20</c:f>
              <c:numCache>
                <c:formatCode>0.0</c:formatCode>
                <c:ptCount val="15"/>
                <c:pt idx="0">
                  <c:v>291.66666666666669</c:v>
                </c:pt>
                <c:pt idx="1">
                  <c:v>291.66666666666669</c:v>
                </c:pt>
                <c:pt idx="2">
                  <c:v>291.66666666666669</c:v>
                </c:pt>
                <c:pt idx="3">
                  <c:v>291.66666666666669</c:v>
                </c:pt>
                <c:pt idx="4">
                  <c:v>291.66666666666669</c:v>
                </c:pt>
                <c:pt idx="5">
                  <c:v>291.66666666666669</c:v>
                </c:pt>
                <c:pt idx="6">
                  <c:v>291.66666666666669</c:v>
                </c:pt>
                <c:pt idx="7">
                  <c:v>291.66666666666669</c:v>
                </c:pt>
                <c:pt idx="8">
                  <c:v>291.66666666666669</c:v>
                </c:pt>
                <c:pt idx="9">
                  <c:v>291.66666666666669</c:v>
                </c:pt>
                <c:pt idx="10">
                  <c:v>291.66666666666669</c:v>
                </c:pt>
                <c:pt idx="11">
                  <c:v>291.66666666666669</c:v>
                </c:pt>
                <c:pt idx="12">
                  <c:v>291.66666666666669</c:v>
                </c:pt>
                <c:pt idx="13">
                  <c:v>291.66666666666669</c:v>
                </c:pt>
                <c:pt idx="14">
                  <c:v>291.66666666666669</c:v>
                </c:pt>
              </c:numCache>
            </c:numRef>
          </c:val>
          <c:smooth val="0"/>
        </c:ser>
        <c:dLbls>
          <c:showLegendKey val="0"/>
          <c:showVal val="0"/>
          <c:showCatName val="0"/>
          <c:showSerName val="0"/>
          <c:showPercent val="0"/>
          <c:showBubbleSize val="0"/>
        </c:dLbls>
        <c:marker val="1"/>
        <c:smooth val="0"/>
        <c:axId val="136947968"/>
        <c:axId val="33964032"/>
      </c:lineChart>
      <c:dateAx>
        <c:axId val="136947968"/>
        <c:scaling>
          <c:orientation val="minMax"/>
        </c:scaling>
        <c:delete val="0"/>
        <c:axPos val="b"/>
        <c:numFmt formatCode="mmm\-yy" sourceLinked="1"/>
        <c:majorTickMark val="out"/>
        <c:minorTickMark val="none"/>
        <c:tickLblPos val="nextTo"/>
        <c:crossAx val="33964032"/>
        <c:crosses val="autoZero"/>
        <c:auto val="1"/>
        <c:lblOffset val="100"/>
        <c:baseTimeUnit val="months"/>
      </c:dateAx>
      <c:valAx>
        <c:axId val="33964032"/>
        <c:scaling>
          <c:orientation val="minMax"/>
        </c:scaling>
        <c:delete val="0"/>
        <c:axPos val="l"/>
        <c:majorGridlines>
          <c:spPr>
            <a:ln>
              <a:solidFill>
                <a:schemeClr val="bg1">
                  <a:lumMod val="85000"/>
                  <a:alpha val="50000"/>
                </a:schemeClr>
              </a:solidFill>
            </a:ln>
          </c:spPr>
        </c:majorGridlines>
        <c:numFmt formatCode="0" sourceLinked="0"/>
        <c:majorTickMark val="out"/>
        <c:minorTickMark val="none"/>
        <c:tickLblPos val="nextTo"/>
        <c:crossAx val="1369479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Rotary Wing Hours</a:t>
            </a:r>
          </a:p>
        </c:rich>
      </c:tx>
      <c:layout/>
      <c:overlay val="0"/>
    </c:title>
    <c:autoTitleDeleted val="0"/>
    <c:plotArea>
      <c:layout/>
      <c:lineChart>
        <c:grouping val="standard"/>
        <c:varyColors val="0"/>
        <c:ser>
          <c:idx val="0"/>
          <c:order val="0"/>
          <c:tx>
            <c:strRef>
              <c:f>Sheet1!$C$5</c:f>
              <c:strCache>
                <c:ptCount val="1"/>
                <c:pt idx="0">
                  <c:v>Rotary Hours</c:v>
                </c:pt>
              </c:strCache>
            </c:strRef>
          </c:tx>
          <c:spPr>
            <a:ln>
              <a:solidFill>
                <a:srgbClr val="C00000"/>
              </a:solidFill>
            </a:ln>
          </c:spPr>
          <c:marker>
            <c:spPr>
              <a:solidFill>
                <a:srgbClr val="C00000"/>
              </a:solidFill>
              <a:ln>
                <a:solidFill>
                  <a:srgbClr val="C00000"/>
                </a:solidFill>
              </a:ln>
            </c:spPr>
          </c:marker>
          <c:cat>
            <c:numRef>
              <c:f>Sheet1!$A$6:$A$20</c:f>
              <c:numCache>
                <c:formatCode>mmm\-yy</c:formatCode>
                <c:ptCount val="15"/>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numCache>
            </c:numRef>
          </c:cat>
          <c:val>
            <c:numRef>
              <c:f>Sheet1!$C$6:$C$20</c:f>
              <c:numCache>
                <c:formatCode>0.0</c:formatCode>
                <c:ptCount val="15"/>
                <c:pt idx="0">
                  <c:v>13</c:v>
                </c:pt>
                <c:pt idx="1">
                  <c:v>14.783333333333333</c:v>
                </c:pt>
                <c:pt idx="2">
                  <c:v>12.05</c:v>
                </c:pt>
                <c:pt idx="3">
                  <c:v>14.166666666666668</c:v>
                </c:pt>
                <c:pt idx="4">
                  <c:v>10.233333333333333</c:v>
                </c:pt>
                <c:pt idx="5">
                  <c:v>12.9</c:v>
                </c:pt>
                <c:pt idx="6">
                  <c:v>12.1</c:v>
                </c:pt>
                <c:pt idx="7">
                  <c:v>14.333333333333336</c:v>
                </c:pt>
                <c:pt idx="8">
                  <c:v>22.883333333333333</c:v>
                </c:pt>
                <c:pt idx="9">
                  <c:v>11.533333333333333</c:v>
                </c:pt>
                <c:pt idx="10">
                  <c:v>5.8000000000000007</c:v>
                </c:pt>
                <c:pt idx="11">
                  <c:v>7.3166666666666664</c:v>
                </c:pt>
                <c:pt idx="12">
                  <c:v>12.04</c:v>
                </c:pt>
                <c:pt idx="13">
                  <c:v>15.2</c:v>
                </c:pt>
                <c:pt idx="14">
                  <c:v>14.84</c:v>
                </c:pt>
              </c:numCache>
            </c:numRef>
          </c:val>
          <c:smooth val="0"/>
        </c:ser>
        <c:ser>
          <c:idx val="1"/>
          <c:order val="1"/>
          <c:tx>
            <c:strRef>
              <c:f>Sheet1!$F$5</c:f>
              <c:strCache>
                <c:ptCount val="1"/>
                <c:pt idx="0">
                  <c:v>Target Monthly Average RW Hours</c:v>
                </c:pt>
              </c:strCache>
            </c:strRef>
          </c:tx>
          <c:spPr>
            <a:ln>
              <a:solidFill>
                <a:sysClr val="windowText" lastClr="000000"/>
              </a:solidFill>
            </a:ln>
          </c:spPr>
          <c:marker>
            <c:symbol val="none"/>
          </c:marker>
          <c:val>
            <c:numRef>
              <c:f>Sheet1!$F$6:$F$20</c:f>
              <c:numCache>
                <c:formatCode>General</c:formatCode>
                <c:ptCount val="15"/>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numCache>
            </c:numRef>
          </c:val>
          <c:smooth val="0"/>
        </c:ser>
        <c:dLbls>
          <c:showLegendKey val="0"/>
          <c:showVal val="0"/>
          <c:showCatName val="0"/>
          <c:showSerName val="0"/>
          <c:showPercent val="0"/>
          <c:showBubbleSize val="0"/>
        </c:dLbls>
        <c:marker val="1"/>
        <c:smooth val="0"/>
        <c:axId val="137720576"/>
        <c:axId val="137722112"/>
      </c:lineChart>
      <c:dateAx>
        <c:axId val="137720576"/>
        <c:scaling>
          <c:orientation val="minMax"/>
        </c:scaling>
        <c:delete val="0"/>
        <c:axPos val="b"/>
        <c:numFmt formatCode="mmm\-yy" sourceLinked="1"/>
        <c:majorTickMark val="out"/>
        <c:minorTickMark val="none"/>
        <c:tickLblPos val="nextTo"/>
        <c:crossAx val="137722112"/>
        <c:crosses val="autoZero"/>
        <c:auto val="1"/>
        <c:lblOffset val="100"/>
        <c:baseTimeUnit val="months"/>
      </c:dateAx>
      <c:valAx>
        <c:axId val="137722112"/>
        <c:scaling>
          <c:orientation val="minMax"/>
        </c:scaling>
        <c:delete val="0"/>
        <c:axPos val="l"/>
        <c:majorGridlines>
          <c:spPr>
            <a:ln>
              <a:solidFill>
                <a:schemeClr val="bg1">
                  <a:lumMod val="85000"/>
                  <a:alpha val="50000"/>
                </a:schemeClr>
              </a:solidFill>
            </a:ln>
          </c:spPr>
        </c:majorGridlines>
        <c:numFmt formatCode="0" sourceLinked="0"/>
        <c:majorTickMark val="out"/>
        <c:minorTickMark val="none"/>
        <c:tickLblPos val="nextTo"/>
        <c:crossAx val="13772057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C1F8-86B9-4B34-925E-47B66D97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14217</Words>
  <Characters>82953</Characters>
  <Application>Microsoft Office Word</Application>
  <DocSecurity>0</DocSecurity>
  <Lines>691</Lines>
  <Paragraphs>193</Paragraphs>
  <ScaleCrop>false</ScaleCrop>
  <Company/>
  <LinksUpToDate>false</LinksUpToDate>
  <CharactersWithSpaces>96977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2013-08-26T04:42:00Z</dcterms:created>
  <dcterms:modified xsi:type="dcterms:W3CDTF">2013-08-26T04:43:00Z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